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Title"/>
        <w:spacing w:line="362" w:lineRule="auto"/>
      </w:pPr>
      <w:r>
        <w:rPr/>
        <w:drawing>
          <wp:anchor distT="0" distB="0" distL="0" distR="0" allowOverlap="1" layoutInCell="1" locked="0" behindDoc="1" simplePos="0" relativeHeight="477884928">
            <wp:simplePos x="0" y="0"/>
            <wp:positionH relativeFrom="page">
              <wp:posOffset>1485138</wp:posOffset>
            </wp:positionH>
            <wp:positionV relativeFrom="paragraph">
              <wp:posOffset>994632</wp:posOffset>
            </wp:positionV>
            <wp:extent cx="5102225" cy="504443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EXCHANGE</w:t>
      </w:r>
      <w:r>
        <w:rPr>
          <w:spacing w:val="-4"/>
        </w:rPr>
        <w:t> </w:t>
      </w:r>
      <w:r>
        <w:rPr/>
        <w:t>RATE</w:t>
      </w:r>
      <w:r>
        <w:rPr>
          <w:spacing w:val="-3"/>
        </w:rPr>
        <w:t> </w:t>
      </w:r>
      <w:r>
        <w:rPr/>
        <w:t>DYNAMICS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77"/>
        </w:rPr>
        <w:t> </w:t>
      </w:r>
      <w:r>
        <w:rPr/>
        <w:t>PAYMENTS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SIERRA</w:t>
      </w:r>
      <w:r>
        <w:rPr>
          <w:spacing w:val="-1"/>
        </w:rPr>
        <w:t> </w:t>
      </w:r>
      <w:r>
        <w:rPr/>
        <w:t>LEONE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pStyle w:val="Heading1"/>
        <w:spacing w:before="1"/>
        <w:ind w:right="1010"/>
      </w:pPr>
      <w:r>
        <w:rPr/>
        <w:t>BY</w:t>
      </w:r>
    </w:p>
    <w:p>
      <w:pPr>
        <w:pStyle w:val="BodyText"/>
        <w:rPr>
          <w:b/>
          <w:sz w:val="30"/>
        </w:rPr>
      </w:pPr>
    </w:p>
    <w:p>
      <w:pPr>
        <w:spacing w:before="224"/>
        <w:ind w:left="826" w:right="1012" w:firstLine="0"/>
        <w:jc w:val="center"/>
        <w:rPr>
          <w:b/>
          <w:sz w:val="28"/>
        </w:rPr>
      </w:pPr>
      <w:r>
        <w:rPr>
          <w:b/>
          <w:sz w:val="28"/>
        </w:rPr>
        <w:t>JAMES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FOMBA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SANDY</w:t>
      </w:r>
    </w:p>
    <w:p>
      <w:pPr>
        <w:pStyle w:val="Heading1"/>
        <w:spacing w:before="162"/>
        <w:ind w:left="825"/>
      </w:pPr>
      <w:r>
        <w:rPr/>
        <w:t>(Matriculation</w:t>
      </w:r>
      <w:r>
        <w:rPr>
          <w:spacing w:val="-5"/>
        </w:rPr>
        <w:t> </w:t>
      </w:r>
      <w:r>
        <w:rPr/>
        <w:t>Number:</w:t>
      </w:r>
      <w:r>
        <w:rPr>
          <w:spacing w:val="-4"/>
        </w:rPr>
        <w:t> </w:t>
      </w:r>
      <w:r>
        <w:rPr/>
        <w:t>168322)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2835" w:right="0" w:firstLine="0"/>
        <w:jc w:val="left"/>
        <w:rPr>
          <w:sz w:val="28"/>
        </w:rPr>
      </w:pPr>
      <w:r>
        <w:rPr>
          <w:sz w:val="28"/>
        </w:rPr>
        <w:t>B.Sc</w:t>
      </w:r>
      <w:r>
        <w:rPr>
          <w:spacing w:val="-2"/>
          <w:sz w:val="28"/>
        </w:rPr>
        <w:t> </w:t>
      </w:r>
      <w:r>
        <w:rPr>
          <w:sz w:val="28"/>
        </w:rPr>
        <w:t>(Econ)</w:t>
      </w:r>
      <w:r>
        <w:rPr>
          <w:spacing w:val="-2"/>
          <w:sz w:val="28"/>
        </w:rPr>
        <w:t> </w:t>
      </w:r>
      <w:r>
        <w:rPr>
          <w:sz w:val="28"/>
        </w:rPr>
        <w:t>(University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Sierra</w:t>
      </w:r>
      <w:r>
        <w:rPr>
          <w:spacing w:val="-1"/>
          <w:sz w:val="28"/>
        </w:rPr>
        <w:t> </w:t>
      </w:r>
      <w:r>
        <w:rPr>
          <w:sz w:val="28"/>
        </w:rPr>
        <w:t>Leone)</w:t>
      </w:r>
    </w:p>
    <w:p>
      <w:pPr>
        <w:spacing w:before="161"/>
        <w:ind w:left="2720" w:right="0" w:firstLine="0"/>
        <w:jc w:val="left"/>
        <w:rPr>
          <w:sz w:val="28"/>
        </w:rPr>
      </w:pPr>
      <w:r>
        <w:rPr>
          <w:sz w:val="28"/>
        </w:rPr>
        <w:t>M.A.</w:t>
      </w:r>
      <w:r>
        <w:rPr>
          <w:spacing w:val="-3"/>
          <w:sz w:val="28"/>
        </w:rPr>
        <w:t> </w:t>
      </w:r>
      <w:r>
        <w:rPr>
          <w:sz w:val="28"/>
        </w:rPr>
        <w:t>(Econ)</w:t>
      </w:r>
      <w:r>
        <w:rPr>
          <w:spacing w:val="-2"/>
          <w:sz w:val="28"/>
        </w:rPr>
        <w:t> </w:t>
      </w:r>
      <w:r>
        <w:rPr>
          <w:sz w:val="28"/>
        </w:rPr>
        <w:t>(University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Dar</w:t>
      </w:r>
      <w:r>
        <w:rPr>
          <w:spacing w:val="-1"/>
          <w:sz w:val="28"/>
        </w:rPr>
        <w:t> </w:t>
      </w:r>
      <w:r>
        <w:rPr>
          <w:sz w:val="28"/>
        </w:rPr>
        <w:t>es</w:t>
      </w:r>
      <w:r>
        <w:rPr>
          <w:spacing w:val="-1"/>
          <w:sz w:val="28"/>
        </w:rPr>
        <w:t> </w:t>
      </w:r>
      <w:r>
        <w:rPr>
          <w:sz w:val="28"/>
        </w:rPr>
        <w:t>Salaam)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3"/>
        </w:rPr>
      </w:pPr>
    </w:p>
    <w:p>
      <w:pPr>
        <w:spacing w:line="276" w:lineRule="auto" w:before="0"/>
        <w:ind w:left="811" w:right="993" w:firstLine="0"/>
        <w:jc w:val="left"/>
        <w:rPr>
          <w:sz w:val="28"/>
        </w:rPr>
      </w:pPr>
      <w:r>
        <w:rPr>
          <w:sz w:val="28"/>
        </w:rPr>
        <w:t>A</w:t>
      </w:r>
      <w:r>
        <w:rPr>
          <w:spacing w:val="24"/>
          <w:sz w:val="28"/>
        </w:rPr>
        <w:t> </w:t>
      </w:r>
      <w:r>
        <w:rPr>
          <w:sz w:val="28"/>
        </w:rPr>
        <w:t>Thesis</w:t>
      </w:r>
      <w:r>
        <w:rPr>
          <w:spacing w:val="25"/>
          <w:sz w:val="28"/>
        </w:rPr>
        <w:t> </w:t>
      </w:r>
      <w:r>
        <w:rPr>
          <w:sz w:val="28"/>
        </w:rPr>
        <w:t>in</w:t>
      </w:r>
      <w:r>
        <w:rPr>
          <w:spacing w:val="25"/>
          <w:sz w:val="28"/>
        </w:rPr>
        <w:t> </w:t>
      </w:r>
      <w:r>
        <w:rPr>
          <w:sz w:val="28"/>
        </w:rPr>
        <w:t>the</w:t>
      </w:r>
      <w:r>
        <w:rPr>
          <w:spacing w:val="27"/>
          <w:sz w:val="28"/>
        </w:rPr>
        <w:t> </w:t>
      </w:r>
      <w:r>
        <w:rPr>
          <w:sz w:val="28"/>
        </w:rPr>
        <w:t>Department</w:t>
      </w:r>
      <w:r>
        <w:rPr>
          <w:spacing w:val="26"/>
          <w:sz w:val="28"/>
        </w:rPr>
        <w:t> </w:t>
      </w:r>
      <w:r>
        <w:rPr>
          <w:sz w:val="28"/>
        </w:rPr>
        <w:t>of</w:t>
      </w:r>
      <w:r>
        <w:rPr>
          <w:spacing w:val="27"/>
          <w:sz w:val="28"/>
        </w:rPr>
        <w:t> </w:t>
      </w:r>
      <w:r>
        <w:rPr>
          <w:sz w:val="28"/>
        </w:rPr>
        <w:t>Economics,</w:t>
      </w:r>
      <w:r>
        <w:rPr>
          <w:spacing w:val="26"/>
          <w:sz w:val="28"/>
        </w:rPr>
        <w:t> </w:t>
      </w:r>
      <w:r>
        <w:rPr>
          <w:sz w:val="28"/>
        </w:rPr>
        <w:t>Submitted</w:t>
      </w:r>
      <w:r>
        <w:rPr>
          <w:spacing w:val="27"/>
          <w:sz w:val="28"/>
        </w:rPr>
        <w:t> </w:t>
      </w:r>
      <w:r>
        <w:rPr>
          <w:sz w:val="28"/>
        </w:rPr>
        <w:t>to</w:t>
      </w:r>
      <w:r>
        <w:rPr>
          <w:spacing w:val="25"/>
          <w:sz w:val="28"/>
        </w:rPr>
        <w:t> </w:t>
      </w:r>
      <w:r>
        <w:rPr>
          <w:sz w:val="28"/>
        </w:rPr>
        <w:t>the</w:t>
      </w:r>
      <w:r>
        <w:rPr>
          <w:spacing w:val="23"/>
          <w:sz w:val="28"/>
        </w:rPr>
        <w:t> </w:t>
      </w:r>
      <w:r>
        <w:rPr>
          <w:sz w:val="28"/>
        </w:rPr>
        <w:t>Faculty</w:t>
      </w:r>
      <w:r>
        <w:rPr>
          <w:spacing w:val="23"/>
          <w:sz w:val="28"/>
        </w:rPr>
        <w:t> </w:t>
      </w:r>
      <w:r>
        <w:rPr>
          <w:sz w:val="28"/>
        </w:rPr>
        <w:t>of</w:t>
      </w:r>
      <w:r>
        <w:rPr>
          <w:spacing w:val="27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Social</w:t>
      </w:r>
      <w:r>
        <w:rPr>
          <w:spacing w:val="-1"/>
          <w:sz w:val="28"/>
        </w:rPr>
        <w:t> </w:t>
      </w:r>
      <w:r>
        <w:rPr>
          <w:sz w:val="28"/>
        </w:rPr>
        <w:t>Sciences</w:t>
      </w:r>
      <w:r>
        <w:rPr>
          <w:spacing w:val="-1"/>
          <w:sz w:val="28"/>
        </w:rPr>
        <w:t> </w:t>
      </w:r>
      <w:r>
        <w:rPr>
          <w:sz w:val="28"/>
        </w:rPr>
        <w:t>in partial</w:t>
      </w:r>
      <w:r>
        <w:rPr>
          <w:spacing w:val="-1"/>
          <w:sz w:val="28"/>
        </w:rPr>
        <w:t> </w:t>
      </w:r>
      <w:r>
        <w:rPr>
          <w:sz w:val="28"/>
        </w:rPr>
        <w:t>fulfilment 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requirements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Degree</w:t>
      </w:r>
      <w:r>
        <w:rPr>
          <w:spacing w:val="-4"/>
          <w:sz w:val="28"/>
        </w:rPr>
        <w:t> </w:t>
      </w:r>
      <w:r>
        <w:rPr>
          <w:sz w:val="28"/>
        </w:rPr>
        <w:t>of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1"/>
        <w:spacing w:before="0"/>
        <w:ind w:left="826"/>
      </w:pPr>
      <w:r>
        <w:rPr/>
        <w:t>DOCTOR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PHILOSOPHY</w:t>
      </w:r>
    </w:p>
    <w:p>
      <w:pPr>
        <w:spacing w:line="388" w:lineRule="auto" w:before="201"/>
        <w:ind w:left="3449" w:right="3629" w:firstLine="1356"/>
        <w:jc w:val="left"/>
        <w:rPr>
          <w:b/>
          <w:sz w:val="28"/>
        </w:rPr>
      </w:pPr>
      <w:r>
        <w:rPr>
          <w:b/>
          <w:sz w:val="28"/>
        </w:rPr>
        <w:t>of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IBADAN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43"/>
        </w:rPr>
      </w:pPr>
    </w:p>
    <w:p>
      <w:pPr>
        <w:spacing w:before="0"/>
        <w:ind w:left="826" w:right="1012" w:firstLine="0"/>
        <w:jc w:val="center"/>
        <w:rPr>
          <w:sz w:val="28"/>
        </w:rPr>
      </w:pPr>
      <w:r>
        <w:rPr>
          <w:sz w:val="28"/>
        </w:rPr>
        <w:t>July</w:t>
      </w:r>
      <w:r>
        <w:rPr>
          <w:spacing w:val="-5"/>
          <w:sz w:val="28"/>
        </w:rPr>
        <w:t> </w:t>
      </w:r>
      <w:r>
        <w:rPr>
          <w:sz w:val="28"/>
        </w:rPr>
        <w:t>2014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2240" w:h="15840"/>
          <w:pgMar w:footer="1015" w:top="1500" w:bottom="1200" w:left="1320" w:right="440"/>
          <w:pgNumType w:start="1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Heading1"/>
        <w:ind w:left="826"/>
      </w:pPr>
      <w:bookmarkStart w:name="_TOC_250073" w:id="1"/>
      <w:bookmarkEnd w:id="1"/>
      <w:r>
        <w:rPr/>
        <w:t>DEDICATION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91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885440">
            <wp:simplePos x="0" y="0"/>
            <wp:positionH relativeFrom="page">
              <wp:posOffset>1485138</wp:posOffset>
            </wp:positionH>
            <wp:positionV relativeFrom="paragraph">
              <wp:posOffset>864528</wp:posOffset>
            </wp:positionV>
            <wp:extent cx="5102225" cy="5044439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work is dedicated to my parents and entire family.</w:t>
      </w:r>
      <w:r>
        <w:rPr>
          <w:spacing w:val="1"/>
        </w:rPr>
        <w:t> </w:t>
      </w:r>
      <w:r>
        <w:rPr/>
        <w:t>Also to my late uncle, Pa James</w:t>
      </w:r>
      <w:r>
        <w:rPr>
          <w:spacing w:val="1"/>
        </w:rPr>
        <w:t> </w:t>
      </w:r>
      <w:r>
        <w:rPr/>
        <w:t>Sandy, who was called to rest during the critical stage of my Ph.D expedition.</w:t>
      </w:r>
      <w:r>
        <w:rPr>
          <w:spacing w:val="1"/>
        </w:rPr>
        <w:t> </w:t>
      </w:r>
      <w:r>
        <w:rPr/>
        <w:t>Little did I</w:t>
      </w:r>
      <w:r>
        <w:rPr>
          <w:spacing w:val="-57"/>
        </w:rPr>
        <w:t> </w:t>
      </w:r>
      <w:r>
        <w:rPr/>
        <w:t>know he would not be alive to see me through this significant stage of my academic</w:t>
      </w:r>
      <w:r>
        <w:rPr>
          <w:spacing w:val="1"/>
        </w:rPr>
        <w:t> </w:t>
      </w:r>
      <w:r>
        <w:rPr/>
        <w:t>achievement.</w:t>
      </w:r>
      <w:r>
        <w:rPr>
          <w:spacing w:val="60"/>
        </w:rPr>
        <w:t> </w:t>
      </w:r>
      <w:r>
        <w:rPr/>
        <w:t>He led me through greater part of my academic pursuit.  </w:t>
      </w:r>
      <w:r>
        <w:rPr>
          <w:spacing w:val="1"/>
        </w:rPr>
        <w:t> </w:t>
      </w:r>
      <w:r>
        <w:rPr/>
        <w:t>May the good</w:t>
      </w:r>
      <w:r>
        <w:rPr>
          <w:spacing w:val="1"/>
        </w:rPr>
        <w:t> </w:t>
      </w:r>
      <w:r>
        <w:rPr/>
        <w:t>Lord</w:t>
      </w:r>
      <w:r>
        <w:rPr>
          <w:spacing w:val="1"/>
        </w:rPr>
        <w:t> </w:t>
      </w:r>
      <w:r>
        <w:rPr/>
        <w:t>grant him eternal rest.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pStyle w:val="Heading1"/>
        <w:spacing w:before="77"/>
        <w:ind w:right="1011"/>
      </w:pPr>
      <w:bookmarkStart w:name="_TOC_250072" w:id="2"/>
      <w:bookmarkEnd w:id="2"/>
      <w:r>
        <w:rPr/>
        <w:t>ACKNOWLEDGEMENTS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0" w:lineRule="auto"/>
        <w:ind w:left="811" w:right="1002"/>
        <w:jc w:val="both"/>
      </w:pPr>
      <w:r>
        <w:rPr/>
        <w:t>No one walks alone on the journey of academic.</w:t>
      </w:r>
      <w:r>
        <w:rPr>
          <w:spacing w:val="60"/>
        </w:rPr>
        <w:t> </w:t>
      </w:r>
      <w:r>
        <w:rPr/>
        <w:t>For this, I am highly indebted to God</w:t>
      </w:r>
      <w:r>
        <w:rPr>
          <w:spacing w:val="1"/>
        </w:rPr>
        <w:t> </w:t>
      </w:r>
      <w:r>
        <w:rPr/>
        <w:t>and many</w:t>
      </w:r>
      <w:r>
        <w:rPr>
          <w:spacing w:val="-5"/>
        </w:rPr>
        <w:t> </w:t>
      </w:r>
      <w:r>
        <w:rPr/>
        <w:t>individuals for paving</w:t>
      </w:r>
      <w:r>
        <w:rPr>
          <w:spacing w:val="-2"/>
        </w:rPr>
        <w:t> </w:t>
      </w:r>
      <w:r>
        <w:rPr/>
        <w:t>my</w:t>
      </w:r>
      <w:r>
        <w:rPr>
          <w:spacing w:val="-5"/>
        </w:rPr>
        <w:t> </w:t>
      </w:r>
      <w:r>
        <w:rPr/>
        <w:t>way</w:t>
      </w:r>
      <w:r>
        <w:rPr>
          <w:spacing w:val="-5"/>
        </w:rPr>
        <w:t> </w:t>
      </w:r>
      <w:r>
        <w:rPr/>
        <w:t>through</w:t>
      </w:r>
      <w:r>
        <w:rPr>
          <w:spacing w:val="2"/>
        </w:rPr>
        <w:t> </w:t>
      </w:r>
      <w:r>
        <w:rPr/>
        <w:t>this great voyage.</w:t>
      </w:r>
    </w:p>
    <w:p>
      <w:pPr>
        <w:pStyle w:val="BodyText"/>
        <w:spacing w:line="360" w:lineRule="auto" w:before="202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7885952">
            <wp:simplePos x="0" y="0"/>
            <wp:positionH relativeFrom="page">
              <wp:posOffset>1485138</wp:posOffset>
            </wp:positionH>
            <wp:positionV relativeFrom="paragraph">
              <wp:posOffset>661201</wp:posOffset>
            </wp:positionV>
            <wp:extent cx="5102225" cy="5044439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wonder how this intellectual race would have been completed without a solid financial</w:t>
      </w:r>
      <w:r>
        <w:rPr>
          <w:spacing w:val="1"/>
        </w:rPr>
        <w:t> </w:t>
      </w:r>
      <w:r>
        <w:rPr/>
        <w:t>sponsorship.</w:t>
      </w:r>
      <w:r>
        <w:rPr>
          <w:spacing w:val="1"/>
        </w:rPr>
        <w:t> </w:t>
      </w:r>
      <w:r>
        <w:rPr/>
        <w:t>I therefore, use this opportunity to express my appreciation to the African</w:t>
      </w:r>
      <w:r>
        <w:rPr>
          <w:spacing w:val="1"/>
        </w:rPr>
        <w:t> </w:t>
      </w:r>
      <w:r>
        <w:rPr/>
        <w:t>Economic Research Consortium (AERC) for awarding the scholarship that took care of</w:t>
      </w:r>
      <w:r>
        <w:rPr>
          <w:spacing w:val="1"/>
        </w:rPr>
        <w:t> </w:t>
      </w:r>
      <w:r>
        <w:rPr/>
        <w:t>me</w:t>
      </w:r>
      <w:r>
        <w:rPr>
          <w:spacing w:val="-1"/>
        </w:rPr>
        <w:t> </w:t>
      </w:r>
      <w:r>
        <w:rPr/>
        <w:t>throughout the</w:t>
      </w:r>
      <w:r>
        <w:rPr>
          <w:spacing w:val="1"/>
        </w:rPr>
        <w:t> </w:t>
      </w:r>
      <w:r>
        <w:rPr/>
        <w:t>entire programme.</w:t>
      </w:r>
    </w:p>
    <w:p>
      <w:pPr>
        <w:pStyle w:val="BodyText"/>
        <w:spacing w:line="360" w:lineRule="auto" w:before="199"/>
        <w:ind w:left="811" w:right="992"/>
        <w:jc w:val="both"/>
      </w:pPr>
      <w:r>
        <w:rPr/>
        <w:t>The completion of this thesis would not have been also possible without the help, support</w:t>
      </w:r>
      <w:r>
        <w:rPr>
          <w:spacing w:val="1"/>
        </w:rPr>
        <w:t> </w:t>
      </w:r>
      <w:r>
        <w:rPr/>
        <w:t>and patience of my supervisor and thesis chairman, Prof Festus O. Egwaikhide.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University.   He would have never accepted anything less than my best efforts, and for</w:t>
      </w:r>
      <w:r>
        <w:rPr>
          <w:spacing w:val="1"/>
        </w:rPr>
        <w:t> </w:t>
      </w:r>
      <w:r>
        <w:rPr/>
        <w:t>that, I thank him.</w:t>
      </w:r>
      <w:r>
        <w:rPr>
          <w:spacing w:val="1"/>
        </w:rPr>
        <w:t> </w:t>
      </w:r>
      <w:r>
        <w:rPr/>
        <w:t>He personally exposed me to research beyond thesis writing.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further broadened my knowledge in macroeconomic research and policy formulation.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committee,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Adewuyi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Dr.Oyinlola who were always willing to help and give their best suggestions, which</w:t>
      </w:r>
      <w:r>
        <w:rPr>
          <w:spacing w:val="1"/>
        </w:rPr>
        <w:t> </w:t>
      </w:r>
      <w:r>
        <w:rPr/>
        <w:t>helped to shape my work.</w:t>
      </w:r>
      <w:r>
        <w:rPr>
          <w:spacing w:val="1"/>
        </w:rPr>
        <w:t> </w:t>
      </w:r>
      <w:r>
        <w:rPr/>
        <w:t>I also found comments from the AERC resource persons very</w:t>
      </w:r>
      <w:r>
        <w:rPr>
          <w:spacing w:val="1"/>
        </w:rPr>
        <w:t> </w:t>
      </w:r>
      <w:r>
        <w:rPr/>
        <w:t>useful.</w:t>
      </w:r>
      <w:r>
        <w:rPr>
          <w:spacing w:val="1"/>
        </w:rPr>
        <w:t> </w:t>
      </w:r>
      <w:r>
        <w:rPr/>
        <w:t>On a special note, I thank Proffessor Dick Durevall from Goteborg University,</w:t>
      </w:r>
      <w:r>
        <w:rPr>
          <w:spacing w:val="1"/>
        </w:rPr>
        <w:t> </w:t>
      </w:r>
      <w:r>
        <w:rPr/>
        <w:t>Sweden, for the discussions I had with him after my post field presentations and also for</w:t>
      </w:r>
      <w:r>
        <w:rPr>
          <w:spacing w:val="1"/>
        </w:rPr>
        <w:t> </w:t>
      </w:r>
      <w:r>
        <w:rPr/>
        <w:t>the journal articles that he sent in order to improve the literature of my research which I</w:t>
      </w:r>
      <w:r>
        <w:rPr>
          <w:spacing w:val="1"/>
        </w:rPr>
        <w:t> </w:t>
      </w:r>
      <w:r>
        <w:rPr/>
        <w:t>found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useful.</w:t>
      </w:r>
    </w:p>
    <w:p>
      <w:pPr>
        <w:pStyle w:val="BodyText"/>
        <w:spacing w:line="360" w:lineRule="auto" w:before="202"/>
        <w:ind w:left="811" w:right="999"/>
        <w:jc w:val="both"/>
      </w:pPr>
      <w:r>
        <w:rPr/>
        <w:t>I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Departments, most especially Prof</w:t>
      </w:r>
      <w:r>
        <w:rPr>
          <w:spacing w:val="60"/>
        </w:rPr>
        <w:t> </w:t>
      </w:r>
      <w:r>
        <w:rPr/>
        <w:t>Iwayemi, Prof Olofin, Prof Ogunkola and Dr. Affiz;</w:t>
      </w:r>
      <w:r>
        <w:rPr>
          <w:spacing w:val="1"/>
        </w:rPr>
        <w:t> </w:t>
      </w:r>
      <w:r>
        <w:rPr/>
        <w:t>Dr Ekanem and Prof Ilori, for being instrumental in the successful completion of the</w:t>
      </w:r>
      <w:r>
        <w:rPr>
          <w:spacing w:val="1"/>
        </w:rPr>
        <w:t> </w:t>
      </w:r>
      <w:r>
        <w:rPr/>
        <w:t>course</w:t>
      </w:r>
      <w:r>
        <w:rPr>
          <w:spacing w:val="-3"/>
        </w:rPr>
        <w:t> </w:t>
      </w:r>
      <w:r>
        <w:rPr/>
        <w:t>work component</w:t>
      </w:r>
      <w:r>
        <w:rPr>
          <w:spacing w:val="2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programme.</w:t>
      </w:r>
    </w:p>
    <w:p>
      <w:pPr>
        <w:pStyle w:val="BodyText"/>
        <w:spacing w:line="360" w:lineRule="auto" w:before="200"/>
        <w:ind w:left="811" w:right="996"/>
        <w:jc w:val="both"/>
      </w:pPr>
      <w:r>
        <w:rPr/>
        <w:t>I would also like to appreciate the assistance from the Central Bank of Sierra Leone for</w:t>
      </w:r>
      <w:r>
        <w:rPr>
          <w:spacing w:val="1"/>
        </w:rPr>
        <w:t> </w:t>
      </w:r>
      <w:r>
        <w:rPr/>
        <w:t>allowing me to use their library and the Ministry of Finance and Economic Development</w:t>
      </w:r>
      <w:r>
        <w:rPr>
          <w:spacing w:val="1"/>
        </w:rPr>
        <w:t> </w:t>
      </w:r>
      <w:r>
        <w:rPr/>
        <w:t>in Sierra Leone for providing policy documents during my research work.   A special</w:t>
      </w:r>
      <w:r>
        <w:rPr>
          <w:spacing w:val="1"/>
        </w:rPr>
        <w:t> </w:t>
      </w:r>
      <w:r>
        <w:rPr/>
        <w:t>thank to Mr. Augustine Gombu of the Research Department at the Bank of Sierra Leone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his continuous assistance</w:t>
      </w:r>
      <w:r>
        <w:rPr>
          <w:spacing w:val="-2"/>
        </w:rPr>
        <w:t> </w:t>
      </w:r>
      <w:r>
        <w:rPr/>
        <w:t>in updating</w:t>
      </w:r>
      <w:r>
        <w:rPr>
          <w:spacing w:val="-3"/>
        </w:rPr>
        <w:t> </w:t>
      </w:r>
      <w:r>
        <w:rPr/>
        <w:t>me</w:t>
      </w:r>
      <w:r>
        <w:rPr>
          <w:spacing w:val="-1"/>
        </w:rPr>
        <w:t> </w:t>
      </w:r>
      <w:r>
        <w:rPr/>
        <w:t>with the bank‘s published</w:t>
      </w:r>
      <w:r>
        <w:rPr>
          <w:spacing w:val="-1"/>
        </w:rPr>
        <w:t> </w:t>
      </w:r>
      <w:r>
        <w:rPr/>
        <w:t>data.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886464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would like to thank all my colleagues in the PhD class both in the University of Ibadan</w:t>
      </w:r>
      <w:r>
        <w:rPr>
          <w:spacing w:val="1"/>
        </w:rPr>
        <w:t> </w:t>
      </w:r>
      <w:r>
        <w:rPr/>
        <w:t>and the 2011 Joint Facility for Electives (JFE) at the Kenya School of Monetary Studies</w:t>
      </w:r>
      <w:r>
        <w:rPr>
          <w:spacing w:val="1"/>
        </w:rPr>
        <w:t> </w:t>
      </w:r>
      <w:r>
        <w:rPr/>
        <w:t>(KSMS)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Nairobi,</w:t>
      </w:r>
      <w:r>
        <w:rPr>
          <w:spacing w:val="1"/>
        </w:rPr>
        <w:t> </w:t>
      </w:r>
      <w:r>
        <w:rPr/>
        <w:t>Kenya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friendship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programme.   The names of some of these colleagues are: Vera and Blessing (University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Benin,</w:t>
      </w:r>
      <w:r>
        <w:rPr>
          <w:spacing w:val="1"/>
        </w:rPr>
        <w:t> </w:t>
      </w:r>
      <w:r>
        <w:rPr/>
        <w:t>Nigeria),</w:t>
      </w:r>
      <w:r>
        <w:rPr>
          <w:spacing w:val="1"/>
        </w:rPr>
        <w:t> </w:t>
      </w:r>
      <w:r>
        <w:rPr/>
        <w:t>Madina</w:t>
      </w:r>
      <w:r>
        <w:rPr>
          <w:spacing w:val="1"/>
        </w:rPr>
        <w:t> </w:t>
      </w:r>
      <w:r>
        <w:rPr/>
        <w:t>(University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Salaam),</w:t>
      </w:r>
      <w:r>
        <w:rPr>
          <w:spacing w:val="1"/>
        </w:rPr>
        <w:t> </w:t>
      </w:r>
      <w:r>
        <w:rPr/>
        <w:t>Vincent</w:t>
      </w:r>
      <w:r>
        <w:rPr>
          <w:spacing w:val="1"/>
        </w:rPr>
        <w:t> </w:t>
      </w:r>
      <w:r>
        <w:rPr/>
        <w:t>(University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Yaoundé 11, Cameroun) and Dale (University of Cape Town).</w:t>
      </w:r>
      <w:r>
        <w:rPr>
          <w:spacing w:val="1"/>
        </w:rPr>
        <w:t> </w:t>
      </w:r>
      <w:r>
        <w:rPr/>
        <w:t>I deeply appreciate the</w:t>
      </w:r>
      <w:r>
        <w:rPr>
          <w:spacing w:val="1"/>
        </w:rPr>
        <w:t> </w:t>
      </w:r>
      <w:r>
        <w:rPr/>
        <w:t>effort of the non-teaching staff of the Department of Economics and the company of other</w:t>
      </w:r>
      <w:r>
        <w:rPr>
          <w:spacing w:val="-57"/>
        </w:rPr>
        <w:t> </w:t>
      </w:r>
      <w:r>
        <w:rPr/>
        <w:t>colleagues, Jacob Novignon, Dayo, Babatunde (Noble), Mohammed Shuaibu and the</w:t>
      </w:r>
      <w:r>
        <w:rPr>
          <w:spacing w:val="1"/>
        </w:rPr>
        <w:t> </w:t>
      </w:r>
      <w:r>
        <w:rPr/>
        <w:t>entire members of the Postgraduate Hall, Tafawa Balewa.</w:t>
      </w:r>
      <w:r>
        <w:rPr>
          <w:spacing w:val="1"/>
        </w:rPr>
        <w:t> </w:t>
      </w:r>
      <w:r>
        <w:rPr/>
        <w:t>These people made my stay in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memorable.</w:t>
      </w:r>
    </w:p>
    <w:p>
      <w:pPr>
        <w:pStyle w:val="BodyText"/>
        <w:spacing w:line="360" w:lineRule="auto" w:before="201"/>
        <w:ind w:left="811" w:right="994"/>
        <w:jc w:val="both"/>
      </w:pPr>
      <w:r>
        <w:rPr/>
        <w:t>Finally,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heartfelt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60"/>
        </w:rPr>
        <w:t> </w:t>
      </w:r>
      <w:r>
        <w:rPr/>
        <w:t>wife</w:t>
      </w:r>
      <w:r>
        <w:rPr>
          <w:spacing w:val="1"/>
        </w:rPr>
        <w:t> </w:t>
      </w:r>
      <w:r>
        <w:rPr/>
        <w:t>Bernadette for her personal support and great patience at all times.</w:t>
      </w:r>
      <w:r>
        <w:rPr>
          <w:spacing w:val="1"/>
        </w:rPr>
        <w:t> </w:t>
      </w:r>
      <w:r>
        <w:rPr/>
        <w:t>To my two children,</w:t>
      </w:r>
      <w:r>
        <w:rPr>
          <w:spacing w:val="1"/>
        </w:rPr>
        <w:t> </w:t>
      </w:r>
      <w:r>
        <w:rPr/>
        <w:t>Nyakeh and Alice, my absence from home has always been a challenge to all of us.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mother and sisters, uncles Mustapha Sandy and brother Ansumana Lamin, who gave me</w:t>
      </w:r>
      <w:r>
        <w:rPr>
          <w:spacing w:val="1"/>
        </w:rPr>
        <w:t> </w:t>
      </w:r>
      <w:r>
        <w:rPr/>
        <w:t>their unequivocal supports throughout my programme, for which my mere expression of</w:t>
      </w:r>
      <w:r>
        <w:rPr>
          <w:spacing w:val="1"/>
        </w:rPr>
        <w:t> </w:t>
      </w:r>
      <w:r>
        <w:rPr/>
        <w:t>thanks</w:t>
      </w:r>
      <w:r>
        <w:rPr>
          <w:spacing w:val="-1"/>
        </w:rPr>
        <w:t> </w:t>
      </w:r>
      <w:r>
        <w:rPr/>
        <w:t>does not suffice.</w:t>
      </w:r>
    </w:p>
    <w:p>
      <w:pPr>
        <w:pStyle w:val="BodyText"/>
        <w:spacing w:line="360" w:lineRule="auto" w:before="199"/>
        <w:ind w:left="811" w:right="998"/>
        <w:jc w:val="both"/>
      </w:pPr>
      <w:r>
        <w:rPr/>
        <w:t>I would like to acknowledge the help and supports of various friends and colleagues</w:t>
      </w:r>
      <w:r>
        <w:rPr>
          <w:spacing w:val="1"/>
        </w:rPr>
        <w:t> </w:t>
      </w:r>
      <w:r>
        <w:rPr/>
        <w:t>whose names are not mentioned here due to limited space.</w:t>
      </w:r>
      <w:r>
        <w:rPr>
          <w:spacing w:val="1"/>
        </w:rPr>
        <w:t> </w:t>
      </w:r>
      <w:r>
        <w:rPr/>
        <w:t>Your names are deeply rooted</w:t>
      </w:r>
      <w:r>
        <w:rPr>
          <w:spacing w:val="1"/>
        </w:rPr>
        <w:t> </w:t>
      </w:r>
      <w:r>
        <w:rPr/>
        <w:t>in my mind as all your contributions were invaluable.</w:t>
      </w:r>
      <w:r>
        <w:rPr>
          <w:spacing w:val="1"/>
        </w:rPr>
        <w:t> </w:t>
      </w:r>
      <w:r>
        <w:rPr/>
        <w:t>As observed, various persons</w:t>
      </w:r>
      <w:r>
        <w:rPr>
          <w:spacing w:val="1"/>
        </w:rPr>
        <w:t> </w:t>
      </w:r>
      <w:r>
        <w:rPr/>
        <w:t>assisted in organizing my thought in completing this thesis, but any error in this work are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their responsibilities but solely</w:t>
      </w:r>
      <w:r>
        <w:rPr>
          <w:spacing w:val="-5"/>
        </w:rPr>
        <w:t> </w:t>
      </w:r>
      <w:r>
        <w:rPr/>
        <w:t>the writer.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1"/>
        <w:ind w:right="1011"/>
      </w:pPr>
      <w:bookmarkStart w:name="_TOC_250071" w:id="3"/>
      <w:bookmarkEnd w:id="3"/>
      <w:r>
        <w:rPr/>
        <w:t>CERTIFICATION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91"/>
        <w:ind w:left="811" w:right="996"/>
        <w:jc w:val="both"/>
      </w:pPr>
      <w:r>
        <w:rPr/>
        <w:t>We, the undersigned, hereby certify that this work was carried out by James</w:t>
      </w:r>
      <w:r>
        <w:rPr>
          <w:spacing w:val="60"/>
        </w:rPr>
        <w:t> </w:t>
      </w:r>
      <w:r>
        <w:rPr/>
        <w:t>Fomba</w:t>
      </w:r>
      <w:r>
        <w:rPr>
          <w:spacing w:val="1"/>
        </w:rPr>
        <w:t> </w:t>
      </w:r>
      <w:r>
        <w:rPr/>
        <w:t>Sandy under our supervision in the Department of Economics, Faculty of the Social</w:t>
      </w:r>
      <w:r>
        <w:rPr>
          <w:spacing w:val="1"/>
        </w:rPr>
        <w:t> </w:t>
      </w:r>
      <w:r>
        <w:rPr/>
        <w:t>Sciences,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 Nigeria.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824" w:right="1012"/>
        <w:jc w:val="center"/>
      </w:pPr>
      <w:r>
        <w:rPr/>
        <w:pict>
          <v:group style="position:absolute;margin-left:116.940002pt;margin-top:-39.476871pt;width:401.75pt;height:397.2pt;mso-position-horizontal-relative:page;mso-position-vertical-relative:paragraph;z-index:-25429504" coordorigin="2339,-790" coordsize="8035,7944">
            <v:shape style="position:absolute;left:2338;top:-790;width:8035;height:7944" type="#_x0000_t75" stroked="false">
              <v:imagedata r:id="rId6" o:title=""/>
            </v:shape>
            <v:shape style="position:absolute;left:4429;top:65;width:4071;height:6232" coordorigin="4429,65" coordsize="4071,6232" path="m4429,65l8499,65m4429,3239l8499,3239m4429,6297l8499,6297e" filled="false" stroked="true" strokeweight=".888pt" strokecolor="#000000">
              <v:path arrowok="t"/>
              <v:stroke dashstyle="dash"/>
            </v:shape>
            <w10:wrap type="none"/>
          </v:group>
        </w:pict>
      </w:r>
      <w:r>
        <w:rPr/>
        <w:t>Festus</w:t>
      </w:r>
      <w:r>
        <w:rPr>
          <w:spacing w:val="-5"/>
        </w:rPr>
        <w:t> </w:t>
      </w:r>
      <w:r>
        <w:rPr/>
        <w:t>O.</w:t>
      </w:r>
      <w:r>
        <w:rPr>
          <w:spacing w:val="-4"/>
        </w:rPr>
        <w:t> </w:t>
      </w:r>
      <w:r>
        <w:rPr/>
        <w:t>EGWAIKHIDE</w:t>
      </w:r>
    </w:p>
    <w:p>
      <w:pPr>
        <w:pStyle w:val="BodyText"/>
        <w:spacing w:line="276" w:lineRule="auto" w:before="44"/>
        <w:ind w:left="2787" w:right="2976" w:firstLine="1"/>
        <w:jc w:val="center"/>
      </w:pPr>
      <w:r>
        <w:rPr/>
        <w:t>(Supervision and Chairman, Thesis Committee)</w:t>
      </w:r>
      <w:r>
        <w:rPr>
          <w:spacing w:val="1"/>
        </w:rPr>
        <w:t> </w:t>
      </w:r>
      <w:r>
        <w:rPr/>
        <w:t>Professor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Economics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Head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</w:t>
      </w:r>
      <w:r>
        <w:rPr>
          <w:spacing w:val="-57"/>
        </w:rPr>
        <w:t> </w:t>
      </w:r>
      <w:r>
        <w:rPr/>
        <w:t>B.Sc (Econ), M.Sc (Econ), Ph.D (Ibadan)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Economics</w:t>
      </w:r>
    </w:p>
    <w:p>
      <w:pPr>
        <w:pStyle w:val="BodyText"/>
        <w:spacing w:line="276" w:lineRule="auto"/>
        <w:ind w:left="3595" w:right="3786"/>
        <w:jc w:val="center"/>
      </w:pPr>
      <w:r>
        <w:rPr/>
        <w:t>Faculty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</w:p>
    <w:p>
      <w:pPr>
        <w:pStyle w:val="BodyText"/>
        <w:spacing w:line="275" w:lineRule="exact"/>
        <w:ind w:left="826" w:right="1012"/>
        <w:jc w:val="center"/>
      </w:pPr>
      <w:r>
        <w:rPr/>
        <w:t>Nigeria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17"/>
        <w:ind w:left="3723" w:right="3911" w:firstLine="5"/>
        <w:jc w:val="center"/>
      </w:pPr>
      <w:r>
        <w:rPr/>
        <w:t>Adeolu O. ADEWUYI</w:t>
      </w:r>
      <w:r>
        <w:rPr>
          <w:spacing w:val="1"/>
        </w:rPr>
        <w:t> </w:t>
      </w:r>
      <w:r>
        <w:rPr/>
        <w:t>(Member,</w:t>
      </w:r>
      <w:r>
        <w:rPr>
          <w:spacing w:val="-9"/>
        </w:rPr>
        <w:t> </w:t>
      </w:r>
      <w:r>
        <w:rPr/>
        <w:t>Thesis</w:t>
      </w:r>
      <w:r>
        <w:rPr>
          <w:spacing w:val="-9"/>
        </w:rPr>
        <w:t> </w:t>
      </w:r>
      <w:r>
        <w:rPr/>
        <w:t>Committee)</w:t>
      </w:r>
    </w:p>
    <w:p>
      <w:pPr>
        <w:pStyle w:val="BodyText"/>
        <w:spacing w:line="276" w:lineRule="auto"/>
        <w:ind w:left="2775" w:right="2963"/>
        <w:jc w:val="center"/>
      </w:pPr>
      <w:r>
        <w:rPr/>
        <w:t>B.Sc (Econ), M.Sc (Econ), Ph.D (Ibadan)</w:t>
      </w:r>
      <w:r>
        <w:rPr>
          <w:spacing w:val="-58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Economics</w:t>
      </w:r>
    </w:p>
    <w:p>
      <w:pPr>
        <w:pStyle w:val="BodyText"/>
        <w:spacing w:line="276" w:lineRule="auto"/>
        <w:ind w:left="3595" w:right="3786"/>
        <w:jc w:val="center"/>
      </w:pPr>
      <w:r>
        <w:rPr/>
        <w:t>Faculty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</w:p>
    <w:p>
      <w:pPr>
        <w:pStyle w:val="BodyText"/>
        <w:spacing w:line="275" w:lineRule="exact"/>
        <w:ind w:left="826" w:right="1012"/>
        <w:jc w:val="center"/>
      </w:pPr>
      <w:r>
        <w:rPr/>
        <w:t>Nigeria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90"/>
        <w:ind w:left="825" w:right="1012"/>
        <w:jc w:val="center"/>
      </w:pPr>
      <w:r>
        <w:rPr/>
        <w:t>Mutiu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OYINLOLA</w:t>
      </w:r>
    </w:p>
    <w:p>
      <w:pPr>
        <w:pStyle w:val="BodyText"/>
        <w:spacing w:before="41"/>
        <w:ind w:left="825" w:right="1012"/>
        <w:jc w:val="center"/>
      </w:pPr>
      <w:r>
        <w:rPr/>
        <w:t>(Member,</w:t>
      </w:r>
      <w:r>
        <w:rPr>
          <w:spacing w:val="-3"/>
        </w:rPr>
        <w:t> </w:t>
      </w:r>
      <w:r>
        <w:rPr/>
        <w:t>Thesis</w:t>
      </w:r>
      <w:r>
        <w:rPr>
          <w:spacing w:val="-2"/>
        </w:rPr>
        <w:t> </w:t>
      </w:r>
      <w:r>
        <w:rPr/>
        <w:t>Committee)</w:t>
      </w:r>
    </w:p>
    <w:p>
      <w:pPr>
        <w:pStyle w:val="BodyText"/>
        <w:spacing w:line="276" w:lineRule="auto" w:before="43"/>
        <w:ind w:left="2775" w:right="2963"/>
        <w:jc w:val="center"/>
      </w:pPr>
      <w:r>
        <w:rPr/>
        <w:t>B.Sc (Econ) (OAU), M.Sc (Econ), Ph.D (Ibadan)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Economics</w:t>
      </w:r>
    </w:p>
    <w:p>
      <w:pPr>
        <w:pStyle w:val="BodyText"/>
        <w:spacing w:line="276" w:lineRule="auto"/>
        <w:ind w:left="3597" w:right="3786"/>
        <w:jc w:val="center"/>
      </w:pPr>
      <w:r>
        <w:rPr/>
        <w:t>Faculty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Social</w:t>
      </w:r>
      <w:r>
        <w:rPr>
          <w:spacing w:val="-3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</w:p>
    <w:p>
      <w:pPr>
        <w:pStyle w:val="BodyText"/>
        <w:spacing w:before="1"/>
        <w:ind w:left="826" w:right="1012"/>
        <w:jc w:val="center"/>
      </w:pPr>
      <w:r>
        <w:rPr/>
        <w:t>Nigeria</w:t>
      </w:r>
    </w:p>
    <w:p>
      <w:pPr>
        <w:spacing w:after="0"/>
        <w:jc w:val="center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Heading1"/>
        <w:ind w:left="825"/>
      </w:pPr>
      <w:bookmarkStart w:name="_TOC_250070" w:id="4"/>
      <w:bookmarkEnd w:id="4"/>
      <w:r>
        <w:rPr/>
        <w:t>ABSTRACT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 w:before="1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887488">
            <wp:simplePos x="0" y="0"/>
            <wp:positionH relativeFrom="page">
              <wp:posOffset>1485138</wp:posOffset>
            </wp:positionH>
            <wp:positionV relativeFrom="paragraph">
              <wp:posOffset>881039</wp:posOffset>
            </wp:positionV>
            <wp:extent cx="5102225" cy="5044439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a strong relationship between exchange rate movements and the Balance of</w:t>
      </w:r>
      <w:r>
        <w:rPr>
          <w:spacing w:val="1"/>
        </w:rPr>
        <w:t> </w:t>
      </w:r>
      <w:r>
        <w:rPr/>
        <w:t>Payments (BoP).</w:t>
      </w:r>
      <w:r>
        <w:rPr>
          <w:spacing w:val="1"/>
        </w:rPr>
        <w:t> </w:t>
      </w:r>
      <w:r>
        <w:rPr/>
        <w:t>In Sierra Leone, exchange rate depreciated steadily from 1.05 Leone</w:t>
      </w:r>
      <w:r>
        <w:rPr>
          <w:spacing w:val="1"/>
        </w:rPr>
        <w:t> </w:t>
      </w:r>
      <w:r>
        <w:rPr/>
        <w:t>(Le)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1.00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dollar</w:t>
      </w:r>
      <w:r>
        <w:rPr>
          <w:spacing w:val="1"/>
        </w:rPr>
        <w:t> </w:t>
      </w:r>
      <w:r>
        <w:rPr/>
        <w:t>(US$)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Le151.45/US$1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1990,</w:t>
      </w:r>
      <w:r>
        <w:rPr>
          <w:spacing w:val="1"/>
        </w:rPr>
        <w:t> </w:t>
      </w:r>
      <w:r>
        <w:rPr/>
        <w:t>Le2,092/US$1 in 2000 to Le3,978.09/US$1 in 2010.</w:t>
      </w:r>
      <w:r>
        <w:rPr>
          <w:spacing w:val="1"/>
        </w:rPr>
        <w:t> </w:t>
      </w:r>
      <w:r>
        <w:rPr/>
        <w:t>In the same periods, the BoP as a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fluctuated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-15.0%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3.0%.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 has focused mainly on the effects of exchange rate on inflation, revenue 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 the impact of exchange rate dynamics on the BoP in Sierra Leone covering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 between 1975</w:t>
      </w:r>
      <w:r>
        <w:rPr>
          <w:spacing w:val="2"/>
        </w:rPr>
        <w:t> </w:t>
      </w:r>
      <w:r>
        <w:rPr/>
        <w:t>and 2010.</w:t>
      </w:r>
    </w:p>
    <w:p>
      <w:pPr>
        <w:pStyle w:val="BodyText"/>
        <w:spacing w:line="360" w:lineRule="auto" w:before="201"/>
        <w:ind w:left="811" w:right="995"/>
        <w:jc w:val="both"/>
      </w:pPr>
      <w:r>
        <w:rPr/>
        <w:t>A structural macroeconomic model, derived from the elasticity, absorption and monetary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determination,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estimated.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disaggregated into Current Account Balance (CAB), Financial Account Balance (FAB),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(KAB)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index.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Autoregressive</w:t>
      </w:r>
      <w:r>
        <w:rPr>
          <w:spacing w:val="-57"/>
        </w:rPr>
        <w:t> </w:t>
      </w:r>
      <w:r>
        <w:rPr/>
        <w:t>Distributed Lag bounds testing technique was used to determine the dynamic (the short-</w:t>
      </w:r>
      <w:r>
        <w:rPr>
          <w:spacing w:val="1"/>
        </w:rPr>
        <w:t> </w:t>
      </w:r>
      <w:r>
        <w:rPr/>
        <w:t>run and long-run measured by elasticities) effects of exchange rate on the key variables.</w:t>
      </w:r>
      <w:r>
        <w:rPr>
          <w:spacing w:val="1"/>
        </w:rPr>
        <w:t> </w:t>
      </w:r>
      <w:r>
        <w:rPr/>
        <w:t>These elasticities were used to determine the time path of the changes in the CAB and</w:t>
      </w:r>
      <w:r>
        <w:rPr>
          <w:spacing w:val="1"/>
        </w:rPr>
        <w:t> </w:t>
      </w:r>
      <w:r>
        <w:rPr/>
        <w:t>BoP, as postulated by the J-curve phenomenon and the Marshall-Lerner condition (sum of</w:t>
      </w:r>
      <w:r>
        <w:rPr>
          <w:spacing w:val="-57"/>
        </w:rPr>
        <w:t> </w:t>
      </w:r>
      <w:r>
        <w:rPr/>
        <w:t>exports and imports demand elasticities be greater than one for depreciation to 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BoP).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International Financial Statistics </w:t>
      </w:r>
      <w:r>
        <w:rPr/>
        <w:t>of the International Monetary Fund.</w:t>
      </w:r>
      <w:r>
        <w:rPr>
          <w:spacing w:val="1"/>
        </w:rPr>
        <w:t> </w:t>
      </w:r>
      <w:r>
        <w:rPr/>
        <w:t>The problems of</w:t>
      </w:r>
      <w:r>
        <w:rPr>
          <w:spacing w:val="1"/>
        </w:rPr>
        <w:t> </w:t>
      </w:r>
      <w:r>
        <w:rPr/>
        <w:t>serial correlation and endogeneity were addressed using the Akaike and Schwarz criteria.</w:t>
      </w:r>
      <w:r>
        <w:rPr>
          <w:spacing w:val="1"/>
        </w:rPr>
        <w:t> </w:t>
      </w:r>
      <w:r>
        <w:rPr/>
        <w:t>The Cumulative Sum (CUSUM) and CUSUM</w:t>
      </w:r>
      <w:r>
        <w:rPr>
          <w:spacing w:val="60"/>
        </w:rPr>
        <w:t> </w:t>
      </w:r>
      <w:r>
        <w:rPr/>
        <w:t>squares of the recursive residuals were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determine</w:t>
      </w:r>
      <w:r>
        <w:rPr>
          <w:spacing w:val="-2"/>
        </w:rPr>
        <w:t> </w:t>
      </w:r>
      <w:r>
        <w:rPr/>
        <w:t>the stability</w:t>
      </w:r>
      <w:r>
        <w:rPr>
          <w:spacing w:val="-6"/>
        </w:rPr>
        <w:t> </w:t>
      </w:r>
      <w:r>
        <w:rPr/>
        <w:t>and reliability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parameter estimates.</w:t>
      </w:r>
    </w:p>
    <w:p>
      <w:pPr>
        <w:pStyle w:val="BodyText"/>
        <w:spacing w:line="360" w:lineRule="auto" w:before="201"/>
        <w:ind w:left="811" w:right="997"/>
        <w:jc w:val="both"/>
      </w:pPr>
      <w:r>
        <w:rPr/>
        <w:t>A depreciation of the exchange rate had both short-run and long-run dynamic effects on</w:t>
      </w:r>
      <w:r>
        <w:rPr>
          <w:spacing w:val="1"/>
        </w:rPr>
        <w:t> </w:t>
      </w:r>
      <w:r>
        <w:rPr/>
        <w:t>the BoP.</w:t>
      </w:r>
      <w:r>
        <w:rPr>
          <w:spacing w:val="1"/>
        </w:rPr>
        <w:t> </w:t>
      </w:r>
      <w:r>
        <w:rPr/>
        <w:t>In the short-run, a 10.0% depreciation of the exchange rate deteriorated the</w:t>
      </w:r>
      <w:r>
        <w:rPr>
          <w:spacing w:val="1"/>
        </w:rPr>
        <w:t> </w:t>
      </w:r>
      <w:r>
        <w:rPr/>
        <w:t>overall BoP deficit by 4.6%, and improved it by 3.4% in the long-run.</w:t>
      </w:r>
      <w:r>
        <w:rPr>
          <w:spacing w:val="1"/>
        </w:rPr>
        <w:t> </w:t>
      </w:r>
      <w:r>
        <w:rPr/>
        <w:t>The effects of</w:t>
      </w:r>
      <w:r>
        <w:rPr>
          <w:spacing w:val="1"/>
        </w:rPr>
        <w:t> </w:t>
      </w:r>
      <w:r>
        <w:rPr/>
        <w:t>exchange</w:t>
      </w:r>
      <w:r>
        <w:rPr>
          <w:spacing w:val="57"/>
        </w:rPr>
        <w:t> </w:t>
      </w:r>
      <w:r>
        <w:rPr/>
        <w:t>rate</w:t>
      </w:r>
      <w:r>
        <w:rPr>
          <w:spacing w:val="58"/>
        </w:rPr>
        <w:t> </w:t>
      </w:r>
      <w:r>
        <w:rPr/>
        <w:t>on</w:t>
      </w:r>
      <w:r>
        <w:rPr>
          <w:spacing w:val="59"/>
        </w:rPr>
        <w:t> </w:t>
      </w:r>
      <w:r>
        <w:rPr/>
        <w:t>the</w:t>
      </w:r>
      <w:r>
        <w:rPr>
          <w:spacing w:val="2"/>
        </w:rPr>
        <w:t> </w:t>
      </w:r>
      <w:r>
        <w:rPr/>
        <w:t>components  of</w:t>
      </w:r>
      <w:r>
        <w:rPr>
          <w:spacing w:val="59"/>
        </w:rPr>
        <w:t> </w:t>
      </w:r>
      <w:r>
        <w:rPr/>
        <w:t>BoP</w:t>
      </w:r>
      <w:r>
        <w:rPr>
          <w:spacing w:val="59"/>
        </w:rPr>
        <w:t> </w:t>
      </w:r>
      <w:r>
        <w:rPr/>
        <w:t>differed</w:t>
      </w:r>
      <w:r>
        <w:rPr>
          <w:spacing w:val="59"/>
        </w:rPr>
        <w:t> </w:t>
      </w:r>
      <w:r>
        <w:rPr/>
        <w:t>substantially</w:t>
      </w:r>
      <w:r>
        <w:rPr>
          <w:spacing w:val="54"/>
        </w:rPr>
        <w:t> </w:t>
      </w:r>
      <w:r>
        <w:rPr/>
        <w:t>as  the</w:t>
      </w:r>
      <w:r>
        <w:rPr>
          <w:spacing w:val="58"/>
        </w:rPr>
        <w:t> </w:t>
      </w:r>
      <w:r>
        <w:rPr/>
        <w:t>total</w:t>
      </w:r>
      <w:r>
        <w:rPr>
          <w:spacing w:val="7"/>
        </w:rPr>
        <w:t> </w:t>
      </w:r>
      <w:r>
        <w:rPr/>
        <w:t>demand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line="360" w:lineRule="auto" w:before="74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7888000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elasticity for both exports and imports was 0.3 in the short-run and 1.2 in the long-run.</w:t>
      </w:r>
      <w:r>
        <w:rPr>
          <w:spacing w:val="1"/>
        </w:rPr>
        <w:t> </w:t>
      </w:r>
      <w:r>
        <w:rPr/>
        <w:t>This suggested that the depreciation initially led to a deterioration of the CAB deficit (due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lags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executing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delivery of</w:t>
      </w:r>
      <w:r>
        <w:rPr>
          <w:spacing w:val="1"/>
        </w:rPr>
        <w:t> </w:t>
      </w:r>
      <w:r>
        <w:rPr/>
        <w:t>goods)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gradually</w:t>
      </w:r>
      <w:r>
        <w:rPr>
          <w:spacing w:val="-57"/>
        </w:rPr>
        <w:t> </w:t>
      </w:r>
      <w:r>
        <w:rPr/>
        <w:t>improved thereafter.</w:t>
      </w:r>
      <w:r>
        <w:rPr>
          <w:spacing w:val="60"/>
        </w:rPr>
        <w:t> </w:t>
      </w:r>
      <w:r>
        <w:rPr/>
        <w:t>The effects on the FAB (0.03%) and KAB (0.01%) were negligible</w:t>
      </w:r>
      <w:r>
        <w:rPr>
          <w:spacing w:val="1"/>
        </w:rPr>
        <w:t> </w:t>
      </w:r>
      <w:r>
        <w:rPr/>
        <w:t>in the short-run, but improved to 0.7% and 0.5%, respectively in the long-run.</w:t>
      </w:r>
      <w:r>
        <w:rPr>
          <w:spacing w:val="1"/>
        </w:rPr>
        <w:t> </w:t>
      </w:r>
      <w:r>
        <w:rPr/>
        <w:t>The results</w:t>
      </w:r>
      <w:r>
        <w:rPr>
          <w:spacing w:val="-57"/>
        </w:rPr>
        <w:t> </w:t>
      </w:r>
      <w:r>
        <w:rPr/>
        <w:t>confirmed the existence of the J-curve phenomenon and the Marshall-Lerner condition</w:t>
      </w:r>
      <w:r>
        <w:rPr>
          <w:spacing w:val="1"/>
        </w:rPr>
        <w:t> </w:t>
      </w:r>
      <w:r>
        <w:rPr/>
        <w:t>only in the CAB and the overall BoP positions.</w:t>
      </w:r>
      <w:r>
        <w:rPr>
          <w:spacing w:val="1"/>
        </w:rPr>
        <w:t> </w:t>
      </w:r>
      <w:r>
        <w:rPr/>
        <w:t>The effect on BoP of exchange rate pass-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to domestic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was 80.0%.</w:t>
      </w:r>
    </w:p>
    <w:p>
      <w:pPr>
        <w:pStyle w:val="BodyText"/>
        <w:spacing w:line="360" w:lineRule="auto" w:before="200"/>
        <w:ind w:left="811" w:right="998"/>
        <w:jc w:val="both"/>
      </w:pPr>
      <w:r>
        <w:rPr/>
        <w:t>Exchange rate movements significantly influenced the current account balance and 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short-run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long-run,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balances</w:t>
      </w:r>
      <w:r>
        <w:rPr>
          <w:spacing w:val="1"/>
        </w:rPr>
        <w:t> </w:t>
      </w:r>
      <w:r>
        <w:rPr/>
        <w:t>moderately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long-run.</w:t>
      </w:r>
      <w:r>
        <w:rPr>
          <w:spacing w:val="61"/>
        </w:rPr>
        <w:t> </w:t>
      </w:r>
      <w:r>
        <w:rPr/>
        <w:t>Accordingly,</w:t>
      </w:r>
      <w:r>
        <w:rPr>
          <w:spacing w:val="1"/>
        </w:rPr>
        <w:t> </w:t>
      </w:r>
      <w:r>
        <w:rPr/>
        <w:t>exchange rate policy is important for the restoration of balance of payments equilibrium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monetary</w:t>
      </w:r>
      <w:r>
        <w:rPr>
          <w:spacing w:val="-5"/>
        </w:rPr>
        <w:t> </w:t>
      </w:r>
      <w:r>
        <w:rPr/>
        <w:t>authority.</w:t>
      </w:r>
    </w:p>
    <w:p>
      <w:pPr>
        <w:pStyle w:val="BodyText"/>
        <w:spacing w:before="199"/>
        <w:ind w:left="2342" w:right="1002" w:hanging="1532"/>
        <w:jc w:val="both"/>
      </w:pPr>
      <w:r>
        <w:rPr>
          <w:b/>
        </w:rPr>
        <w:t>Keywords:</w:t>
      </w:r>
      <w:r>
        <w:rPr>
          <w:b/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dynamics,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balance,</w:t>
      </w:r>
      <w:r>
        <w:rPr>
          <w:spacing w:val="60"/>
        </w:rPr>
        <w:t> </w:t>
      </w:r>
      <w:r>
        <w:rPr/>
        <w:t>Financial</w:t>
      </w:r>
      <w:r>
        <w:rPr>
          <w:spacing w:val="60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payments, Autoregressive</w:t>
      </w:r>
      <w:r>
        <w:rPr>
          <w:spacing w:val="-1"/>
        </w:rPr>
        <w:t> </w:t>
      </w:r>
      <w:r>
        <w:rPr/>
        <w:t>distributed</w:t>
      </w:r>
      <w:r>
        <w:rPr>
          <w:spacing w:val="-1"/>
        </w:rPr>
        <w:t> </w:t>
      </w:r>
      <w:r>
        <w:rPr/>
        <w:t>lag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811" w:right="0" w:firstLine="0"/>
        <w:jc w:val="both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count:</w:t>
      </w:r>
      <w:r>
        <w:rPr>
          <w:b/>
          <w:spacing w:val="97"/>
          <w:sz w:val="24"/>
        </w:rPr>
        <w:t> </w:t>
      </w:r>
      <w:r>
        <w:rPr>
          <w:sz w:val="24"/>
        </w:rPr>
        <w:t>496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7888512">
            <wp:simplePos x="0" y="0"/>
            <wp:positionH relativeFrom="page">
              <wp:posOffset>1485138</wp:posOffset>
            </wp:positionH>
            <wp:positionV relativeFrom="page">
              <wp:posOffset>2506217</wp:posOffset>
            </wp:positionV>
            <wp:extent cx="5102225" cy="5044439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6149"/>
      </w:tblGrid>
      <w:tr>
        <w:trPr>
          <w:trHeight w:val="598" w:hRule="atLeast"/>
        </w:trPr>
        <w:tc>
          <w:tcPr>
            <w:tcW w:w="12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9" w:type="dxa"/>
          </w:tcPr>
          <w:p>
            <w:pPr>
              <w:pStyle w:val="TableParagraph"/>
              <w:spacing w:line="311" w:lineRule="exact"/>
              <w:ind w:left="189"/>
              <w:rPr>
                <w:b/>
                <w:sz w:val="28"/>
              </w:rPr>
            </w:pPr>
            <w:r>
              <w:rPr>
                <w:b/>
                <w:sz w:val="28"/>
              </w:rPr>
              <w:t>LIST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ABBREVIATIONS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ACRONYMS</w:t>
            </w:r>
          </w:p>
        </w:tc>
      </w:tr>
      <w:tr>
        <w:trPr>
          <w:trHeight w:val="678" w:hRule="atLeast"/>
        </w:trPr>
        <w:tc>
          <w:tcPr>
            <w:tcW w:w="1238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AERC</w:t>
            </w:r>
          </w:p>
        </w:tc>
        <w:tc>
          <w:tcPr>
            <w:tcW w:w="6149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African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Consortium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ARDL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5"/>
              <w:ind w:left="252"/>
              <w:rPr>
                <w:sz w:val="24"/>
              </w:rPr>
            </w:pPr>
            <w:r>
              <w:rPr>
                <w:sz w:val="24"/>
              </w:rPr>
              <w:t>Autoregressive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Distributed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BOP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Payments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CAB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5"/>
              <w:ind w:left="252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CPI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DFID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5"/>
              <w:ind w:left="252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518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ERPT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Pass-Through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FDI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Direct Investment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GDP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5"/>
              <w:ind w:left="252"/>
              <w:rPr>
                <w:sz w:val="24"/>
              </w:rPr>
            </w:pP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GMM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Generalized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Moments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HIPC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5"/>
              <w:ind w:left="252"/>
              <w:rPr>
                <w:sz w:val="24"/>
              </w:rPr>
            </w:pPr>
            <w:r>
              <w:rPr>
                <w:sz w:val="24"/>
              </w:rPr>
              <w:t>Heavily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Indebted Poor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Countries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IMF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Monetary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Fund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KAB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5"/>
              <w:ind w:left="252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</w:tr>
      <w:tr>
        <w:trPr>
          <w:trHeight w:val="518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OECD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Cooperation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PRSP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Poverty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Reduction Strategy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Papers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SSA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5"/>
              <w:ind w:left="252"/>
              <w:rPr>
                <w:sz w:val="24"/>
              </w:rPr>
            </w:pPr>
            <w:r>
              <w:rPr>
                <w:sz w:val="24"/>
              </w:rPr>
              <w:t>Sub-Sahara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SVAR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Structural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Autoregressive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UNCTAD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5"/>
              <w:ind w:left="252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UNICEF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Fund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VAR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5"/>
              <w:ind w:left="252"/>
              <w:rPr>
                <w:sz w:val="24"/>
              </w:rPr>
            </w:pPr>
            <w:r>
              <w:rPr>
                <w:sz w:val="24"/>
              </w:rPr>
              <w:t>Vector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Autoregressive</w:t>
            </w:r>
          </w:p>
        </w:tc>
      </w:tr>
      <w:tr>
        <w:trPr>
          <w:trHeight w:val="518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VECM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Vector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</w:tr>
      <w:tr>
        <w:trPr>
          <w:trHeight w:val="517" w:hRule="atLeast"/>
        </w:trPr>
        <w:tc>
          <w:tcPr>
            <w:tcW w:w="123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WDI</w:t>
            </w:r>
          </w:p>
        </w:tc>
        <w:tc>
          <w:tcPr>
            <w:tcW w:w="6149" w:type="dxa"/>
          </w:tcPr>
          <w:p>
            <w:pPr>
              <w:pStyle w:val="TableParagraph"/>
              <w:spacing w:before="116"/>
              <w:ind w:left="252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Indicators</w:t>
            </w:r>
          </w:p>
        </w:tc>
      </w:tr>
      <w:tr>
        <w:trPr>
          <w:trHeight w:val="390" w:hRule="atLeast"/>
        </w:trPr>
        <w:tc>
          <w:tcPr>
            <w:tcW w:w="1238" w:type="dxa"/>
          </w:tcPr>
          <w:p>
            <w:pPr>
              <w:pStyle w:val="TableParagraph"/>
              <w:spacing w:line="256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WFP</w:t>
            </w:r>
          </w:p>
        </w:tc>
        <w:tc>
          <w:tcPr>
            <w:tcW w:w="6149" w:type="dxa"/>
          </w:tcPr>
          <w:p>
            <w:pPr>
              <w:pStyle w:val="TableParagraph"/>
              <w:spacing w:line="256" w:lineRule="exact" w:before="115"/>
              <w:ind w:left="252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1"/>
        <w:ind w:right="1011"/>
      </w:pPr>
      <w:bookmarkStart w:name="_TOC_250069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5"/>
      <w:r>
        <w:rPr/>
        <w:t>CONTENTS</w:t>
      </w:r>
    </w:p>
    <w:p>
      <w:pPr>
        <w:spacing w:after="0"/>
        <w:sectPr>
          <w:pgSz w:w="12240" w:h="15840"/>
          <w:pgMar w:header="0" w:footer="1015" w:top="1500" w:bottom="1543" w:left="1320" w:right="4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337" w:val="left" w:leader="dot"/>
            </w:tabs>
            <w:spacing w:before="565"/>
            <w:ind w:left="811" w:firstLine="0"/>
          </w:pPr>
          <w:hyperlink w:history="true" w:anchor="_TOC_250073">
            <w:r>
              <w:rPr/>
              <w:t>DEDICATION</w:t>
              <w:tab/>
              <w:t>ii</w:t>
            </w:r>
          </w:hyperlink>
        </w:p>
        <w:p>
          <w:pPr>
            <w:pStyle w:val="TOC2"/>
            <w:tabs>
              <w:tab w:pos="9273" w:val="left" w:leader="dot"/>
            </w:tabs>
            <w:ind w:left="811" w:firstLine="0"/>
          </w:pPr>
          <w:hyperlink w:history="true" w:anchor="_TOC_250072">
            <w:r>
              <w:rPr/>
              <w:t>ACKNOWLEDGEMENTS</w:t>
              <w:tab/>
              <w:t>iii</w:t>
            </w:r>
          </w:hyperlink>
        </w:p>
        <w:p>
          <w:pPr>
            <w:pStyle w:val="TOC2"/>
            <w:tabs>
              <w:tab w:pos="9273" w:val="left" w:leader="dot"/>
            </w:tabs>
            <w:spacing w:before="160"/>
            <w:ind w:left="811" w:firstLine="0"/>
          </w:pPr>
          <w:r>
            <w:rPr/>
            <w:t>ACKNOWLEDGEMENTS</w:t>
            <w:tab/>
            <w:t>iii</w:t>
          </w:r>
        </w:p>
        <w:p>
          <w:pPr>
            <w:pStyle w:val="TOC2"/>
            <w:tabs>
              <w:tab w:pos="9352" w:val="left" w:leader="dot"/>
            </w:tabs>
            <w:ind w:left="811" w:firstLine="0"/>
          </w:pPr>
          <w:r>
            <w:rPr/>
            <w:drawing>
              <wp:anchor distT="0" distB="0" distL="0" distR="0" allowOverlap="1" layoutInCell="1" locked="0" behindDoc="1" simplePos="0" relativeHeight="477889024">
                <wp:simplePos x="0" y="0"/>
                <wp:positionH relativeFrom="page">
                  <wp:posOffset>1485138</wp:posOffset>
                </wp:positionH>
                <wp:positionV relativeFrom="paragraph">
                  <wp:posOffset>123102</wp:posOffset>
                </wp:positionV>
                <wp:extent cx="5102225" cy="5044439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2225" cy="5044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71">
            <w:r>
              <w:rPr/>
              <w:t>CERTIFICATION</w:t>
              <w:tab/>
              <w:t>v</w:t>
            </w:r>
          </w:hyperlink>
        </w:p>
        <w:p>
          <w:pPr>
            <w:pStyle w:val="TOC2"/>
            <w:tabs>
              <w:tab w:pos="9285" w:val="left" w:leader="dot"/>
            </w:tabs>
            <w:ind w:left="811" w:firstLine="0"/>
          </w:pPr>
          <w:hyperlink w:history="true" w:anchor="_TOC_250070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8341" w:val="left" w:leader="dot"/>
            </w:tabs>
          </w:pPr>
          <w:r>
            <w:rPr/>
            <w:t>LIST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ABBREVIATIONS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ACRONYMS</w:t>
            <w:tab/>
            <w:t>viii</w:t>
          </w:r>
        </w:p>
        <w:p>
          <w:pPr>
            <w:pStyle w:val="TOC2"/>
            <w:tabs>
              <w:tab w:pos="9285" w:val="left" w:leader="dot"/>
            </w:tabs>
            <w:spacing w:before="162"/>
            <w:ind w:left="811" w:firstLine="0"/>
          </w:pPr>
          <w:hyperlink w:history="true" w:anchor="_TOC_250069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CONTENTS</w:t>
              <w:tab/>
              <w:t>ix</w:t>
            </w:r>
          </w:hyperlink>
        </w:p>
        <w:p>
          <w:pPr>
            <w:pStyle w:val="TOC2"/>
            <w:tabs>
              <w:tab w:pos="9153" w:val="left" w:leader="dot"/>
            </w:tabs>
            <w:ind w:left="811" w:firstLine="0"/>
          </w:pPr>
          <w:hyperlink w:history="true" w:anchor="_TOC_250068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xiii</w:t>
            </w:r>
          </w:hyperlink>
        </w:p>
        <w:p>
          <w:pPr>
            <w:pStyle w:val="TOC2"/>
            <w:tabs>
              <w:tab w:pos="9165" w:val="left" w:leader="dot"/>
            </w:tabs>
            <w:spacing w:before="160"/>
            <w:ind w:left="811" w:firstLine="0"/>
          </w:pPr>
          <w:hyperlink w:history="true" w:anchor="_TOC_250067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FIGURES</w:t>
              <w:tab/>
              <w:t>xiv</w:t>
            </w:r>
          </w:hyperlink>
        </w:p>
        <w:p>
          <w:pPr>
            <w:pStyle w:val="TOC2"/>
            <w:tabs>
              <w:tab w:pos="9352" w:val="left" w:leader="dot"/>
            </w:tabs>
            <w:spacing w:before="600"/>
            <w:ind w:left="811" w:firstLine="0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ONE</w:t>
            <w:tab/>
            <w:t>1</w:t>
          </w:r>
        </w:p>
        <w:p>
          <w:pPr>
            <w:pStyle w:val="TOC2"/>
            <w:tabs>
              <w:tab w:pos="9352" w:val="left" w:leader="dot"/>
            </w:tabs>
            <w:ind w:left="811" w:firstLine="0"/>
          </w:pPr>
          <w:r>
            <w:rPr/>
            <w:t>INTRODUCTION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471" w:val="left" w:leader="none"/>
              <w:tab w:pos="1472" w:val="left" w:leader="none"/>
              <w:tab w:pos="935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66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71" w:val="left" w:leader="none"/>
              <w:tab w:pos="1472" w:val="left" w:leader="none"/>
              <w:tab w:pos="9352" w:val="left" w:leader="dot"/>
            </w:tabs>
            <w:spacing w:line="240" w:lineRule="auto" w:before="163" w:after="0"/>
            <w:ind w:left="1471" w:right="0" w:hanging="661"/>
            <w:jc w:val="left"/>
          </w:pPr>
          <w:hyperlink w:history="true" w:anchor="_TOC_250065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Research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71" w:val="left" w:leader="none"/>
              <w:tab w:pos="1472" w:val="left" w:leader="none"/>
              <w:tab w:pos="935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64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71" w:val="left" w:leader="none"/>
              <w:tab w:pos="1472" w:val="left" w:leader="none"/>
              <w:tab w:pos="935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63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Research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71" w:val="left" w:leader="none"/>
              <w:tab w:pos="1472" w:val="left" w:leader="none"/>
              <w:tab w:pos="935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62">
            <w:r>
              <w:rPr/>
              <w:t>Plan 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tabs>
              <w:tab w:pos="9352" w:val="left" w:leader="dot"/>
            </w:tabs>
            <w:spacing w:before="600"/>
            <w:ind w:left="811" w:firstLine="0"/>
          </w:pPr>
          <w:hyperlink w:history="true" w:anchor="_TOC_25006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  <w:tab/>
              <w:t>8</w:t>
            </w:r>
          </w:hyperlink>
        </w:p>
        <w:p>
          <w:pPr>
            <w:pStyle w:val="TOC2"/>
            <w:tabs>
              <w:tab w:pos="9352" w:val="left" w:leader="dot"/>
            </w:tabs>
            <w:spacing w:line="276" w:lineRule="auto"/>
            <w:ind w:left="811" w:right="1005" w:firstLine="0"/>
          </w:pPr>
          <w:hyperlink w:history="true" w:anchor="_TOC_250060">
            <w:r>
              <w:rPr/>
              <w:t>SIERRA LEONE‘S EXCHANGE RATE POLICIES AND THE DEVELOPMENT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BALANCE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PAYMENTS</w:t>
              <w:tab/>
            </w:r>
            <w:r>
              <w:rPr>
                <w:spacing w:val="-4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71" w:val="left" w:leader="none"/>
              <w:tab w:pos="1472" w:val="left" w:leader="none"/>
              <w:tab w:pos="9352" w:val="left" w:leader="dot"/>
            </w:tabs>
            <w:spacing w:line="240" w:lineRule="auto" w:before="121" w:after="0"/>
            <w:ind w:left="1471" w:right="0" w:hanging="661"/>
            <w:jc w:val="left"/>
          </w:pPr>
          <w:hyperlink w:history="true" w:anchor="_TOC_250059">
            <w:r>
              <w:rPr/>
              <w:t>Developments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Exchange</w:t>
            </w:r>
            <w:r>
              <w:rPr>
                <w:spacing w:val="-3"/>
              </w:rPr>
              <w:t> </w:t>
            </w:r>
            <w:r>
              <w:rPr/>
              <w:t>Rate</w:t>
            </w:r>
            <w:r>
              <w:rPr>
                <w:spacing w:val="-1"/>
              </w:rPr>
              <w:t> </w:t>
            </w:r>
            <w:r>
              <w:rPr/>
              <w:t>Policies/Regimes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72" w:val="left" w:leader="none"/>
              <w:tab w:pos="9232" w:val="left" w:leader="dot"/>
            </w:tabs>
            <w:spacing w:line="240" w:lineRule="auto" w:before="162" w:after="0"/>
            <w:ind w:left="1471" w:right="0" w:hanging="661"/>
            <w:jc w:val="left"/>
          </w:pPr>
          <w:hyperlink w:history="true" w:anchor="_TOC_250058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</w:t>
            </w:r>
            <w:r>
              <w:rPr>
                <w:spacing w:val="-1"/>
              </w:rPr>
              <w:t> </w:t>
            </w:r>
            <w:r>
              <w:rPr/>
              <w:t>Policy</w:t>
            </w:r>
            <w:r>
              <w:rPr>
                <w:spacing w:val="-5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the Post-War Era: 2000-2010</w:t>
              <w:tab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0" w:after="0"/>
            <w:ind w:left="1471" w:right="0" w:hanging="661"/>
            <w:jc w:val="left"/>
          </w:pPr>
          <w:hyperlink w:history="true" w:anchor="_TOC_250057">
            <w:r>
              <w:rPr/>
              <w:t>Development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Balance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Payments</w:t>
            </w:r>
            <w:r>
              <w:rPr>
                <w:spacing w:val="-1"/>
              </w:rPr>
              <w:t> </w:t>
            </w:r>
            <w:r>
              <w:rPr/>
              <w:t>Performance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56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 Current</w:t>
            </w:r>
            <w:r>
              <w:rPr>
                <w:spacing w:val="-1"/>
              </w:rPr>
              <w:t> </w:t>
            </w:r>
            <w:r>
              <w:rPr/>
              <w:t>Account</w:t>
            </w:r>
            <w:r>
              <w:rPr>
                <w:spacing w:val="-1"/>
              </w:rPr>
              <w:t> </w:t>
            </w:r>
            <w:r>
              <w:rPr/>
              <w:t>Balance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55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 Financial</w:t>
            </w:r>
            <w:r>
              <w:rPr>
                <w:spacing w:val="-1"/>
              </w:rPr>
              <w:t> </w:t>
            </w:r>
            <w:r>
              <w:rPr/>
              <w:t>Account</w:t>
            </w:r>
            <w:r>
              <w:rPr>
                <w:spacing w:val="-1"/>
              </w:rPr>
              <w:t> </w:t>
            </w:r>
            <w:r>
              <w:rPr/>
              <w:t>Balance</w:t>
              <w:tab/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72" w:val="left" w:leader="none"/>
              <w:tab w:pos="9232" w:val="left" w:leader="dot"/>
            </w:tabs>
            <w:spacing w:line="240" w:lineRule="auto" w:before="163" w:after="164"/>
            <w:ind w:left="1471" w:right="0" w:hanging="661"/>
            <w:jc w:val="left"/>
          </w:pPr>
          <w:hyperlink w:history="true" w:anchor="_TOC_250054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Capital</w:t>
            </w:r>
            <w:r>
              <w:rPr>
                <w:spacing w:val="-1"/>
              </w:rPr>
              <w:t> </w:t>
            </w:r>
            <w:r>
              <w:rPr/>
              <w:t>Account</w:t>
            </w:r>
            <w:r>
              <w:rPr>
                <w:spacing w:val="1"/>
              </w:rPr>
              <w:t> </w:t>
            </w:r>
            <w:r>
              <w:rPr/>
              <w:t>Balance</w:t>
              <w:tab/>
              <w:t>29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72" w:val="left" w:leader="none"/>
              <w:tab w:pos="9232" w:val="left" w:leader="dot"/>
            </w:tabs>
            <w:spacing w:line="240" w:lineRule="auto" w:before="74" w:after="0"/>
            <w:ind w:left="1471" w:right="0" w:hanging="661"/>
            <w:jc w:val="left"/>
          </w:pPr>
          <w:hyperlink w:history="true" w:anchor="_TOC_250053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Consumer</w:t>
            </w:r>
            <w:r>
              <w:rPr>
                <w:spacing w:val="-1"/>
              </w:rPr>
              <w:t> </w:t>
            </w:r>
            <w:r>
              <w:rPr/>
              <w:t>Price Index</w:t>
              <w:tab/>
              <w:t>31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52">
            <w:r>
              <w:rPr/>
              <w:t>Selected</w:t>
            </w:r>
            <w:r>
              <w:rPr>
                <w:spacing w:val="-2"/>
              </w:rPr>
              <w:t> </w:t>
            </w:r>
            <w:r>
              <w:rPr/>
              <w:t>Macroeconomic</w:t>
            </w:r>
            <w:r>
              <w:rPr>
                <w:spacing w:val="1"/>
              </w:rPr>
              <w:t> </w:t>
            </w:r>
            <w:r>
              <w:rPr/>
              <w:t>Indicators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Sierra</w:t>
            </w:r>
            <w:r>
              <w:rPr>
                <w:spacing w:val="2"/>
              </w:rPr>
              <w:t> </w:t>
            </w:r>
            <w:r>
              <w:rPr/>
              <w:t>Leone:</w:t>
            </w:r>
            <w:r>
              <w:rPr>
                <w:spacing w:val="-2"/>
              </w:rPr>
              <w:t> </w:t>
            </w:r>
            <w:r>
              <w:rPr/>
              <w:t>1980-2010</w:t>
              <w:tab/>
              <w:t>33</w:t>
            </w:r>
          </w:hyperlink>
        </w:p>
        <w:p>
          <w:pPr>
            <w:pStyle w:val="TOC2"/>
            <w:tabs>
              <w:tab w:pos="9232" w:val="left" w:leader="dot"/>
            </w:tabs>
            <w:spacing w:before="600"/>
            <w:ind w:left="811" w:firstLine="0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THREE</w:t>
            <w:tab/>
            <w:t>35</w:t>
          </w:r>
        </w:p>
        <w:p>
          <w:pPr>
            <w:pStyle w:val="TOC2"/>
            <w:tabs>
              <w:tab w:pos="9232" w:val="left" w:leader="dot"/>
            </w:tabs>
            <w:ind w:left="811" w:firstLine="0"/>
          </w:pPr>
          <w:r>
            <w:rPr/>
            <w:t>LITERATURE</w:t>
          </w:r>
          <w:r>
            <w:rPr>
              <w:spacing w:val="-2"/>
            </w:rPr>
            <w:t> </w:t>
          </w:r>
          <w:r>
            <w:rPr/>
            <w:t>REVIEW</w:t>
            <w:tab/>
            <w:t>35</w:t>
          </w:r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r>
            <w:rPr/>
            <w:drawing>
              <wp:anchor distT="0" distB="0" distL="0" distR="0" allowOverlap="1" layoutInCell="1" locked="0" behindDoc="1" simplePos="0" relativeHeight="477889536">
                <wp:simplePos x="0" y="0"/>
                <wp:positionH relativeFrom="page">
                  <wp:posOffset>1485138</wp:posOffset>
                </wp:positionH>
                <wp:positionV relativeFrom="paragraph">
                  <wp:posOffset>309030</wp:posOffset>
                </wp:positionV>
                <wp:extent cx="5102225" cy="5044439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2225" cy="5044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51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the Balance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Payments</w:t>
              <w:tab/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50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 Current</w:t>
            </w:r>
            <w:r>
              <w:rPr>
                <w:spacing w:val="-1"/>
              </w:rPr>
              <w:t> </w:t>
            </w:r>
            <w:r>
              <w:rPr/>
              <w:t>Account</w:t>
            </w:r>
            <w:r>
              <w:rPr>
                <w:spacing w:val="-1"/>
              </w:rPr>
              <w:t> </w:t>
            </w:r>
            <w:r>
              <w:rPr/>
              <w:t>Balance</w:t>
              <w:tab/>
              <w:t>38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3" w:after="0"/>
            <w:ind w:left="1471" w:right="0" w:hanging="661"/>
            <w:jc w:val="left"/>
          </w:pPr>
          <w:hyperlink w:history="true" w:anchor="_TOC_250049">
            <w:r>
              <w:rPr/>
              <w:t>Exchange</w:t>
            </w:r>
            <w:r>
              <w:rPr>
                <w:spacing w:val="-3"/>
              </w:rPr>
              <w:t> </w:t>
            </w:r>
            <w:r>
              <w:rPr/>
              <w:t>Rates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the Trade Balance</w:t>
              <w:tab/>
              <w:t>39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48">
            <w:r>
              <w:rPr/>
              <w:t>Empirical</w:t>
            </w:r>
            <w:r>
              <w:rPr>
                <w:spacing w:val="-1"/>
              </w:rPr>
              <w:t> </w:t>
            </w:r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Trade</w:t>
            </w:r>
            <w:r>
              <w:rPr>
                <w:spacing w:val="-2"/>
              </w:rPr>
              <w:t> </w:t>
            </w:r>
            <w:r>
              <w:rPr/>
              <w:t>Balance</w:t>
              <w:tab/>
              <w:t>39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47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other sub-Components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Current Account</w:t>
            </w:r>
            <w:r>
              <w:rPr>
                <w:spacing w:val="-1"/>
              </w:rPr>
              <w:t> </w:t>
            </w:r>
            <w:r>
              <w:rPr/>
              <w:t>Balance</w:t>
              <w:tab/>
              <w:t>47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472" w:val="left" w:leader="none"/>
              <w:tab w:pos="9232" w:val="left" w:leader="dot"/>
            </w:tabs>
            <w:spacing w:line="278" w:lineRule="auto" w:before="161" w:after="0"/>
            <w:ind w:left="1531" w:right="1005" w:hanging="720"/>
            <w:jc w:val="left"/>
          </w:pPr>
          <w:hyperlink w:history="true" w:anchor="_TOC_250046">
            <w:r>
              <w:rPr/>
              <w:t>Empirical Evidence of Exchange Rate and other sub-Components of Current</w:t>
            </w:r>
            <w:r>
              <w:rPr>
                <w:spacing w:val="1"/>
              </w:rPr>
              <w:t> </w:t>
            </w:r>
            <w:r>
              <w:rPr/>
              <w:t>Account Balance</w:t>
              <w:tab/>
            </w:r>
            <w:r>
              <w:rPr>
                <w:spacing w:val="-3"/>
              </w:rPr>
              <w:t>48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16" w:after="0"/>
            <w:ind w:left="1471" w:right="0" w:hanging="661"/>
            <w:jc w:val="left"/>
          </w:pPr>
          <w:hyperlink w:history="true" w:anchor="_TOC_250045">
            <w:r>
              <w:rPr/>
              <w:t>Exchange</w:t>
            </w:r>
            <w:r>
              <w:rPr>
                <w:spacing w:val="-3"/>
              </w:rPr>
              <w:t> </w:t>
            </w:r>
            <w:r>
              <w:rPr/>
              <w:t>Rates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the Financial</w:t>
            </w:r>
            <w:r>
              <w:rPr>
                <w:spacing w:val="-2"/>
              </w:rPr>
              <w:t> </w:t>
            </w:r>
            <w:r>
              <w:rPr/>
              <w:t>Account</w:t>
            </w:r>
            <w:r>
              <w:rPr>
                <w:spacing w:val="1"/>
              </w:rPr>
              <w:t> </w:t>
            </w:r>
            <w:r>
              <w:rPr/>
              <w:t>Balance</w:t>
              <w:tab/>
              <w:t>50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44">
            <w:r>
              <w:rPr/>
              <w:t>Exchange</w:t>
            </w:r>
            <w:r>
              <w:rPr>
                <w:spacing w:val="-3"/>
              </w:rPr>
              <w:t> </w:t>
            </w:r>
            <w:r>
              <w:rPr/>
              <w:t>Rates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Foreign</w:t>
            </w:r>
            <w:r>
              <w:rPr>
                <w:spacing w:val="-2"/>
              </w:rPr>
              <w:t> </w:t>
            </w:r>
            <w:r>
              <w:rPr/>
              <w:t>Direct</w:t>
            </w:r>
            <w:r>
              <w:rPr>
                <w:spacing w:val="1"/>
              </w:rPr>
              <w:t> </w:t>
            </w:r>
            <w:r>
              <w:rPr/>
              <w:t>Investment</w:t>
              <w:tab/>
              <w:t>51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0" w:after="0"/>
            <w:ind w:left="1471" w:right="0" w:hanging="661"/>
            <w:jc w:val="left"/>
          </w:pPr>
          <w:r>
            <w:rPr/>
            <w:t>Exchange</w:t>
          </w:r>
          <w:r>
            <w:rPr>
              <w:spacing w:val="-3"/>
            </w:rPr>
            <w:t> </w:t>
          </w:r>
          <w:r>
            <w:rPr/>
            <w:t>Rate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Portfolio Investments</w:t>
            <w:tab/>
            <w:t>57</w:t>
          </w:r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4" w:after="0"/>
            <w:ind w:left="1471" w:right="0" w:hanging="661"/>
            <w:jc w:val="left"/>
          </w:pPr>
          <w:hyperlink w:history="true" w:anchor="_TOC_250043">
            <w:r>
              <w:rPr/>
              <w:t>Empirical</w:t>
            </w:r>
            <w:r>
              <w:rPr>
                <w:spacing w:val="-2"/>
              </w:rPr>
              <w:t> </w:t>
            </w:r>
            <w:r>
              <w:rPr/>
              <w:t>Evidence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Exchange</w:t>
            </w:r>
            <w:r>
              <w:rPr>
                <w:spacing w:val="-3"/>
              </w:rPr>
              <w:t> </w:t>
            </w:r>
            <w:r>
              <w:rPr/>
              <w:t>Rates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Portfolio Investments</w:t>
              <w:tab/>
              <w:t>58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0" w:after="0"/>
            <w:ind w:left="1471" w:right="0" w:hanging="661"/>
            <w:jc w:val="left"/>
          </w:pPr>
          <w:hyperlink w:history="true" w:anchor="_TOC_250042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</w:t>
            </w:r>
            <w:r>
              <w:rPr>
                <w:spacing w:val="-2"/>
              </w:rPr>
              <w:t> </w:t>
            </w:r>
            <w:r>
              <w:rPr/>
              <w:t>Pass-through</w:t>
            </w:r>
            <w:r>
              <w:rPr>
                <w:spacing w:val="-1"/>
              </w:rPr>
              <w:t> </w:t>
            </w:r>
            <w:r>
              <w:rPr/>
              <w:t>to Domestic</w:t>
            </w:r>
            <w:r>
              <w:rPr>
                <w:spacing w:val="-2"/>
              </w:rPr>
              <w:t> </w:t>
            </w:r>
            <w:r>
              <w:rPr/>
              <w:t>Price</w:t>
              <w:tab/>
              <w:t>63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2" w:after="0"/>
            <w:ind w:left="1471" w:right="0" w:hanging="661"/>
            <w:jc w:val="left"/>
          </w:pPr>
          <w:hyperlink w:history="true" w:anchor="_TOC_250041">
            <w:r>
              <w:rPr/>
              <w:t>Empirical</w:t>
            </w:r>
            <w:r>
              <w:rPr>
                <w:spacing w:val="-1"/>
              </w:rPr>
              <w:t> </w:t>
            </w:r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Exchange</w:t>
            </w:r>
            <w:r>
              <w:rPr>
                <w:spacing w:val="-1"/>
              </w:rPr>
              <w:t> </w:t>
            </w:r>
            <w:r>
              <w:rPr/>
              <w:t>Rate</w:t>
            </w:r>
            <w:r>
              <w:rPr>
                <w:spacing w:val="-1"/>
              </w:rPr>
              <w:t> </w:t>
            </w:r>
            <w:r>
              <w:rPr/>
              <w:t>Pass-through</w:t>
              <w:tab/>
              <w:t>65</w:t>
            </w:r>
          </w:hyperlink>
        </w:p>
        <w:p>
          <w:pPr>
            <w:pStyle w:val="TOC2"/>
            <w:tabs>
              <w:tab w:pos="9232" w:val="left" w:leader="dot"/>
            </w:tabs>
            <w:spacing w:before="600"/>
            <w:ind w:left="811" w:firstLine="0"/>
          </w:pPr>
          <w:hyperlink w:history="true" w:anchor="_TOC_25004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  <w:tab/>
              <w:t>72</w:t>
            </w:r>
          </w:hyperlink>
        </w:p>
        <w:p>
          <w:pPr>
            <w:pStyle w:val="TOC2"/>
            <w:tabs>
              <w:tab w:pos="9232" w:val="left" w:leader="dot"/>
            </w:tabs>
            <w:ind w:left="811" w:firstLine="0"/>
          </w:pPr>
          <w:hyperlink w:history="true" w:anchor="_TOC_250039">
            <w:r>
              <w:rPr/>
              <w:t>THEORETICAL</w:t>
            </w:r>
            <w:r>
              <w:rPr>
                <w:spacing w:val="-5"/>
              </w:rPr>
              <w:t> </w:t>
            </w:r>
            <w:r>
              <w:rPr/>
              <w:t>FRAMEWORK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METHODOLOGY</w:t>
              <w:tab/>
              <w:t>72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0" w:after="0"/>
            <w:ind w:left="1471" w:right="0" w:hanging="661"/>
            <w:jc w:val="left"/>
          </w:pPr>
          <w:hyperlink w:history="true" w:anchor="_TOC_250038">
            <w:r>
              <w:rPr/>
              <w:t>Theoretical</w:t>
            </w:r>
            <w:r>
              <w:rPr>
                <w:spacing w:val="-3"/>
              </w:rPr>
              <w:t> </w:t>
            </w:r>
            <w:r>
              <w:rPr/>
              <w:t>Framework</w:t>
              <w:tab/>
              <w:t>72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37">
            <w:r>
              <w:rPr/>
              <w:t>Elasticity</w:t>
            </w:r>
            <w:r>
              <w:rPr>
                <w:spacing w:val="-6"/>
              </w:rPr>
              <w:t> </w:t>
            </w:r>
            <w:r>
              <w:rPr/>
              <w:t>Approach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Balance</w:t>
            </w:r>
            <w:r>
              <w:rPr>
                <w:spacing w:val="-2"/>
              </w:rPr>
              <w:t> </w:t>
            </w:r>
            <w:r>
              <w:rPr/>
              <w:t>of Payments</w:t>
              <w:tab/>
              <w:t>73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36">
            <w:r>
              <w:rPr/>
              <w:t>Absorption</w:t>
            </w:r>
            <w:r>
              <w:rPr>
                <w:spacing w:val="-2"/>
              </w:rPr>
              <w:t> </w:t>
            </w:r>
            <w:r>
              <w:rPr/>
              <w:t>Approach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Balance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Payments</w:t>
              <w:tab/>
              <w:t>77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472" w:val="left" w:leader="none"/>
              <w:tab w:pos="9232" w:val="left" w:leader="dot"/>
            </w:tabs>
            <w:spacing w:line="240" w:lineRule="auto" w:before="163" w:after="0"/>
            <w:ind w:left="1471" w:right="0" w:hanging="661"/>
            <w:jc w:val="left"/>
          </w:pPr>
          <w:hyperlink w:history="true" w:anchor="_TOC_250035">
            <w:r>
              <w:rPr/>
              <w:t>Monetary</w:t>
            </w:r>
            <w:r>
              <w:rPr>
                <w:spacing w:val="-6"/>
              </w:rPr>
              <w:t> </w:t>
            </w:r>
            <w:r>
              <w:rPr/>
              <w:t>Approach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Balance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Payments</w:t>
              <w:tab/>
              <w:t>78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472" w:val="left" w:leader="none"/>
              <w:tab w:pos="9232" w:val="left" w:leader="dot"/>
            </w:tabs>
            <w:spacing w:line="240" w:lineRule="auto" w:before="162" w:after="0"/>
            <w:ind w:left="1471" w:right="0" w:hanging="661"/>
            <w:jc w:val="left"/>
          </w:pPr>
          <w:hyperlink w:history="true" w:anchor="_TOC_250034">
            <w:r>
              <w:rPr/>
              <w:t>Portfolio</w:t>
            </w:r>
            <w:r>
              <w:rPr>
                <w:spacing w:val="-2"/>
              </w:rPr>
              <w:t> </w:t>
            </w:r>
            <w:r>
              <w:rPr/>
              <w:t>Balance</w:t>
            </w:r>
            <w:r>
              <w:rPr>
                <w:spacing w:val="-2"/>
              </w:rPr>
              <w:t> </w:t>
            </w:r>
            <w:r>
              <w:rPr/>
              <w:t>or</w:t>
            </w:r>
            <w:r>
              <w:rPr>
                <w:spacing w:val="-1"/>
              </w:rPr>
              <w:t> </w:t>
            </w:r>
            <w:r>
              <w:rPr/>
              <w:t>Asset</w:t>
            </w:r>
            <w:r>
              <w:rPr>
                <w:spacing w:val="-1"/>
              </w:rPr>
              <w:t> </w:t>
            </w:r>
            <w:r>
              <w:rPr/>
              <w:t>Market</w:t>
            </w:r>
            <w:r>
              <w:rPr>
                <w:spacing w:val="-1"/>
              </w:rPr>
              <w:t> </w:t>
            </w:r>
            <w:r>
              <w:rPr/>
              <w:t>Approach</w:t>
              <w:tab/>
              <w:t>80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471" w:val="left" w:leader="none"/>
              <w:tab w:pos="1472" w:val="left" w:leader="none"/>
              <w:tab w:pos="9232" w:val="left" w:leader="dot"/>
            </w:tabs>
            <w:spacing w:line="240" w:lineRule="auto" w:before="160" w:after="0"/>
            <w:ind w:left="1471" w:right="0" w:hanging="661"/>
            <w:jc w:val="left"/>
          </w:pPr>
          <w:hyperlink w:history="true" w:anchor="_TOC_250033">
            <w:r>
              <w:rPr/>
              <w:t>Methodology</w:t>
              <w:tab/>
              <w:t>84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472" w:val="left" w:leader="none"/>
              <w:tab w:pos="9232" w:val="lef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32">
            <w:r>
              <w:rPr/>
              <w:t>Model</w:t>
            </w:r>
            <w:r>
              <w:rPr>
                <w:spacing w:val="-2"/>
              </w:rPr>
              <w:t> </w:t>
            </w:r>
            <w:r>
              <w:rPr/>
              <w:t>Specification</w:t>
              <w:tab/>
              <w:t>84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872" w:val="left" w:leader="none"/>
              <w:tab w:pos="1873" w:val="left" w:leader="none"/>
              <w:tab w:pos="9232" w:val="left" w:leader="dot"/>
            </w:tabs>
            <w:spacing w:line="240" w:lineRule="auto" w:before="164" w:after="0"/>
            <w:ind w:left="1872" w:right="0" w:hanging="1062"/>
            <w:jc w:val="left"/>
          </w:pPr>
          <w:hyperlink w:history="true" w:anchor="_TOC_250031">
            <w:r>
              <w:rPr/>
              <w:t>Export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Import</w:t>
            </w:r>
            <w:r>
              <w:rPr>
                <w:spacing w:val="-1"/>
              </w:rPr>
              <w:t> </w:t>
            </w:r>
            <w:r>
              <w:rPr/>
              <w:t>Equations</w:t>
              <w:tab/>
              <w:t>85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692" w:val="left" w:leader="none"/>
              <w:tab w:pos="1693" w:val="left" w:leader="none"/>
              <w:tab w:pos="9232" w:val="left" w:leader="dot"/>
            </w:tabs>
            <w:spacing w:line="240" w:lineRule="auto" w:before="160" w:after="20"/>
            <w:ind w:left="1692" w:right="0" w:hanging="882"/>
            <w:jc w:val="left"/>
          </w:pPr>
          <w:hyperlink w:history="true" w:anchor="_TOC_250030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Investment</w:t>
            </w:r>
            <w:r>
              <w:rPr>
                <w:spacing w:val="-2"/>
              </w:rPr>
              <w:t> </w:t>
            </w:r>
            <w:r>
              <w:rPr/>
              <w:t>Equation</w:t>
              <w:tab/>
              <w:t>89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532" w:val="left" w:leader="none"/>
              <w:tab w:pos="9472" w:val="right" w:leader="dot"/>
            </w:tabs>
            <w:spacing w:line="240" w:lineRule="auto" w:before="74" w:after="0"/>
            <w:ind w:left="1531" w:right="0" w:hanging="721"/>
            <w:jc w:val="left"/>
          </w:pPr>
          <w:hyperlink w:history="true" w:anchor="_TOC_250029">
            <w:r>
              <w:rPr/>
              <w:t>Exchange</w:t>
            </w:r>
            <w:r>
              <w:rPr>
                <w:spacing w:val="-2"/>
              </w:rPr>
              <w:t> </w:t>
            </w:r>
            <w:r>
              <w:rPr/>
              <w:t>Rate</w:t>
            </w:r>
            <w:r>
              <w:rPr>
                <w:spacing w:val="-1"/>
              </w:rPr>
              <w:t> </w:t>
            </w:r>
            <w:r>
              <w:rPr/>
              <w:t>Pass-Through Equation</w:t>
              <w:tab/>
              <w:t>90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28">
            <w:r>
              <w:rPr/>
              <w:t>Estimation</w:t>
            </w:r>
            <w:r>
              <w:rPr>
                <w:spacing w:val="-1"/>
              </w:rPr>
              <w:t> </w:t>
            </w:r>
            <w:r>
              <w:rPr/>
              <w:t>Procedure</w:t>
              <w:tab/>
              <w:t>92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27">
            <w:r>
              <w:rPr/>
              <w:t>Estimation</w:t>
            </w:r>
            <w:r>
              <w:rPr>
                <w:spacing w:val="-1"/>
              </w:rPr>
              <w:t> </w:t>
            </w:r>
            <w:r>
              <w:rPr/>
              <w:t>Procedure</w:t>
              <w:tab/>
              <w:t>92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3" w:after="0"/>
            <w:ind w:left="1471" w:right="0" w:hanging="661"/>
            <w:jc w:val="left"/>
          </w:pPr>
          <w:hyperlink w:history="true" w:anchor="_TOC_250026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data</w:t>
              <w:tab/>
              <w:t>96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25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Sources</w:t>
              <w:tab/>
              <w:t>96</w:t>
            </w:r>
          </w:hyperlink>
        </w:p>
        <w:p>
          <w:pPr>
            <w:pStyle w:val="TOC2"/>
            <w:tabs>
              <w:tab w:pos="9472" w:val="right" w:leader="dot"/>
            </w:tabs>
            <w:spacing w:before="598"/>
            <w:ind w:left="811" w:firstLine="0"/>
          </w:pPr>
          <w:r>
            <w:rPr/>
            <w:drawing>
              <wp:anchor distT="0" distB="0" distL="0" distR="0" allowOverlap="1" layoutInCell="1" locked="0" behindDoc="1" simplePos="0" relativeHeight="477890048">
                <wp:simplePos x="0" y="0"/>
                <wp:positionH relativeFrom="page">
                  <wp:posOffset>1485138</wp:posOffset>
                </wp:positionH>
                <wp:positionV relativeFrom="paragraph">
                  <wp:posOffset>309157</wp:posOffset>
                </wp:positionV>
                <wp:extent cx="5102225" cy="5044439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2225" cy="5044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</w:t>
              <w:tab/>
              <w:t>98</w:t>
            </w:r>
          </w:hyperlink>
        </w:p>
        <w:p>
          <w:pPr>
            <w:pStyle w:val="TOC2"/>
            <w:tabs>
              <w:tab w:pos="9472" w:val="right" w:leader="dot"/>
            </w:tabs>
            <w:spacing w:before="163"/>
            <w:ind w:left="811" w:firstLine="0"/>
          </w:pPr>
          <w:hyperlink w:history="true" w:anchor="_TOC_250023">
            <w:r>
              <w:rPr/>
              <w:t>MODEL</w:t>
            </w:r>
            <w:r>
              <w:rPr>
                <w:spacing w:val="-4"/>
              </w:rPr>
              <w:t> </w:t>
            </w:r>
            <w:r>
              <w:rPr/>
              <w:t>ESTIMATION</w:t>
            </w:r>
            <w:r>
              <w:rPr>
                <w:spacing w:val="1"/>
              </w:rPr>
              <w:t> </w:t>
            </w:r>
            <w:r>
              <w:rPr/>
              <w:t>AND INTERPRETATION OF</w:t>
            </w:r>
            <w:r>
              <w:rPr>
                <w:spacing w:val="-3"/>
              </w:rPr>
              <w:t> </w:t>
            </w:r>
            <w:r>
              <w:rPr/>
              <w:t>RESULTS</w:t>
              <w:tab/>
              <w:t>98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22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Properties of</w:t>
            </w:r>
            <w:r>
              <w:rPr>
                <w:spacing w:val="-2"/>
              </w:rPr>
              <w:t> </w:t>
            </w:r>
            <w:r>
              <w:rPr/>
              <w:t>the Variables</w:t>
              <w:tab/>
              <w:t>98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21">
            <w:r>
              <w:rPr/>
              <w:t>Descriptive</w:t>
            </w:r>
            <w:r>
              <w:rPr>
                <w:spacing w:val="-2"/>
              </w:rPr>
              <w:t> </w:t>
            </w:r>
            <w:r>
              <w:rPr/>
              <w:t>Statistics of</w:t>
            </w:r>
            <w:r>
              <w:rPr>
                <w:spacing w:val="-1"/>
              </w:rPr>
              <w:t> </w:t>
            </w:r>
            <w:r>
              <w:rPr/>
              <w:t>the Variables</w:t>
              <w:tab/>
              <w:t>98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20">
            <w:r>
              <w:rPr/>
              <w:t>Unit</w:t>
            </w:r>
            <w:r>
              <w:rPr>
                <w:spacing w:val="-1"/>
              </w:rPr>
              <w:t> </w:t>
            </w:r>
            <w:r>
              <w:rPr/>
              <w:t>Root Tests</w:t>
              <w:tab/>
              <w:t>103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3" w:after="0"/>
            <w:ind w:left="1471" w:right="0" w:hanging="661"/>
            <w:jc w:val="left"/>
          </w:pPr>
          <w:hyperlink w:history="true" w:anchor="_TOC_250019">
            <w:r>
              <w:rPr/>
              <w:t>Empirical</w:t>
            </w:r>
            <w:r>
              <w:rPr>
                <w:spacing w:val="-1"/>
              </w:rPr>
              <w:t> </w:t>
            </w:r>
            <w:r>
              <w:rPr/>
              <w:t>Analysis and</w:t>
            </w:r>
            <w:r>
              <w:rPr>
                <w:spacing w:val="2"/>
              </w:rPr>
              <w:t> </w:t>
            </w:r>
            <w:r>
              <w:rPr/>
              <w:t>Interpretation of Results</w:t>
              <w:tab/>
              <w:t>105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472" w:val="left" w:leader="none"/>
            </w:tabs>
            <w:spacing w:line="240" w:lineRule="auto" w:before="161" w:after="0"/>
            <w:ind w:left="1471" w:right="0" w:hanging="66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Unrestricted</w:t>
          </w:r>
          <w:r>
            <w:rPr>
              <w:spacing w:val="-1"/>
            </w:rPr>
            <w:t> </w:t>
          </w:r>
          <w:r>
            <w:rPr/>
            <w:t>Error Correction</w:t>
          </w:r>
          <w:r>
            <w:rPr>
              <w:spacing w:val="-1"/>
            </w:rPr>
            <w:t> </w:t>
          </w:r>
          <w:r>
            <w:rPr/>
            <w:t>Model</w:t>
          </w:r>
          <w:r>
            <w:rPr>
              <w:spacing w:val="-1"/>
            </w:rPr>
            <w:t> </w:t>
          </w:r>
          <w:r>
            <w:rPr/>
            <w:t>for the</w:t>
          </w:r>
          <w:r>
            <w:rPr>
              <w:spacing w:val="-1"/>
            </w:rPr>
            <w:t> </w:t>
          </w:r>
          <w:r>
            <w:rPr/>
            <w:t>Components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3"/>
            <w:tabs>
              <w:tab w:pos="9472" w:val="right" w:leader="dot"/>
            </w:tabs>
          </w:pPr>
          <w:r>
            <w:rPr/>
            <w:t>Balance</w:t>
          </w:r>
          <w:r>
            <w:rPr>
              <w:spacing w:val="-2"/>
            </w:rPr>
            <w:t> </w:t>
          </w:r>
          <w:r>
            <w:rPr/>
            <w:t>of Payments</w:t>
            <w:tab/>
            <w:t>105</w:t>
          </w:r>
        </w:p>
        <w:p>
          <w:pPr>
            <w:pStyle w:val="TOC2"/>
            <w:numPr>
              <w:ilvl w:val="1"/>
              <w:numId w:val="6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18">
            <w:r>
              <w:rPr/>
              <w:t>Decision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Cointegration Tests</w:t>
              <w:tab/>
              <w:t>106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472" w:val="left" w:leader="none"/>
              <w:tab w:pos="9472" w:val="right" w:leader="dot"/>
            </w:tabs>
            <w:spacing w:line="240" w:lineRule="auto" w:before="163" w:after="0"/>
            <w:ind w:left="1471" w:right="0" w:hanging="661"/>
            <w:jc w:val="left"/>
          </w:pPr>
          <w:hyperlink w:history="true" w:anchor="_TOC_250017">
            <w:r>
              <w:rPr/>
              <w:t>Bounds</w:t>
            </w:r>
            <w:r>
              <w:rPr>
                <w:spacing w:val="-1"/>
              </w:rPr>
              <w:t> </w:t>
            </w:r>
            <w:r>
              <w:rPr/>
              <w:t>Cointegration Test Results</w:t>
              <w:tab/>
              <w:t>106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16">
            <w:r>
              <w:rPr/>
              <w:t>Optimal</w:t>
            </w:r>
            <w:r>
              <w:rPr>
                <w:spacing w:val="1"/>
              </w:rPr>
              <w:t> </w:t>
            </w:r>
            <w:r>
              <w:rPr/>
              <w:t>Lag</w:t>
            </w:r>
            <w:r>
              <w:rPr>
                <w:spacing w:val="-1"/>
              </w:rPr>
              <w:t> </w:t>
            </w:r>
            <w:r>
              <w:rPr/>
              <w:t>Length Selection Criteria</w:t>
              <w:tab/>
              <w:t>108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15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Long</w:t>
            </w:r>
            <w:r>
              <w:rPr>
                <w:spacing w:val="-3"/>
              </w:rPr>
              <w:t> </w:t>
            </w:r>
            <w:r>
              <w:rPr/>
              <w:t>Run and Short Run Solutions of the</w:t>
            </w:r>
            <w:r>
              <w:rPr>
                <w:spacing w:val="-2"/>
              </w:rPr>
              <w:t> </w:t>
            </w:r>
            <w:r>
              <w:rPr/>
              <w:t>Model</w:t>
              <w:tab/>
              <w:t>108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14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Long</w:t>
            </w:r>
            <w:r>
              <w:rPr>
                <w:spacing w:val="-3"/>
              </w:rPr>
              <w:t> </w:t>
            </w:r>
            <w:r>
              <w:rPr/>
              <w:t>Run Static Solutions</w:t>
              <w:tab/>
              <w:t>109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472" w:val="left" w:leader="none"/>
              <w:tab w:pos="9472" w:val="right" w:leader="dot"/>
            </w:tabs>
            <w:spacing w:line="240" w:lineRule="auto" w:before="163" w:after="0"/>
            <w:ind w:left="1471" w:right="0" w:hanging="661"/>
            <w:jc w:val="left"/>
          </w:pPr>
          <w:hyperlink w:history="true" w:anchor="_TOC_250013">
            <w:r>
              <w:rPr/>
              <w:t>Short</w:t>
            </w:r>
            <w:r>
              <w:rPr>
                <w:spacing w:val="-1"/>
              </w:rPr>
              <w:t> </w:t>
            </w:r>
            <w:r>
              <w:rPr/>
              <w:t>Run Dynamic</w:t>
            </w:r>
            <w:r>
              <w:rPr>
                <w:spacing w:val="-1"/>
              </w:rPr>
              <w:t> </w:t>
            </w:r>
            <w:r>
              <w:rPr/>
              <w:t>Solutions</w:t>
              <w:tab/>
              <w:t>116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92" w:val="left" w:leader="none"/>
              <w:tab w:pos="1693" w:val="left" w:leader="none"/>
              <w:tab w:pos="9472" w:val="right" w:leader="dot"/>
            </w:tabs>
            <w:spacing w:line="240" w:lineRule="auto" w:before="161" w:after="0"/>
            <w:ind w:left="1692" w:right="0" w:hanging="882"/>
            <w:jc w:val="left"/>
          </w:pPr>
          <w:hyperlink w:history="true" w:anchor="_TOC_250012">
            <w:r>
              <w:rPr/>
              <w:t>Dynamic</w:t>
            </w:r>
            <w:r>
              <w:rPr>
                <w:spacing w:val="-2"/>
              </w:rPr>
              <w:t> </w:t>
            </w:r>
            <w:r>
              <w:rPr/>
              <w:t>Solution to the Balance</w:t>
            </w:r>
            <w:r>
              <w:rPr>
                <w:spacing w:val="-1"/>
              </w:rPr>
              <w:t> </w:t>
            </w:r>
            <w:r>
              <w:rPr/>
              <w:t>of Payments</w:t>
              <w:tab/>
              <w:t>116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92" w:val="left" w:leader="none"/>
              <w:tab w:pos="1693" w:val="left" w:leader="none"/>
              <w:tab w:pos="9472" w:val="right" w:leader="dot"/>
            </w:tabs>
            <w:spacing w:line="240" w:lineRule="auto" w:before="161" w:after="0"/>
            <w:ind w:left="1692" w:right="0" w:hanging="882"/>
            <w:jc w:val="left"/>
          </w:pPr>
          <w:hyperlink w:history="true" w:anchor="_TOC_250011">
            <w:r>
              <w:rPr/>
              <w:t>Dynamics</w:t>
            </w:r>
            <w:r>
              <w:rPr>
                <w:spacing w:val="-1"/>
              </w:rPr>
              <w:t> </w:t>
            </w:r>
            <w:r>
              <w:rPr/>
              <w:t>Solution to the</w:t>
            </w:r>
            <w:r>
              <w:rPr>
                <w:spacing w:val="-3"/>
              </w:rPr>
              <w:t> </w:t>
            </w:r>
            <w:r>
              <w:rPr/>
              <w:t>Current Account</w:t>
            </w:r>
            <w:r>
              <w:rPr>
                <w:spacing w:val="-1"/>
              </w:rPr>
              <w:t> </w:t>
            </w:r>
            <w:r>
              <w:rPr/>
              <w:t>Balance</w:t>
              <w:tab/>
              <w:t>118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92" w:val="left" w:leader="none"/>
              <w:tab w:pos="1693" w:val="left" w:leader="none"/>
              <w:tab w:pos="9472" w:val="right" w:leader="dot"/>
            </w:tabs>
            <w:spacing w:line="240" w:lineRule="auto" w:before="161" w:after="0"/>
            <w:ind w:left="1692" w:right="0" w:hanging="882"/>
            <w:jc w:val="left"/>
          </w:pPr>
          <w:hyperlink w:history="true" w:anchor="_TOC_250010">
            <w:r>
              <w:rPr/>
              <w:t>Dynamics</w:t>
            </w:r>
            <w:r>
              <w:rPr>
                <w:spacing w:val="-1"/>
              </w:rPr>
              <w:t> </w:t>
            </w:r>
            <w:r>
              <w:rPr/>
              <w:t>Solution to the</w:t>
            </w:r>
            <w:r>
              <w:rPr>
                <w:spacing w:val="-3"/>
              </w:rPr>
              <w:t> </w:t>
            </w:r>
            <w:r>
              <w:rPr/>
              <w:t>Capital Account</w:t>
            </w:r>
            <w:r>
              <w:rPr>
                <w:spacing w:val="-1"/>
              </w:rPr>
              <w:t> </w:t>
            </w:r>
            <w:r>
              <w:rPr/>
              <w:t>Balance</w:t>
              <w:tab/>
              <w:t>120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92" w:val="left" w:leader="none"/>
              <w:tab w:pos="1693" w:val="left" w:leader="none"/>
              <w:tab w:pos="9472" w:val="right" w:leader="dot"/>
            </w:tabs>
            <w:spacing w:line="240" w:lineRule="auto" w:before="160" w:after="0"/>
            <w:ind w:left="1692" w:right="0" w:hanging="882"/>
            <w:jc w:val="left"/>
          </w:pPr>
          <w:hyperlink w:history="true" w:anchor="_TOC_250009">
            <w:r>
              <w:rPr/>
              <w:t>Dynamics</w:t>
            </w:r>
            <w:r>
              <w:rPr>
                <w:spacing w:val="-1"/>
              </w:rPr>
              <w:t> </w:t>
            </w:r>
            <w:r>
              <w:rPr/>
              <w:t>Solutions to Exports</w:t>
              <w:tab/>
              <w:t>122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692" w:val="left" w:leader="none"/>
              <w:tab w:pos="1693" w:val="left" w:leader="none"/>
              <w:tab w:pos="9472" w:val="right" w:leader="dot"/>
            </w:tabs>
            <w:spacing w:line="240" w:lineRule="auto" w:before="164" w:after="0"/>
            <w:ind w:left="1692" w:right="0" w:hanging="882"/>
            <w:jc w:val="left"/>
          </w:pPr>
          <w:hyperlink w:history="true" w:anchor="_TOC_250008">
            <w:r>
              <w:rPr/>
              <w:t>Dynamics</w:t>
            </w:r>
            <w:r>
              <w:rPr>
                <w:spacing w:val="-1"/>
              </w:rPr>
              <w:t> </w:t>
            </w:r>
            <w:r>
              <w:rPr/>
              <w:t>Solutions to</w:t>
            </w:r>
            <w:r>
              <w:rPr>
                <w:spacing w:val="2"/>
              </w:rPr>
              <w:t> </w:t>
            </w:r>
            <w:r>
              <w:rPr/>
              <w:t>Imports</w:t>
            </w:r>
            <w:r>
              <w:rPr>
                <w:spacing w:val="-1"/>
              </w:rPr>
              <w:t> </w:t>
            </w:r>
            <w:r>
              <w:rPr/>
              <w:t>in Sierra Leone</w:t>
              <w:tab/>
              <w:t>124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711" w:val="left" w:leader="none"/>
              <w:tab w:pos="1712" w:val="left" w:leader="none"/>
              <w:tab w:pos="9472" w:val="right" w:leader="dot"/>
            </w:tabs>
            <w:spacing w:line="240" w:lineRule="auto" w:before="161" w:after="0"/>
            <w:ind w:left="1711" w:right="0" w:hanging="901"/>
            <w:jc w:val="left"/>
          </w:pPr>
          <w:hyperlink w:history="true" w:anchor="_TOC_250007">
            <w:r>
              <w:rPr/>
              <w:t>Dynamics</w:t>
            </w:r>
            <w:r>
              <w:rPr>
                <w:spacing w:val="-1"/>
              </w:rPr>
              <w:t> </w:t>
            </w:r>
            <w:r>
              <w:rPr/>
              <w:t>Solutions to</w:t>
            </w:r>
            <w:r>
              <w:rPr>
                <w:spacing w:val="2"/>
              </w:rPr>
              <w:t> </w:t>
            </w:r>
            <w:r>
              <w:rPr/>
              <w:t>Investment Equation</w:t>
              <w:tab/>
              <w:t>126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651" w:val="left" w:leader="none"/>
              <w:tab w:pos="1652" w:val="left" w:leader="none"/>
              <w:tab w:pos="9472" w:val="right" w:leader="dot"/>
            </w:tabs>
            <w:spacing w:line="240" w:lineRule="auto" w:before="161" w:after="0"/>
            <w:ind w:left="1651" w:right="0" w:hanging="841"/>
            <w:jc w:val="left"/>
          </w:pPr>
          <w:hyperlink w:history="true" w:anchor="_TOC_250006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Long</w:t>
            </w:r>
            <w:r>
              <w:rPr>
                <w:spacing w:val="-3"/>
              </w:rPr>
              <w:t> </w:t>
            </w:r>
            <w:r>
              <w:rPr/>
              <w:t>Run and</w:t>
            </w:r>
            <w:r>
              <w:rPr>
                <w:spacing w:val="-1"/>
              </w:rPr>
              <w:t> </w:t>
            </w:r>
            <w:r>
              <w:rPr/>
              <w:t>Short Run Solutions of</w:t>
            </w:r>
            <w:r>
              <w:rPr>
                <w:spacing w:val="-1"/>
              </w:rPr>
              <w:t> </w:t>
            </w:r>
            <w:r>
              <w:rPr/>
              <w:t>Exchange</w:t>
            </w:r>
            <w:r>
              <w:rPr>
                <w:spacing w:val="-1"/>
              </w:rPr>
              <w:t> </w:t>
            </w:r>
            <w:r>
              <w:rPr/>
              <w:t>Rate Pass-Through</w:t>
              <w:tab/>
              <w:t>128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711" w:val="left" w:leader="none"/>
              <w:tab w:pos="1712" w:val="left" w:leader="none"/>
              <w:tab w:pos="9472" w:val="right" w:leader="dot"/>
            </w:tabs>
            <w:spacing w:line="240" w:lineRule="auto" w:before="161" w:after="240"/>
            <w:ind w:left="1711" w:right="0" w:hanging="901"/>
            <w:jc w:val="left"/>
          </w:pPr>
          <w:hyperlink w:history="true" w:anchor="_TOC_250005">
            <w:r>
              <w:rPr/>
              <w:t>Diagnostic</w:t>
            </w:r>
            <w:r>
              <w:rPr>
                <w:spacing w:val="-1"/>
              </w:rPr>
              <w:t> </w:t>
            </w:r>
            <w:r>
              <w:rPr/>
              <w:t>Test of the</w:t>
            </w:r>
            <w:r>
              <w:rPr>
                <w:spacing w:val="1"/>
              </w:rPr>
              <w:t> </w:t>
            </w:r>
            <w:r>
              <w:rPr/>
              <w:t>Models</w:t>
              <w:tab/>
              <w:t>130</w:t>
            </w:r>
          </w:hyperlink>
        </w:p>
        <w:p>
          <w:pPr>
            <w:pStyle w:val="TOC2"/>
            <w:tabs>
              <w:tab w:pos="9472" w:val="right" w:leader="dot"/>
            </w:tabs>
            <w:spacing w:before="74"/>
            <w:ind w:left="811" w:firstLine="0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SIX</w:t>
            <w:tab/>
            <w:t>139</w:t>
          </w:r>
        </w:p>
        <w:p>
          <w:pPr>
            <w:pStyle w:val="TOC2"/>
            <w:tabs>
              <w:tab w:pos="9472" w:val="right" w:leader="dot"/>
            </w:tabs>
            <w:ind w:left="811" w:firstLine="0"/>
          </w:pPr>
          <w:r>
            <w:rPr/>
            <w:t>SUMMARY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CONCLUSION</w:t>
            <w:tab/>
            <w:t>139</w:t>
          </w:r>
        </w:p>
        <w:p>
          <w:pPr>
            <w:pStyle w:val="TOC2"/>
            <w:numPr>
              <w:ilvl w:val="1"/>
              <w:numId w:val="7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1" w:after="0"/>
            <w:ind w:left="1471" w:right="0" w:hanging="661"/>
            <w:jc w:val="left"/>
          </w:pPr>
          <w:hyperlink w:history="true" w:anchor="_TOC_250004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Findings</w:t>
              <w:tab/>
              <w:t>139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471" w:val="left" w:leader="none"/>
              <w:tab w:pos="1472" w:val="left" w:leader="none"/>
              <w:tab w:pos="9472" w:val="right" w:leader="dot"/>
            </w:tabs>
            <w:spacing w:line="240" w:lineRule="auto" w:before="163" w:after="0"/>
            <w:ind w:left="1471" w:right="0" w:hanging="661"/>
            <w:jc w:val="left"/>
          </w:pPr>
          <w:hyperlink w:history="true" w:anchor="_TOC_250003">
            <w:r>
              <w:rPr/>
              <w:t>Lessons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Policy</w:t>
              <w:tab/>
              <w:t>143</w:t>
            </w:r>
          </w:hyperlink>
        </w:p>
        <w:p>
          <w:pPr>
            <w:pStyle w:val="TOC2"/>
            <w:tabs>
              <w:tab w:pos="1471" w:val="left" w:leader="none"/>
              <w:tab w:pos="9472" w:val="right" w:leader="dot"/>
            </w:tabs>
            <w:ind w:left="811" w:firstLine="0"/>
          </w:pPr>
          <w:hyperlink w:history="true" w:anchor="_TOC_250002">
            <w:r>
              <w:rPr/>
              <w:t>6.2</w:t>
              <w:tab/>
              <w:t>Limitations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Research and Area</w:t>
            </w:r>
            <w:r>
              <w:rPr>
                <w:spacing w:val="-2"/>
              </w:rPr>
              <w:t> </w:t>
            </w:r>
            <w:r>
              <w:rPr/>
              <w:t>for Future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  <w:t>144</w:t>
            </w:r>
          </w:hyperlink>
        </w:p>
        <w:p>
          <w:pPr>
            <w:pStyle w:val="TOC2"/>
            <w:tabs>
              <w:tab w:pos="9472" w:val="right" w:leader="dot"/>
            </w:tabs>
            <w:spacing w:before="598"/>
            <w:ind w:left="811" w:firstLine="0"/>
          </w:pPr>
          <w:r>
            <w:rPr/>
            <w:drawing>
              <wp:anchor distT="0" distB="0" distL="0" distR="0" allowOverlap="1" layoutInCell="1" locked="0" behindDoc="1" simplePos="0" relativeHeight="477890560">
                <wp:simplePos x="0" y="0"/>
                <wp:positionH relativeFrom="page">
                  <wp:posOffset>1485138</wp:posOffset>
                </wp:positionH>
                <wp:positionV relativeFrom="paragraph">
                  <wp:posOffset>309157</wp:posOffset>
                </wp:positionV>
                <wp:extent cx="5102225" cy="5044439"/>
                <wp:effectExtent l="0" t="0" r="0" b="0"/>
                <wp:wrapNone/>
                <wp:docPr id="2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2225" cy="5044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1">
            <w:r>
              <w:rPr/>
              <w:t>REFERENCES</w:t>
              <w:tab/>
              <w:t>145</w:t>
            </w:r>
          </w:hyperlink>
        </w:p>
        <w:p>
          <w:pPr>
            <w:pStyle w:val="TOC2"/>
            <w:tabs>
              <w:tab w:pos="9472" w:val="right" w:leader="dot"/>
            </w:tabs>
            <w:spacing w:before="163"/>
            <w:ind w:left="811" w:firstLine="0"/>
          </w:pPr>
          <w:hyperlink w:history="true" w:anchor="_TOC_250000">
            <w:r>
              <w:rPr/>
              <w:t>APPENDICES</w:t>
              <w:tab/>
              <w:t>159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60" w:bottom="1543" w:left="1320" w:right="440"/>
        </w:sectPr>
      </w:pPr>
    </w:p>
    <w:p>
      <w:pPr>
        <w:pStyle w:val="Heading1"/>
        <w:spacing w:before="216"/>
        <w:ind w:right="1011"/>
      </w:pPr>
      <w:bookmarkStart w:name="_TOC_250068" w:id="6"/>
      <w:r>
        <w:rPr/>
        <w:t>LIST OF</w:t>
      </w:r>
      <w:r>
        <w:rPr>
          <w:spacing w:val="-1"/>
        </w:rPr>
        <w:t> </w:t>
      </w:r>
      <w:bookmarkEnd w:id="6"/>
      <w:r>
        <w:rPr/>
        <w:t>TABLES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before="1"/>
        <w:ind w:left="1032"/>
      </w:pP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7"/>
        </w:rPr>
        <w:t> </w:t>
      </w:r>
      <w:r>
        <w:rPr/>
        <w:t>Sectoral</w:t>
      </w:r>
      <w:r>
        <w:rPr>
          <w:spacing w:val="-1"/>
        </w:rPr>
        <w:t> </w:t>
      </w:r>
      <w:r>
        <w:rPr/>
        <w:t>Distribution of</w:t>
      </w:r>
      <w:r>
        <w:rPr>
          <w:spacing w:val="-2"/>
        </w:rPr>
        <w:t> </w:t>
      </w:r>
      <w:r>
        <w:rPr/>
        <w:t>Foreign Currency</w:t>
      </w:r>
      <w:r>
        <w:rPr>
          <w:spacing w:val="-6"/>
        </w:rPr>
        <w:t> </w:t>
      </w:r>
      <w:r>
        <w:rPr/>
        <w:t>Auction:</w:t>
      </w:r>
      <w:r>
        <w:rPr>
          <w:spacing w:val="-1"/>
        </w:rPr>
        <w:t> </w:t>
      </w:r>
      <w:r>
        <w:rPr/>
        <w:t>2000-2010</w:t>
      </w:r>
    </w:p>
    <w:p>
      <w:pPr>
        <w:pStyle w:val="BodyText"/>
        <w:tabs>
          <w:tab w:pos="9232" w:val="left" w:leader="dot"/>
        </w:tabs>
        <w:spacing w:before="136"/>
        <w:ind w:left="2172"/>
      </w:pPr>
      <w:r>
        <w:rPr/>
        <w:t>(Amount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US$‘million)</w:t>
        <w:tab/>
        <w:t>16</w:t>
      </w:r>
    </w:p>
    <w:p>
      <w:pPr>
        <w:pStyle w:val="BodyText"/>
        <w:spacing w:before="140"/>
        <w:ind w:left="1032"/>
      </w:pPr>
      <w:r>
        <w:rPr/>
        <w:drawing>
          <wp:anchor distT="0" distB="0" distL="0" distR="0" allowOverlap="1" layoutInCell="1" locked="0" behindDoc="1" simplePos="0" relativeHeight="477891072">
            <wp:simplePos x="0" y="0"/>
            <wp:positionH relativeFrom="page">
              <wp:posOffset>1485138</wp:posOffset>
            </wp:positionH>
            <wp:positionV relativeFrom="paragraph">
              <wp:posOffset>153963</wp:posOffset>
            </wp:positionV>
            <wp:extent cx="5102225" cy="5044439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6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</w:r>
      <w:r>
        <w:rPr>
          <w:spacing w:val="-1"/>
        </w:rPr>
        <w:t> </w:t>
      </w:r>
      <w:r>
        <w:rPr/>
        <w:t>for Selected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tabs>
          <w:tab w:pos="9232" w:val="left" w:leader="dot"/>
        </w:tabs>
        <w:spacing w:before="137"/>
        <w:ind w:left="2112"/>
      </w:pPr>
      <w:r>
        <w:rPr/>
        <w:t>1997-2010</w:t>
      </w:r>
      <w:r>
        <w:rPr>
          <w:spacing w:val="-1"/>
        </w:rPr>
        <w:t> </w:t>
      </w:r>
      <w:r>
        <w:rPr/>
        <w:t>(Amount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USD‘million)</w:t>
        <w:tab/>
        <w:t>23</w:t>
      </w:r>
    </w:p>
    <w:p>
      <w:pPr>
        <w:pStyle w:val="BodyText"/>
        <w:spacing w:before="139"/>
        <w:ind w:left="1032"/>
      </w:pPr>
      <w:r>
        <w:rPr/>
        <w:t>Table</w:t>
      </w:r>
      <w:r>
        <w:rPr>
          <w:spacing w:val="-1"/>
        </w:rPr>
        <w:t> </w:t>
      </w:r>
      <w:r>
        <w:rPr/>
        <w:t>2.3:</w:t>
      </w:r>
      <w:r>
        <w:rPr>
          <w:spacing w:val="7"/>
        </w:rPr>
        <w:t> </w:t>
      </w:r>
      <w:r>
        <w:rPr/>
        <w:t>Main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</w:r>
    </w:p>
    <w:p>
      <w:pPr>
        <w:pStyle w:val="BodyText"/>
        <w:tabs>
          <w:tab w:pos="9232" w:val="left" w:leader="dot"/>
        </w:tabs>
        <w:spacing w:before="137"/>
        <w:ind w:left="2112"/>
      </w:pPr>
      <w:r>
        <w:rPr/>
        <w:t>(Amount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US$‘million)</w:t>
        <w:tab/>
        <w:t>26</w:t>
      </w:r>
    </w:p>
    <w:p>
      <w:pPr>
        <w:pStyle w:val="BodyText"/>
        <w:tabs>
          <w:tab w:pos="9232" w:val="left" w:leader="dot"/>
        </w:tabs>
        <w:spacing w:line="360" w:lineRule="auto" w:before="139"/>
        <w:ind w:left="2162" w:right="1005" w:hanging="1131"/>
      </w:pPr>
      <w:r>
        <w:rPr/>
        <w:t>Table</w:t>
      </w:r>
      <w:r>
        <w:rPr>
          <w:spacing w:val="-1"/>
        </w:rPr>
        <w:t> </w:t>
      </w:r>
      <w:r>
        <w:rPr/>
        <w:t>2.4:</w:t>
      </w:r>
      <w:r>
        <w:rPr>
          <w:spacing w:val="7"/>
        </w:rPr>
        <w:t> </w:t>
      </w:r>
      <w:r>
        <w:rPr/>
        <w:t>Sierra</w:t>
      </w:r>
      <w:r>
        <w:rPr>
          <w:spacing w:val="-1"/>
        </w:rPr>
        <w:t> </w:t>
      </w:r>
      <w:r>
        <w:rPr/>
        <w:t>Leone‘s Balance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and Selected Macroeconomic</w:t>
      </w:r>
      <w:r>
        <w:rPr>
          <w:spacing w:val="1"/>
        </w:rPr>
        <w:t> </w:t>
      </w:r>
      <w:r>
        <w:rPr/>
        <w:t>Indicators:</w:t>
      </w:r>
      <w:r>
        <w:rPr>
          <w:spacing w:val="-2"/>
        </w:rPr>
        <w:t> </w:t>
      </w:r>
      <w:r>
        <w:rPr/>
        <w:t>1980-2010</w:t>
        <w:tab/>
      </w:r>
      <w:r>
        <w:rPr>
          <w:spacing w:val="-3"/>
        </w:rPr>
        <w:t>34</w:t>
      </w:r>
    </w:p>
    <w:p>
      <w:pPr>
        <w:pStyle w:val="BodyText"/>
        <w:tabs>
          <w:tab w:pos="9232" w:val="left" w:leader="dot"/>
        </w:tabs>
        <w:ind w:left="1032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Coefficients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Correction</w:t>
      </w:r>
      <w:r>
        <w:rPr>
          <w:spacing w:val="-2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(ECM)</w:t>
        <w:tab/>
        <w:t>95</w:t>
      </w:r>
    </w:p>
    <w:p>
      <w:pPr>
        <w:pStyle w:val="BodyText"/>
        <w:tabs>
          <w:tab w:pos="9232" w:val="left" w:leader="dot"/>
        </w:tabs>
        <w:spacing w:before="137"/>
        <w:ind w:left="1032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1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</w:t>
        <w:tab/>
        <w:t>97</w:t>
      </w:r>
    </w:p>
    <w:p>
      <w:pPr>
        <w:pStyle w:val="BodyText"/>
        <w:tabs>
          <w:tab w:pos="9112" w:val="left" w:leader="dot"/>
        </w:tabs>
        <w:spacing w:before="140"/>
        <w:ind w:left="1032"/>
      </w:pPr>
      <w:r>
        <w:rPr/>
        <w:t>Table</w:t>
      </w:r>
      <w:r>
        <w:rPr>
          <w:spacing w:val="-2"/>
        </w:rPr>
        <w:t> </w:t>
      </w:r>
      <w:r>
        <w:rPr/>
        <w:t>5.1:</w:t>
      </w:r>
      <w:r>
        <w:rPr>
          <w:spacing w:val="-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</w:t>
        <w:tab/>
        <w:t>100</w:t>
      </w:r>
    </w:p>
    <w:p>
      <w:pPr>
        <w:pStyle w:val="BodyText"/>
        <w:tabs>
          <w:tab w:pos="9112" w:val="left" w:leader="dot"/>
        </w:tabs>
        <w:spacing w:before="136"/>
        <w:ind w:left="1032"/>
      </w:pPr>
      <w:r>
        <w:rPr/>
        <w:t>Table</w:t>
      </w:r>
      <w:r>
        <w:rPr>
          <w:spacing w:val="-1"/>
        </w:rPr>
        <w:t> </w:t>
      </w:r>
      <w:r>
        <w:rPr/>
        <w:t>5.2:</w:t>
      </w:r>
      <w:r>
        <w:rPr>
          <w:spacing w:val="-1"/>
        </w:rPr>
        <w:t> </w:t>
      </w:r>
      <w:r>
        <w:rPr/>
        <w:t>Augmented Dickey</w:t>
      </w:r>
      <w:r>
        <w:rPr>
          <w:spacing w:val="-6"/>
        </w:rPr>
        <w:t> </w:t>
      </w:r>
      <w:r>
        <w:rPr/>
        <w:t>Fuller (ADF) Unit Root</w:t>
      </w:r>
      <w:r>
        <w:rPr>
          <w:spacing w:val="-1"/>
        </w:rPr>
        <w:t> </w:t>
      </w:r>
      <w:r>
        <w:rPr/>
        <w:t>Test</w:t>
        <w:tab/>
        <w:t>104</w:t>
      </w:r>
    </w:p>
    <w:p>
      <w:pPr>
        <w:pStyle w:val="BodyText"/>
        <w:tabs>
          <w:tab w:pos="9112" w:val="left" w:leader="dot"/>
        </w:tabs>
        <w:spacing w:before="140"/>
        <w:ind w:left="1032"/>
      </w:pPr>
      <w:r>
        <w:rPr/>
        <w:t>Table</w:t>
      </w:r>
      <w:r>
        <w:rPr>
          <w:spacing w:val="-2"/>
        </w:rPr>
        <w:t> </w:t>
      </w:r>
      <w:r>
        <w:rPr/>
        <w:t>5.3:</w:t>
      </w:r>
      <w:r>
        <w:rPr>
          <w:spacing w:val="65"/>
        </w:rPr>
        <w:t> </w:t>
      </w:r>
      <w:r>
        <w:rPr/>
        <w:t>Cointegration</w:t>
      </w:r>
      <w:r>
        <w:rPr>
          <w:spacing w:val="-2"/>
        </w:rPr>
        <w:t> </w:t>
      </w:r>
      <w:r>
        <w:rPr/>
        <w:t>Properties</w:t>
        <w:tab/>
        <w:t>107</w:t>
      </w:r>
    </w:p>
    <w:p>
      <w:pPr>
        <w:pStyle w:val="BodyText"/>
        <w:tabs>
          <w:tab w:pos="9112" w:val="left" w:leader="dot"/>
        </w:tabs>
        <w:spacing w:before="136"/>
        <w:ind w:left="1032"/>
      </w:pPr>
      <w:r>
        <w:rPr/>
        <w:t>Table</w:t>
      </w:r>
      <w:r>
        <w:rPr>
          <w:spacing w:val="-1"/>
        </w:rPr>
        <w:t> </w:t>
      </w:r>
      <w:r>
        <w:rPr/>
        <w:t>5.4:</w:t>
      </w:r>
      <w:r>
        <w:rPr>
          <w:spacing w:val="61"/>
        </w:rPr>
        <w:t> </w:t>
      </w:r>
      <w:r>
        <w:rPr/>
        <w:t>Long</w:t>
      </w:r>
      <w:r>
        <w:rPr>
          <w:spacing w:val="-3"/>
        </w:rPr>
        <w:t> </w:t>
      </w:r>
      <w:r>
        <w:rPr/>
        <w:t>Run</w:t>
      </w:r>
      <w:r>
        <w:rPr>
          <w:spacing w:val="-1"/>
        </w:rPr>
        <w:t> </w:t>
      </w:r>
      <w:r>
        <w:rPr/>
        <w:t>Elasticities Estimates</w:t>
        <w:tab/>
        <w:t>111</w:t>
      </w:r>
    </w:p>
    <w:p>
      <w:pPr>
        <w:pStyle w:val="BodyText"/>
        <w:tabs>
          <w:tab w:pos="9112" w:val="left" w:leader="dot"/>
        </w:tabs>
        <w:spacing w:before="140"/>
        <w:ind w:left="1032"/>
      </w:pPr>
      <w:r>
        <w:rPr/>
        <w:t>Table</w:t>
      </w:r>
      <w:r>
        <w:rPr>
          <w:spacing w:val="-1"/>
        </w:rPr>
        <w:t> </w:t>
      </w:r>
      <w:r>
        <w:rPr/>
        <w:t>5.5:</w:t>
      </w:r>
      <w:r>
        <w:rPr>
          <w:spacing w:val="2"/>
        </w:rPr>
        <w:t> </w:t>
      </w:r>
      <w:r>
        <w:rPr/>
        <w:t>Long</w:t>
      </w:r>
      <w:r>
        <w:rPr>
          <w:spacing w:val="-4"/>
        </w:rPr>
        <w:t> </w:t>
      </w:r>
      <w:r>
        <w:rPr/>
        <w:t>Run Elasticities</w:t>
      </w:r>
      <w:r>
        <w:rPr>
          <w:spacing w:val="-1"/>
        </w:rPr>
        <w:t> </w:t>
      </w:r>
      <w:r>
        <w:rPr/>
        <w:t>Estimates of the</w:t>
      </w:r>
      <w:r>
        <w:rPr>
          <w:spacing w:val="-2"/>
        </w:rPr>
        <w:t> </w:t>
      </w:r>
      <w:r>
        <w:rPr/>
        <w:t>sub-components of BoP</w:t>
        <w:tab/>
        <w:t>113</w:t>
      </w:r>
    </w:p>
    <w:p>
      <w:pPr>
        <w:pStyle w:val="BodyText"/>
        <w:tabs>
          <w:tab w:pos="9112" w:val="left" w:leader="dot"/>
        </w:tabs>
        <w:spacing w:before="137"/>
        <w:ind w:left="1032"/>
      </w:pPr>
      <w:r>
        <w:rPr/>
        <w:t>Table</w:t>
      </w:r>
      <w:r>
        <w:rPr>
          <w:spacing w:val="-1"/>
        </w:rPr>
        <w:t> </w:t>
      </w:r>
      <w:r>
        <w:rPr/>
        <w:t>5.6:</w:t>
      </w:r>
      <w:r>
        <w:rPr>
          <w:spacing w:val="65"/>
        </w:rPr>
        <w:t> </w:t>
      </w:r>
      <w:r>
        <w:rPr/>
        <w:t>Short</w:t>
      </w:r>
      <w:r>
        <w:rPr>
          <w:spacing w:val="-1"/>
        </w:rPr>
        <w:t> </w:t>
      </w:r>
      <w:r>
        <w:rPr/>
        <w:t>Run Dynamic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  <w:tab/>
        <w:t>117</w:t>
      </w:r>
    </w:p>
    <w:p>
      <w:pPr>
        <w:pStyle w:val="BodyText"/>
        <w:tabs>
          <w:tab w:pos="9112" w:val="left" w:leader="dot"/>
        </w:tabs>
        <w:spacing w:before="139"/>
        <w:ind w:left="1032"/>
      </w:pPr>
      <w:r>
        <w:rPr/>
        <w:t>Table</w:t>
      </w:r>
      <w:r>
        <w:rPr>
          <w:spacing w:val="-1"/>
        </w:rPr>
        <w:t> </w:t>
      </w:r>
      <w:r>
        <w:rPr/>
        <w:t>5.7:</w:t>
      </w:r>
      <w:r>
        <w:rPr>
          <w:spacing w:val="65"/>
        </w:rPr>
        <w:t> </w:t>
      </w:r>
      <w:r>
        <w:rPr/>
        <w:t>Short</w:t>
      </w:r>
      <w:r>
        <w:rPr>
          <w:spacing w:val="-1"/>
        </w:rPr>
        <w:t> </w:t>
      </w:r>
      <w:r>
        <w:rPr/>
        <w:t>Run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  <w:tab/>
        <w:t>119</w:t>
      </w:r>
    </w:p>
    <w:p>
      <w:pPr>
        <w:pStyle w:val="BodyText"/>
        <w:tabs>
          <w:tab w:pos="9112" w:val="left" w:leader="dot"/>
        </w:tabs>
        <w:spacing w:before="137"/>
        <w:ind w:left="1032"/>
      </w:pPr>
      <w:r>
        <w:rPr/>
        <w:t>Table</w:t>
      </w:r>
      <w:r>
        <w:rPr>
          <w:spacing w:val="-1"/>
        </w:rPr>
        <w:t> </w:t>
      </w:r>
      <w:r>
        <w:rPr/>
        <w:t>5.8:</w:t>
      </w:r>
      <w:r>
        <w:rPr>
          <w:spacing w:val="65"/>
        </w:rPr>
        <w:t> </w:t>
      </w:r>
      <w:r>
        <w:rPr/>
        <w:t>Short</w:t>
      </w:r>
      <w:r>
        <w:rPr>
          <w:spacing w:val="-1"/>
        </w:rPr>
        <w:t> </w:t>
      </w:r>
      <w:r>
        <w:rPr/>
        <w:t>Run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Solutions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  <w:tab/>
        <w:t>121</w:t>
      </w:r>
    </w:p>
    <w:p>
      <w:pPr>
        <w:pStyle w:val="BodyText"/>
        <w:tabs>
          <w:tab w:pos="9112" w:val="left" w:leader="dot"/>
        </w:tabs>
        <w:spacing w:before="139"/>
        <w:ind w:left="1032"/>
      </w:pPr>
      <w:r>
        <w:rPr/>
        <w:t>Table</w:t>
      </w:r>
      <w:r>
        <w:rPr>
          <w:spacing w:val="-1"/>
        </w:rPr>
        <w:t> </w:t>
      </w:r>
      <w:r>
        <w:rPr/>
        <w:t>5.9:</w:t>
      </w:r>
      <w:r>
        <w:rPr>
          <w:spacing w:val="64"/>
        </w:rPr>
        <w:t> </w:t>
      </w:r>
      <w:r>
        <w:rPr/>
        <w:t>Short</w:t>
      </w:r>
      <w:r>
        <w:rPr>
          <w:spacing w:val="-1"/>
        </w:rPr>
        <w:t> </w:t>
      </w:r>
      <w:r>
        <w:rPr/>
        <w:t>Run</w:t>
      </w:r>
      <w:r>
        <w:rPr>
          <w:spacing w:val="-1"/>
        </w:rPr>
        <w:t> </w:t>
      </w:r>
      <w:r>
        <w:rPr/>
        <w:t>Dynamic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Exports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Sierra</w:t>
      </w:r>
      <w:r>
        <w:rPr>
          <w:spacing w:val="-1"/>
        </w:rPr>
        <w:t> </w:t>
      </w:r>
      <w:r>
        <w:rPr/>
        <w:t>Leone</w:t>
        <w:tab/>
        <w:t>123</w:t>
      </w:r>
    </w:p>
    <w:p>
      <w:pPr>
        <w:pStyle w:val="BodyText"/>
        <w:tabs>
          <w:tab w:pos="9112" w:val="left" w:leader="dot"/>
        </w:tabs>
        <w:spacing w:before="137"/>
        <w:ind w:left="1032"/>
      </w:pPr>
      <w:r>
        <w:rPr/>
        <w:t>Table</w:t>
      </w:r>
      <w:r>
        <w:rPr>
          <w:spacing w:val="-2"/>
        </w:rPr>
        <w:t> </w:t>
      </w:r>
      <w:r>
        <w:rPr/>
        <w:t>5.10:Short</w:t>
      </w:r>
      <w:r>
        <w:rPr>
          <w:spacing w:val="-1"/>
        </w:rPr>
        <w:t> </w:t>
      </w:r>
      <w:r>
        <w:rPr/>
        <w:t>Run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Imports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Sierra</w:t>
      </w:r>
      <w:r>
        <w:rPr>
          <w:spacing w:val="1"/>
        </w:rPr>
        <w:t> </w:t>
      </w:r>
      <w:r>
        <w:rPr/>
        <w:t>Leone</w:t>
        <w:tab/>
        <w:t>125</w:t>
      </w:r>
    </w:p>
    <w:p>
      <w:pPr>
        <w:pStyle w:val="BodyText"/>
        <w:tabs>
          <w:tab w:pos="9112" w:val="left" w:leader="dot"/>
        </w:tabs>
        <w:spacing w:before="139"/>
        <w:ind w:left="1032"/>
      </w:pPr>
      <w:r>
        <w:rPr/>
        <w:t>Table</w:t>
      </w:r>
      <w:r>
        <w:rPr>
          <w:spacing w:val="-1"/>
        </w:rPr>
        <w:t> </w:t>
      </w:r>
      <w:r>
        <w:rPr/>
        <w:t>5.11:</w:t>
      </w:r>
      <w:r>
        <w:rPr>
          <w:spacing w:val="117"/>
        </w:rPr>
        <w:t> </w:t>
      </w:r>
      <w:r>
        <w:rPr/>
        <w:t>Short</w:t>
      </w:r>
      <w:r>
        <w:rPr>
          <w:spacing w:val="-1"/>
        </w:rPr>
        <w:t> </w:t>
      </w:r>
      <w:r>
        <w:rPr/>
        <w:t>Run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Investment</w:t>
        <w:tab/>
        <w:t>127</w:t>
      </w:r>
    </w:p>
    <w:p>
      <w:pPr>
        <w:pStyle w:val="BodyText"/>
        <w:tabs>
          <w:tab w:pos="9112" w:val="left" w:leader="dot"/>
        </w:tabs>
        <w:spacing w:before="137"/>
        <w:ind w:left="1032"/>
      </w:pPr>
      <w:r>
        <w:rPr/>
        <w:t>Table</w:t>
      </w:r>
      <w:r>
        <w:rPr>
          <w:spacing w:val="-1"/>
        </w:rPr>
        <w:t> </w:t>
      </w:r>
      <w:r>
        <w:rPr/>
        <w:t>5.12: Panels</w:t>
      </w:r>
      <w:r>
        <w:rPr>
          <w:spacing w:val="-1"/>
        </w:rPr>
        <w:t> </w:t>
      </w:r>
      <w:r>
        <w:rPr/>
        <w:t>of Exchange</w:t>
      </w:r>
      <w:r>
        <w:rPr>
          <w:spacing w:val="-2"/>
        </w:rPr>
        <w:t> </w:t>
      </w:r>
      <w:r>
        <w:rPr/>
        <w:t>Rate Pass-Through</w:t>
      </w:r>
      <w:r>
        <w:rPr>
          <w:spacing w:val="-1"/>
        </w:rPr>
        <w:t> </w:t>
      </w:r>
      <w:r>
        <w:rPr/>
        <w:t>Results</w:t>
        <w:tab/>
        <w:t>129</w:t>
      </w:r>
    </w:p>
    <w:p>
      <w:pPr>
        <w:pStyle w:val="BodyText"/>
        <w:tabs>
          <w:tab w:pos="9112" w:val="left" w:leader="dot"/>
        </w:tabs>
        <w:spacing w:before="140"/>
        <w:ind w:left="1032"/>
      </w:pPr>
      <w:r>
        <w:rPr/>
        <w:t>Table</w:t>
      </w:r>
      <w:r>
        <w:rPr>
          <w:spacing w:val="-1"/>
        </w:rPr>
        <w:t> </w:t>
      </w:r>
      <w:r>
        <w:rPr/>
        <w:t>5.13:Summary</w:t>
      </w:r>
      <w:r>
        <w:rPr>
          <w:spacing w:val="-5"/>
        </w:rPr>
        <w:t> </w:t>
      </w:r>
      <w:r>
        <w:rPr/>
        <w:t>of Selected</w:t>
      </w:r>
      <w:r>
        <w:rPr>
          <w:spacing w:val="1"/>
        </w:rPr>
        <w:t> </w:t>
      </w:r>
      <w:r>
        <w:rPr/>
        <w:t>Findings</w:t>
        <w:tab/>
        <w:t>131</w:t>
      </w:r>
    </w:p>
    <w:p>
      <w:pPr>
        <w:spacing w:after="0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Heading1"/>
        <w:ind w:right="1011"/>
      </w:pPr>
      <w:bookmarkStart w:name="_TOC_250067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7"/>
      <w:r>
        <w:rPr/>
        <w:t>FIGURES</w:t>
      </w:r>
    </w:p>
    <w:p>
      <w:pPr>
        <w:pStyle w:val="BodyText"/>
        <w:tabs>
          <w:tab w:pos="9232" w:val="left" w:leader="dot"/>
        </w:tabs>
        <w:spacing w:before="975"/>
        <w:ind w:left="1250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0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Regimes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Movements</w:t>
        <w:tab/>
        <w:t>11</w:t>
      </w:r>
    </w:p>
    <w:p>
      <w:pPr>
        <w:pStyle w:val="BodyText"/>
        <w:tabs>
          <w:tab w:pos="9232" w:val="left" w:leader="dot"/>
        </w:tabs>
        <w:spacing w:before="140"/>
        <w:ind w:left="1250"/>
      </w:pPr>
      <w:r>
        <w:rPr/>
        <w:drawing>
          <wp:anchor distT="0" distB="0" distL="0" distR="0" allowOverlap="1" layoutInCell="1" locked="0" behindDoc="1" simplePos="0" relativeHeight="477891584">
            <wp:simplePos x="0" y="0"/>
            <wp:positionH relativeFrom="page">
              <wp:posOffset>1485138</wp:posOffset>
            </wp:positionH>
            <wp:positionV relativeFrom="paragraph">
              <wp:posOffset>289599</wp:posOffset>
            </wp:positionV>
            <wp:extent cx="5102225" cy="5044439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4"/>
        </w:rPr>
        <w:t> </w:t>
      </w:r>
      <w:r>
        <w:rPr/>
        <w:t>2.2:</w:t>
      </w:r>
      <w:r>
        <w:rPr>
          <w:spacing w:val="-10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Regimes (Logarithmic</w:t>
      </w:r>
      <w:r>
        <w:rPr>
          <w:spacing w:val="-1"/>
        </w:rPr>
        <w:t> </w:t>
      </w:r>
      <w:r>
        <w:rPr/>
        <w:t>Scale)</w:t>
        <w:tab/>
        <w:t>12</w:t>
      </w:r>
    </w:p>
    <w:p>
      <w:pPr>
        <w:pStyle w:val="BodyText"/>
        <w:tabs>
          <w:tab w:pos="9232" w:val="left" w:leader="dot"/>
        </w:tabs>
        <w:spacing w:before="136"/>
        <w:ind w:left="1250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9"/>
        </w:rPr>
        <w:t> </w:t>
      </w:r>
      <w:r>
        <w:rPr/>
        <w:t>Short-Term</w:t>
      </w:r>
      <w:r>
        <w:rPr>
          <w:spacing w:val="-1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  <w:tab/>
        <w:t>13</w:t>
      </w:r>
    </w:p>
    <w:p>
      <w:pPr>
        <w:pStyle w:val="BodyText"/>
        <w:tabs>
          <w:tab w:pos="9232" w:val="left" w:leader="dot"/>
        </w:tabs>
        <w:spacing w:before="140"/>
        <w:ind w:left="1250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Trends</w:t>
      </w:r>
      <w:r>
        <w:rPr>
          <w:spacing w:val="-1"/>
        </w:rPr>
        <w:t> </w:t>
      </w:r>
      <w:r>
        <w:rPr/>
        <w:t>in 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  <w:tab/>
        <w:t>19</w:t>
      </w:r>
    </w:p>
    <w:p>
      <w:pPr>
        <w:pStyle w:val="BodyText"/>
        <w:tabs>
          <w:tab w:pos="9232" w:val="left" w:leader="dot"/>
        </w:tabs>
        <w:spacing w:before="136"/>
        <w:ind w:left="1250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0"/>
        </w:rPr>
        <w:t> </w:t>
      </w:r>
      <w:r>
        <w:rPr/>
        <w:t>Trends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  <w:tab/>
        <w:t>25</w:t>
      </w:r>
    </w:p>
    <w:p>
      <w:pPr>
        <w:pStyle w:val="BodyText"/>
        <w:tabs>
          <w:tab w:pos="9232" w:val="left" w:leader="dot"/>
        </w:tabs>
        <w:spacing w:before="140"/>
        <w:ind w:left="1250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-10"/>
        </w:rPr>
        <w:t> </w:t>
      </w:r>
      <w:r>
        <w:rPr/>
        <w:t>Trends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  <w:tab/>
        <w:t>28</w:t>
      </w:r>
    </w:p>
    <w:p>
      <w:pPr>
        <w:pStyle w:val="BodyText"/>
        <w:tabs>
          <w:tab w:pos="9232" w:val="left" w:leader="dot"/>
        </w:tabs>
        <w:spacing w:before="137"/>
        <w:ind w:left="1250"/>
      </w:pPr>
      <w:r>
        <w:rPr/>
        <w:t>Figure</w:t>
      </w:r>
      <w:r>
        <w:rPr>
          <w:spacing w:val="-3"/>
        </w:rPr>
        <w:t> </w:t>
      </w:r>
      <w:r>
        <w:rPr/>
        <w:t>2.7:</w:t>
      </w:r>
      <w:r>
        <w:rPr>
          <w:spacing w:val="-10"/>
        </w:rPr>
        <w:t> </w:t>
      </w:r>
      <w:r>
        <w:rPr/>
        <w:t>Trends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  <w:tab/>
        <w:t>30</w:t>
      </w:r>
    </w:p>
    <w:p>
      <w:pPr>
        <w:pStyle w:val="BodyText"/>
        <w:tabs>
          <w:tab w:pos="9232" w:val="left" w:leader="dot"/>
        </w:tabs>
        <w:spacing w:before="139"/>
        <w:ind w:left="1250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0"/>
        </w:rPr>
        <w:t> </w:t>
      </w:r>
      <w:r>
        <w:rPr/>
        <w:t>Trends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Price Index</w:t>
        <w:tab/>
        <w:t>32</w:t>
      </w:r>
    </w:p>
    <w:p>
      <w:pPr>
        <w:pStyle w:val="BodyText"/>
        <w:tabs>
          <w:tab w:pos="9232" w:val="left" w:leader="dot"/>
        </w:tabs>
        <w:spacing w:line="360" w:lineRule="auto" w:before="137"/>
        <w:ind w:left="2342" w:right="1005" w:hanging="1092"/>
      </w:pPr>
      <w:r>
        <w:rPr/>
        <w:t>Figure 4.1: Conceptual relationship between exchange rate, price level and the</w:t>
      </w:r>
      <w:r>
        <w:rPr>
          <w:spacing w:val="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  <w:tab/>
      </w:r>
      <w:r>
        <w:rPr>
          <w:spacing w:val="-3"/>
        </w:rPr>
        <w:t>76</w:t>
      </w:r>
    </w:p>
    <w:p>
      <w:pPr>
        <w:pStyle w:val="BodyText"/>
        <w:tabs>
          <w:tab w:pos="9112" w:val="left" w:leader="dot"/>
        </w:tabs>
        <w:ind w:left="1250"/>
      </w:pPr>
      <w:r>
        <w:rPr/>
        <w:t>Figure</w:t>
      </w:r>
      <w:r>
        <w:rPr>
          <w:spacing w:val="-3"/>
        </w:rPr>
        <w:t> </w:t>
      </w:r>
      <w:r>
        <w:rPr/>
        <w:t>5.1:</w:t>
      </w:r>
      <w:r>
        <w:rPr>
          <w:spacing w:val="-1"/>
        </w:rPr>
        <w:t> </w:t>
      </w:r>
      <w:r>
        <w:rPr/>
        <w:t>Graphs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 in</w:t>
      </w:r>
      <w:r>
        <w:rPr>
          <w:spacing w:val="-1"/>
        </w:rPr>
        <w:t> </w:t>
      </w:r>
      <w:r>
        <w:rPr/>
        <w:t>their Logarithm</w:t>
      </w:r>
      <w:r>
        <w:rPr>
          <w:spacing w:val="-1"/>
        </w:rPr>
        <w:t> </w:t>
      </w:r>
      <w:r>
        <w:rPr/>
        <w:t>Forms</w:t>
        <w:tab/>
        <w:t>102</w:t>
      </w:r>
    </w:p>
    <w:p>
      <w:pPr>
        <w:spacing w:after="0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8"/>
        </w:rPr>
      </w:pPr>
    </w:p>
    <w:p>
      <w:pPr>
        <w:spacing w:line="597" w:lineRule="auto" w:before="0"/>
        <w:ind w:left="4025" w:right="4209" w:hanging="1"/>
        <w:jc w:val="center"/>
        <w:rPr>
          <w:b/>
          <w:sz w:val="28"/>
        </w:rPr>
      </w:pPr>
      <w:r>
        <w:rPr>
          <w:b/>
          <w:sz w:val="28"/>
        </w:rPr>
        <w:t>CHAPTER ONE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INTRODUCTION</w:t>
      </w:r>
    </w:p>
    <w:p>
      <w:pPr>
        <w:pStyle w:val="Heading2"/>
        <w:numPr>
          <w:ilvl w:val="1"/>
          <w:numId w:val="8"/>
        </w:numPr>
        <w:tabs>
          <w:tab w:pos="1531" w:val="left" w:leader="none"/>
          <w:tab w:pos="1532" w:val="left" w:leader="none"/>
        </w:tabs>
        <w:spacing w:line="240" w:lineRule="auto" w:before="13" w:after="0"/>
        <w:ind w:left="1531" w:right="0" w:hanging="721"/>
        <w:jc w:val="left"/>
      </w:pPr>
      <w:r>
        <w:rPr/>
        <w:drawing>
          <wp:anchor distT="0" distB="0" distL="0" distR="0" allowOverlap="1" layoutInCell="1" locked="0" behindDoc="1" simplePos="0" relativeHeight="477892096">
            <wp:simplePos x="0" y="0"/>
            <wp:positionH relativeFrom="page">
              <wp:posOffset>1485138</wp:posOffset>
            </wp:positionH>
            <wp:positionV relativeFrom="paragraph">
              <wp:posOffset>-112609</wp:posOffset>
            </wp:positionV>
            <wp:extent cx="5102225" cy="5044439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66" w:id="8"/>
      <w:r>
        <w:rPr/>
        <w:t>The</w:t>
      </w:r>
      <w:r>
        <w:rPr>
          <w:spacing w:val="-3"/>
        </w:rPr>
        <w:t> </w:t>
      </w:r>
      <w:bookmarkEnd w:id="8"/>
      <w:r>
        <w:rPr/>
        <w:t>Problem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811" w:right="995"/>
        <w:jc w:val="both"/>
      </w:pPr>
      <w:r>
        <w:rPr/>
        <w:t>Since the collapse of the Bretton-Woods controlled exchange rate system in the early</w:t>
      </w:r>
      <w:r>
        <w:rPr>
          <w:spacing w:val="1"/>
        </w:rPr>
        <w:t> </w:t>
      </w:r>
      <w:r>
        <w:rPr/>
        <w:t>1970s, the effect of exchange rate policy on other economic fundamentals has been a</w:t>
      </w:r>
      <w:r>
        <w:rPr>
          <w:spacing w:val="1"/>
        </w:rPr>
        <w:t> </w:t>
      </w:r>
      <w:r>
        <w:rPr/>
        <w:t>perennial issue in macroeconomics.</w:t>
      </w:r>
      <w:r>
        <w:rPr>
          <w:spacing w:val="1"/>
        </w:rPr>
        <w:t> </w:t>
      </w:r>
      <w:r>
        <w:rPr/>
        <w:t>Exchange rate policy emerged as a controversial</w:t>
      </w:r>
      <w:r>
        <w:rPr>
          <w:spacing w:val="1"/>
        </w:rPr>
        <w:t> </w:t>
      </w:r>
      <w:r>
        <w:rPr/>
        <w:t>policy instrument especially in the 1980s with strong opposition to devaluation for fear of</w:t>
      </w:r>
      <w:r>
        <w:rPr>
          <w:spacing w:val="-57"/>
        </w:rPr>
        <w:t> </w:t>
      </w:r>
      <w:r>
        <w:rPr/>
        <w:t>its possible negative impacts on both the internal and external sectors of most developing</w:t>
      </w:r>
      <w:r>
        <w:rPr>
          <w:spacing w:val="1"/>
        </w:rPr>
        <w:t> </w:t>
      </w:r>
      <w:r>
        <w:rPr/>
        <w:t>economies.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Arize,</w:t>
      </w:r>
      <w:r>
        <w:rPr>
          <w:spacing w:val="1"/>
        </w:rPr>
        <w:t> </w:t>
      </w:r>
      <w:r>
        <w:rPr/>
        <w:t>Osang and</w:t>
      </w:r>
      <w:r>
        <w:rPr>
          <w:spacing w:val="1"/>
        </w:rPr>
        <w:t> </w:t>
      </w:r>
      <w:r>
        <w:rPr/>
        <w:t>Slottje (2000),</w:t>
      </w:r>
      <w:r>
        <w:rPr>
          <w:spacing w:val="1"/>
        </w:rPr>
        <w:t> </w:t>
      </w:r>
      <w:r>
        <w:rPr/>
        <w:t>the move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fixed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flexible exchange rate regime was an attempt to resolve the persistent problems in the</w:t>
      </w:r>
      <w:r>
        <w:rPr>
          <w:spacing w:val="1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sector.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811" w:right="994"/>
        <w:jc w:val="both"/>
      </w:pPr>
      <w:r>
        <w:rPr/>
        <w:t>Primarily, changes in exchange rate influence the overall economic activities and it is</w:t>
      </w:r>
      <w:r>
        <w:rPr>
          <w:spacing w:val="1"/>
        </w:rPr>
        <w:t> </w:t>
      </w:r>
      <w:r>
        <w:rPr/>
        <w:t>considered a fundamental policy variable that determines the volume of external trade,</w:t>
      </w:r>
      <w:r>
        <w:rPr>
          <w:spacing w:val="1"/>
        </w:rPr>
        <w:t> </w:t>
      </w:r>
      <w:r>
        <w:rPr/>
        <w:t>capital flows, foreign direct investment, inflation, international reserves and remittances.</w:t>
      </w:r>
      <w:r>
        <w:rPr>
          <w:spacing w:val="1"/>
        </w:rPr>
        <w:t> </w:t>
      </w:r>
      <w:r>
        <w:rPr/>
        <w:t>As observed by Combes, Kinda and Plane (2011), an appreciation of the real 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undermines</w:t>
      </w:r>
      <w:r>
        <w:rPr>
          <w:spacing w:val="1"/>
        </w:rPr>
        <w:t> </w:t>
      </w:r>
      <w:r>
        <w:rPr/>
        <w:t>competiveness,</w:t>
      </w:r>
      <w:r>
        <w:rPr>
          <w:spacing w:val="1"/>
        </w:rPr>
        <w:t> </w:t>
      </w:r>
      <w:r>
        <w:rPr/>
        <w:t>widens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deficit,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vulnerability which may lead to further crisis.</w:t>
      </w:r>
      <w:r>
        <w:rPr>
          <w:spacing w:val="1"/>
        </w:rPr>
        <w:t> </w:t>
      </w:r>
      <w:r>
        <w:rPr/>
        <w:t>A significant appreciation could lead to a</w:t>
      </w:r>
      <w:r>
        <w:rPr>
          <w:spacing w:val="1"/>
        </w:rPr>
        <w:t> </w:t>
      </w:r>
      <w:r>
        <w:rPr/>
        <w:t>reduction of capital inflows, causing adjustment to occur in the current account.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discussions (Edwards (1998), Agenor (1998) and Lartey (2008)) on the argument that</w:t>
      </w:r>
      <w:r>
        <w:rPr>
          <w:spacing w:val="1"/>
        </w:rPr>
        <w:t> </w:t>
      </w:r>
      <w:r>
        <w:rPr/>
        <w:t>appreciation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exchange rate affects</w:t>
      </w:r>
      <w:r>
        <w:rPr>
          <w:spacing w:val="-1"/>
        </w:rPr>
        <w:t> </w:t>
      </w:r>
      <w:r>
        <w:rPr/>
        <w:t>foreign</w:t>
      </w:r>
      <w:r>
        <w:rPr>
          <w:spacing w:val="1"/>
        </w:rPr>
        <w:t> </w:t>
      </w:r>
      <w:r>
        <w:rPr/>
        <w:t>capital inflows</w:t>
      </w:r>
      <w:r>
        <w:rPr>
          <w:spacing w:val="3"/>
        </w:rPr>
        <w:t> </w:t>
      </w:r>
      <w:r>
        <w:rPr/>
        <w:t>had</w:t>
      </w:r>
      <w:r>
        <w:rPr>
          <w:spacing w:val="-1"/>
        </w:rPr>
        <w:t> </w:t>
      </w:r>
      <w:r>
        <w:rPr/>
        <w:t>been deepened.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3"/>
        <w:jc w:val="both"/>
      </w:pPr>
      <w:r>
        <w:rPr/>
        <w:t>In the last three to four decades, Sub-Sahara Africa (SSA) has been prone to enormous</w:t>
      </w:r>
      <w:r>
        <w:rPr>
          <w:spacing w:val="1"/>
        </w:rPr>
        <w:t> </w:t>
      </w:r>
      <w:r>
        <w:rPr/>
        <w:t>shocks which range from export price variability to civil unrest and political instability</w:t>
      </w:r>
      <w:r>
        <w:rPr>
          <w:vertAlign w:val="superscript"/>
        </w:rPr>
        <w:t>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2"/>
          <w:vertAlign w:val="baseline"/>
        </w:rPr>
        <w:t> </w:t>
      </w:r>
      <w:r>
        <w:rPr>
          <w:vertAlign w:val="baseline"/>
        </w:rPr>
        <w:t>have</w:t>
      </w:r>
      <w:r>
        <w:rPr>
          <w:spacing w:val="2"/>
          <w:vertAlign w:val="baseline"/>
        </w:rPr>
        <w:t> </w:t>
      </w:r>
      <w:r>
        <w:rPr>
          <w:vertAlign w:val="baseline"/>
        </w:rPr>
        <w:t>caused</w:t>
      </w:r>
      <w:r>
        <w:rPr>
          <w:spacing w:val="3"/>
          <w:vertAlign w:val="baseline"/>
        </w:rPr>
        <w:t> </w:t>
      </w:r>
      <w:r>
        <w:rPr>
          <w:vertAlign w:val="baseline"/>
        </w:rPr>
        <w:t>pressures</w:t>
      </w:r>
      <w:r>
        <w:rPr>
          <w:spacing w:val="3"/>
          <w:vertAlign w:val="baseline"/>
        </w:rPr>
        <w:t> </w:t>
      </w:r>
      <w:r>
        <w:rPr>
          <w:vertAlign w:val="baseline"/>
        </w:rPr>
        <w:t>on</w:t>
      </w:r>
      <w:r>
        <w:rPr>
          <w:spacing w:val="3"/>
          <w:vertAlign w:val="baseline"/>
        </w:rPr>
        <w:t> </w:t>
      </w:r>
      <w:r>
        <w:rPr>
          <w:vertAlign w:val="baseline"/>
        </w:rPr>
        <w:t>most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these</w:t>
      </w:r>
      <w:r>
        <w:rPr>
          <w:spacing w:val="5"/>
          <w:vertAlign w:val="baseline"/>
        </w:rPr>
        <w:t> </w:t>
      </w:r>
      <w:r>
        <w:rPr>
          <w:vertAlign w:val="baseline"/>
        </w:rPr>
        <w:t>economies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engage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financing</w:t>
      </w:r>
      <w:r>
        <w:rPr>
          <w:spacing w:val="2"/>
          <w:vertAlign w:val="baseline"/>
        </w:rPr>
        <w:t> </w:t>
      </w:r>
      <w:r>
        <w:rPr>
          <w:vertAlign w:val="baseline"/>
        </w:rPr>
        <w:t>activities</w:t>
      </w:r>
    </w:p>
    <w:p>
      <w:pPr>
        <w:pStyle w:val="BodyText"/>
        <w:spacing w:before="4"/>
        <w:rPr>
          <w:sz w:val="23"/>
        </w:rPr>
      </w:pPr>
    </w:p>
    <w:p>
      <w:pPr>
        <w:spacing w:before="120"/>
        <w:ind w:left="811" w:right="993" w:firstLine="0"/>
        <w:jc w:val="left"/>
        <w:rPr>
          <w:sz w:val="20"/>
        </w:rPr>
      </w:pPr>
      <w:r>
        <w:rPr/>
        <w:pict>
          <v:rect style="position:absolute;margin-left:106.580002pt;margin-top:.459968pt;width:144.020pt;height:.71997pt;mso-position-horizontal-relative:page;mso-position-vertical-relative:paragraph;z-index:-2542387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countries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such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Angola,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Democratic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Congo,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d‘lvoire,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Liberia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Sierra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Leone,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among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others.</w:t>
      </w:r>
    </w:p>
    <w:p>
      <w:pPr>
        <w:spacing w:after="0"/>
        <w:jc w:val="left"/>
        <w:rPr>
          <w:sz w:val="20"/>
        </w:rPr>
        <w:sectPr>
          <w:footerReference w:type="default" r:id="rId7"/>
          <w:pgSz w:w="12240" w:h="15840"/>
          <w:pgMar w:footer="1015" w:header="0" w:top="1500" w:bottom="1200" w:left="1320" w:right="440"/>
          <w:pgNumType w:start="1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893120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that have very little direct bearing on growth (Alesina, Ozler, Roubini and Swagel (1996);</w:t>
      </w:r>
      <w:r>
        <w:rPr>
          <w:spacing w:val="-57"/>
        </w:rPr>
        <w:t> </w:t>
      </w:r>
      <w:r>
        <w:rPr/>
        <w:t>Alesina and Perotti (1996); Darby, Li and Muscatelli (2000); and Carmignani (2003).</w:t>
      </w:r>
      <w:r>
        <w:rPr>
          <w:spacing w:val="1"/>
        </w:rPr>
        <w:t> </w:t>
      </w:r>
      <w:r>
        <w:rPr/>
        <w:t>Thus, the huge external debt burden</w:t>
      </w:r>
      <w:r>
        <w:rPr>
          <w:vertAlign w:val="superscript"/>
        </w:rPr>
        <w:t>2</w:t>
      </w:r>
      <w:r>
        <w:rPr>
          <w:vertAlign w:val="baseline"/>
        </w:rPr>
        <w:t> and the deteriorating foreign exchange reserves</w:t>
      </w:r>
      <w:r>
        <w:rPr>
          <w:spacing w:val="1"/>
          <w:vertAlign w:val="baseline"/>
        </w:rPr>
        <w:t> </w:t>
      </w:r>
      <w:r>
        <w:rPr>
          <w:vertAlign w:val="baseline"/>
        </w:rPr>
        <w:t>facing these countries tend to constrain their efforts towards responding adequately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balance of payments shocks.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problem that has exacerbated external debt is trade</w:t>
      </w:r>
      <w:r>
        <w:rPr>
          <w:spacing w:val="-57"/>
          <w:vertAlign w:val="baseline"/>
        </w:rPr>
        <w:t> </w:t>
      </w:r>
      <w:r>
        <w:rPr>
          <w:vertAlign w:val="baseline"/>
        </w:rPr>
        <w:t>deficit. According to United Nations Conference on Trade and Development (UNCTAD,</w:t>
      </w:r>
      <w:r>
        <w:rPr>
          <w:spacing w:val="1"/>
          <w:vertAlign w:val="baseline"/>
        </w:rPr>
        <w:t> </w:t>
      </w:r>
      <w:r>
        <w:rPr>
          <w:vertAlign w:val="baseline"/>
        </w:rPr>
        <w:t>2011), persistent trade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deficits often</w:t>
      </w:r>
      <w:r>
        <w:rPr>
          <w:spacing w:val="1"/>
          <w:vertAlign w:val="baseline"/>
        </w:rPr>
        <w:t> </w:t>
      </w:r>
      <w:r>
        <w:rPr>
          <w:vertAlign w:val="baseline"/>
        </w:rPr>
        <w:t>go</w:t>
      </w:r>
      <w:r>
        <w:rPr>
          <w:spacing w:val="1"/>
          <w:vertAlign w:val="baseline"/>
        </w:rPr>
        <w:t> </w:t>
      </w:r>
      <w:r>
        <w:rPr>
          <w:vertAlign w:val="baseline"/>
        </w:rPr>
        <w:t>hand</w:t>
      </w:r>
      <w:r>
        <w:rPr>
          <w:spacing w:val="1"/>
          <w:vertAlign w:val="baseline"/>
        </w:rPr>
        <w:t> </w:t>
      </w:r>
      <w:r>
        <w:rPr>
          <w:vertAlign w:val="baseline"/>
        </w:rPr>
        <w:t>in hand with increases</w:t>
      </w:r>
      <w:r>
        <w:rPr>
          <w:spacing w:val="60"/>
          <w:vertAlign w:val="baseline"/>
        </w:rPr>
        <w:t> </w:t>
      </w:r>
      <w:r>
        <w:rPr>
          <w:vertAlign w:val="baseline"/>
        </w:rPr>
        <w:t>in external debt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may not be sustainable over a long period of time.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Specifically, due to the high</w:t>
      </w:r>
      <w:r>
        <w:rPr>
          <w:spacing w:val="1"/>
          <w:vertAlign w:val="baseline"/>
        </w:rPr>
        <w:t> </w:t>
      </w:r>
      <w:r>
        <w:rPr>
          <w:vertAlign w:val="baseline"/>
        </w:rPr>
        <w:t>volatility in prices, exchange rate and capital mobility, SSA countries have not been 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 their BoP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inflows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will</w:t>
      </w:r>
      <w:r>
        <w:rPr>
          <w:spacing w:val="60"/>
          <w:vertAlign w:val="baseline"/>
        </w:rPr>
        <w:t> </w:t>
      </w:r>
      <w:r>
        <w:rPr>
          <w:vertAlign w:val="baseline"/>
        </w:rPr>
        <w:t>stimulate growth.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obstacles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pict>
          <v:rect style="position:absolute;margin-left:106.580002pt;margin-top:313.053101pt;width:144.020pt;height:.72003pt;mso-position-horizontal-relative:page;mso-position-vertical-relative:paragraph;z-index:-25422848" filled="true" fillcolor="#000000" stroked="false">
            <v:fill type="solid"/>
            <w10:wrap type="none"/>
          </v:rect>
        </w:pict>
      </w:r>
      <w:r>
        <w:rPr/>
        <w:t>In Sierra Leone, exchange rate has been unprecedentedly unstable</w:t>
      </w:r>
      <w:r>
        <w:rPr>
          <w:vertAlign w:val="superscript"/>
        </w:rPr>
        <w:t>3</w:t>
      </w:r>
      <w:r>
        <w:rPr>
          <w:vertAlign w:val="baseline"/>
        </w:rPr>
        <w:t> with uneven analytical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trend in its impact on the BoP position.</w:t>
      </w:r>
      <w:r>
        <w:rPr>
          <w:spacing w:val="61"/>
          <w:vertAlign w:val="baseline"/>
        </w:rPr>
        <w:t> </w:t>
      </w:r>
      <w:r>
        <w:rPr>
          <w:vertAlign w:val="baseline"/>
        </w:rPr>
        <w:t>For instance, the nominal exchange rate,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Leone to the US Dollar was Le0.90/US$1 in 1975.</w:t>
      </w:r>
      <w:r>
        <w:rPr>
          <w:spacing w:val="1"/>
          <w:vertAlign w:val="baseline"/>
        </w:rPr>
        <w:t> </w:t>
      </w:r>
      <w:r>
        <w:rPr>
          <w:vertAlign w:val="baseline"/>
        </w:rPr>
        <w:t>Five years later, in 1980, the currency</w:t>
      </w:r>
      <w:r>
        <w:rPr>
          <w:spacing w:val="-57"/>
          <w:vertAlign w:val="baseline"/>
        </w:rPr>
        <w:t> </w:t>
      </w:r>
      <w:r>
        <w:rPr>
          <w:vertAlign w:val="baseline"/>
        </w:rPr>
        <w:t>depreciated by over 15.0 % to Le1.05/US$1.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Afterward, the rate of depreciation 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high and it was Le151.45/US$1 in 1990.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trend in depreciation has continued till date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the Leone being in excess of over Le4,000/US$1 as at the end of 2010.   Similarly,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started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deficits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 reserves in the 1980s; and the trends in the components of the BoP have 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unpredictable.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currency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depreciating,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components of BoP</w:t>
      </w:r>
      <w:r>
        <w:rPr>
          <w:spacing w:val="1"/>
          <w:vertAlign w:val="baseline"/>
        </w:rPr>
        <w:t> </w:t>
      </w:r>
      <w:r>
        <w:rPr>
          <w:vertAlign w:val="baseline"/>
        </w:rPr>
        <w:t>were also depreciating.</w:t>
      </w:r>
      <w:r>
        <w:rPr>
          <w:spacing w:val="1"/>
          <w:vertAlign w:val="baseline"/>
        </w:rPr>
        <w:t> </w:t>
      </w:r>
      <w:r>
        <w:rPr>
          <w:vertAlign w:val="baseline"/>
        </w:rPr>
        <w:t>In 1975, the trade and</w:t>
      </w:r>
      <w:r>
        <w:rPr>
          <w:spacing w:val="60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60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deficits were $13 million and $40 million,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Over a five year period,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deficits increased to $159 million and $165 million in that order.</w:t>
      </w:r>
      <w:r>
        <w:rPr>
          <w:spacing w:val="1"/>
          <w:vertAlign w:val="baseline"/>
        </w:rPr>
        <w:t> </w:t>
      </w:r>
      <w:r>
        <w:rPr>
          <w:vertAlign w:val="baseline"/>
        </w:rPr>
        <w:t>In 1990, both deficits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leaving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trade</w:t>
      </w:r>
      <w:r>
        <w:rPr>
          <w:spacing w:val="1"/>
          <w:vertAlign w:val="baseline"/>
        </w:rPr>
        <w:t> </w:t>
      </w:r>
      <w:r>
        <w:rPr>
          <w:vertAlign w:val="baseline"/>
        </w:rPr>
        <w:t>surplus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$8</w:t>
      </w:r>
      <w:r>
        <w:rPr>
          <w:spacing w:val="1"/>
          <w:vertAlign w:val="baseline"/>
        </w:rPr>
        <w:t> </w:t>
      </w:r>
      <w:r>
        <w:rPr>
          <w:vertAlign w:val="baseline"/>
        </w:rPr>
        <w:t>million,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60"/>
          <w:vertAlign w:val="baseline"/>
        </w:rPr>
        <w:t> </w:t>
      </w:r>
      <w:r>
        <w:rPr>
          <w:vertAlign w:val="baseline"/>
        </w:rPr>
        <w:t>deficit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 to $69 million.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 end of 2000, when the exchange rate was already in</w:t>
      </w:r>
      <w:r>
        <w:rPr>
          <w:spacing w:val="1"/>
          <w:vertAlign w:val="baseline"/>
        </w:rPr>
        <w:t> </w:t>
      </w:r>
      <w:r>
        <w:rPr>
          <w:vertAlign w:val="baseline"/>
        </w:rPr>
        <w:t>excess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Le2,000/US$1,</w:t>
      </w:r>
      <w:r>
        <w:rPr>
          <w:spacing w:val="28"/>
          <w:vertAlign w:val="baseline"/>
        </w:rPr>
        <w:t> </w:t>
      </w:r>
      <w:r>
        <w:rPr>
          <w:vertAlign w:val="baseline"/>
        </w:rPr>
        <w:t>both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trade</w:t>
      </w:r>
      <w:r>
        <w:rPr>
          <w:spacing w:val="27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29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29"/>
          <w:vertAlign w:val="baseline"/>
        </w:rPr>
        <w:t> </w:t>
      </w:r>
      <w:r>
        <w:rPr>
          <w:vertAlign w:val="baseline"/>
        </w:rPr>
        <w:t>balance</w:t>
      </w:r>
    </w:p>
    <w:p>
      <w:pPr>
        <w:spacing w:before="162"/>
        <w:ind w:left="811" w:right="1006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Between 1970 and 2009, the continent‘s total external debt increased by over 20 folds from US$6.1 billion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to US$127.8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billion.</w:t>
      </w:r>
    </w:p>
    <w:p>
      <w:pPr>
        <w:spacing w:before="1"/>
        <w:ind w:left="811" w:right="0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exchange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1970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Le0.83/US$1, while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it now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stands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little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over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Le4,000/US$1.</w:t>
      </w:r>
    </w:p>
    <w:p>
      <w:pPr>
        <w:spacing w:before="1"/>
        <w:ind w:left="811" w:right="999" w:firstLine="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The country‘s current account deficits was US$164.87 million (15% of GDP) in 1979 and has remained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significantly high until 2010, while foreign reserves deteriorated from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US$46.7 million in the same period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 US$30.6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million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1980;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subsequently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US$5.4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million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1990s.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4"/>
        <w:jc w:val="both"/>
      </w:pPr>
      <w:r>
        <w:rPr/>
        <w:drawing>
          <wp:anchor distT="0" distB="0" distL="0" distR="0" allowOverlap="1" layoutInCell="1" locked="0" behindDoc="1" simplePos="0" relativeHeight="477894144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worsened.</w:t>
      </w:r>
      <w:r>
        <w:rPr>
          <w:spacing w:val="1"/>
        </w:rPr>
        <w:t> </w:t>
      </w:r>
      <w:r>
        <w:rPr/>
        <w:t>The trade balance was a negative US$124 million while the current account</w:t>
      </w:r>
      <w:r>
        <w:rPr>
          <w:spacing w:val="1"/>
        </w:rPr>
        <w:t> </w:t>
      </w:r>
      <w:r>
        <w:rPr/>
        <w:t>deficit significantly increased to US$112 million.</w:t>
      </w:r>
      <w:r>
        <w:rPr>
          <w:spacing w:val="61"/>
        </w:rPr>
        <w:t> </w:t>
      </w:r>
      <w:r>
        <w:rPr/>
        <w:t>As at the end of 2010, both deficits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US$100</w:t>
      </w:r>
      <w:r>
        <w:rPr>
          <w:spacing w:val="1"/>
        </w:rPr>
        <w:t> </w:t>
      </w:r>
      <w:r>
        <w:rPr/>
        <w:t>million.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</w:t>
      </w:r>
      <w:r>
        <w:rPr>
          <w:spacing w:val="60"/>
        </w:rPr>
        <w:t> </w:t>
      </w:r>
      <w:r>
        <w:rPr/>
        <w:t>(FDI)</w:t>
      </w:r>
      <w:r>
        <w:rPr>
          <w:spacing w:val="-57"/>
        </w:rPr>
        <w:t> </w:t>
      </w:r>
      <w:r>
        <w:rPr/>
        <w:t>followed similar flows from positive net inflow of US$10 million in 1975 to negative</w:t>
      </w:r>
      <w:r>
        <w:rPr>
          <w:spacing w:val="1"/>
        </w:rPr>
        <w:t> </w:t>
      </w:r>
      <w:r>
        <w:rPr/>
        <w:t>US$19 million in 1980.</w:t>
      </w:r>
      <w:r>
        <w:rPr>
          <w:spacing w:val="1"/>
        </w:rPr>
        <w:t> </w:t>
      </w:r>
      <w:r>
        <w:rPr/>
        <w:t>This, however, remained relatively positive till 2010 (World</w:t>
      </w:r>
      <w:r>
        <w:rPr>
          <w:spacing w:val="1"/>
        </w:rPr>
        <w:t> </w:t>
      </w:r>
      <w:r>
        <w:rPr/>
        <w:t>Development Indicators (WDI) and International Financial Statistics of the International</w:t>
      </w:r>
      <w:r>
        <w:rPr>
          <w:spacing w:val="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Fund</w:t>
      </w:r>
      <w:r>
        <w:rPr>
          <w:spacing w:val="2"/>
        </w:rPr>
        <w:t> </w:t>
      </w:r>
      <w:r>
        <w:rPr/>
        <w:t>(IFS/IMF)</w:t>
      </w:r>
      <w:r>
        <w:rPr>
          <w:spacing w:val="1"/>
        </w:rPr>
        <w:t> </w:t>
      </w:r>
      <w:r>
        <w:rPr/>
        <w:t>(various</w:t>
      </w:r>
      <w:r>
        <w:rPr>
          <w:spacing w:val="4"/>
        </w:rPr>
        <w:t> </w:t>
      </w:r>
      <w:r>
        <w:rPr/>
        <w:t>years)).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811" w:right="996"/>
        <w:jc w:val="both"/>
      </w:pPr>
      <w:r>
        <w:rPr/>
        <w:t>As a policy instrument, the International Monetary Fund (IMF) has often recommended</w:t>
      </w:r>
      <w:r>
        <w:rPr>
          <w:spacing w:val="1"/>
        </w:rPr>
        <w:t> </w:t>
      </w:r>
      <w:r>
        <w:rPr/>
        <w:t>currency devaluations for countries suffering from balance of payments‘ (BoP) deficits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reserve shortages.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 with</w:t>
      </w:r>
      <w:r>
        <w:rPr>
          <w:spacing w:val="1"/>
        </w:rPr>
        <w:t> </w:t>
      </w:r>
      <w:r>
        <w:rPr/>
        <w:t>a view to</w:t>
      </w:r>
      <w:r>
        <w:rPr>
          <w:spacing w:val="60"/>
        </w:rPr>
        <w:t> </w:t>
      </w:r>
      <w:r>
        <w:rPr/>
        <w:t>correcting the BoP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market.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Despite the significant depreciation of the exchange rate over the years, none of the</w:t>
      </w:r>
      <w:r>
        <w:rPr>
          <w:spacing w:val="1"/>
        </w:rPr>
        <w:t> </w:t>
      </w:r>
      <w:r>
        <w:rPr/>
        <w:t>components of the country‘s BoP depicted improvements in its position.</w:t>
      </w:r>
      <w:r>
        <w:rPr>
          <w:spacing w:val="1"/>
        </w:rPr>
        <w:t> </w:t>
      </w:r>
      <w:r>
        <w:rPr/>
        <w:t>Also observed</w:t>
      </w:r>
      <w:r>
        <w:rPr>
          <w:spacing w:val="1"/>
        </w:rPr>
        <w:t> </w:t>
      </w:r>
      <w:r>
        <w:rPr/>
        <w:t>from the country‘s data, as exchange rate depreciated, the general price level increased.</w:t>
      </w:r>
      <w:r>
        <w:rPr>
          <w:spacing w:val="1"/>
        </w:rPr>
        <w:t> </w:t>
      </w:r>
      <w:r>
        <w:rPr/>
        <w:t>This implies that exchange rate movements have a role in the determination of other</w:t>
      </w:r>
      <w:r>
        <w:rPr>
          <w:spacing w:val="1"/>
        </w:rPr>
        <w:t> </w:t>
      </w:r>
      <w:r>
        <w:rPr/>
        <w:t>macroeconomic fundamentals including the consumer price level. The key question that</w:t>
      </w:r>
      <w:r>
        <w:rPr>
          <w:spacing w:val="1"/>
        </w:rPr>
        <w:t> </w:t>
      </w:r>
      <w:r>
        <w:rPr/>
        <w:t>may arise from the foregoing is, how, has exchange rate depreciation influenced Sierra</w:t>
      </w:r>
      <w:r>
        <w:rPr>
          <w:spacing w:val="1"/>
        </w:rPr>
        <w:t> </w:t>
      </w:r>
      <w:r>
        <w:rPr/>
        <w:t>Leonean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Sierra</w:t>
      </w:r>
      <w:r>
        <w:rPr>
          <w:spacing w:val="60"/>
        </w:rPr>
        <w:t> </w:t>
      </w:r>
      <w:r>
        <w:rPr/>
        <w:t>Leone</w:t>
      </w:r>
      <w:r>
        <w:rPr>
          <w:spacing w:val="60"/>
        </w:rPr>
        <w:t> </w:t>
      </w:r>
      <w:r>
        <w:rPr/>
        <w:t>(Korsu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Braima, 2009; and Dabo, 2010) have focused mainly on exchange rate and economic</w:t>
      </w:r>
      <w:r>
        <w:rPr>
          <w:spacing w:val="1"/>
        </w:rPr>
        <w:t> </w:t>
      </w:r>
      <w:r>
        <w:rPr/>
        <w:t>growth, determinants of exchange rate and exchange rate misalignments, while its effects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components of the</w:t>
      </w:r>
      <w:r>
        <w:rPr>
          <w:spacing w:val="1"/>
        </w:rPr>
        <w:t> </w:t>
      </w:r>
      <w:r>
        <w:rPr/>
        <w:t>BoP have</w:t>
      </w:r>
      <w:r>
        <w:rPr>
          <w:spacing w:val="-1"/>
        </w:rPr>
        <w:t> </w:t>
      </w:r>
      <w:r>
        <w:rPr/>
        <w:t>not been examined.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8"/>
        </w:numPr>
        <w:tabs>
          <w:tab w:pos="1531" w:val="left" w:leader="none"/>
          <w:tab w:pos="1532" w:val="left" w:leader="none"/>
        </w:tabs>
        <w:spacing w:line="240" w:lineRule="auto" w:before="90" w:after="0"/>
        <w:ind w:left="1531" w:right="0" w:hanging="721"/>
        <w:jc w:val="left"/>
      </w:pPr>
      <w:bookmarkStart w:name="_TOC_250065" w:id="9"/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9"/>
      <w:r>
        <w:rPr/>
        <w:t>Research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1001"/>
        <w:jc w:val="both"/>
      </w:pPr>
      <w:r>
        <w:rPr/>
        <w:t>The broad objective of this research is to examine the effects of exchange rate dynamics</w:t>
      </w:r>
      <w:r>
        <w:rPr>
          <w:spacing w:val="1"/>
        </w:rPr>
        <w:t> </w:t>
      </w:r>
      <w:r>
        <w:rPr/>
        <w:t>on the balance of payments in Sierra Leone.</w:t>
      </w:r>
      <w:r>
        <w:rPr>
          <w:spacing w:val="1"/>
        </w:rPr>
        <w:t> </w:t>
      </w:r>
      <w:r>
        <w:rPr/>
        <w:t>Specifically, the objectives are twofold.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531" w:val="left" w:leader="none"/>
          <w:tab w:pos="1532" w:val="left" w:leader="none"/>
        </w:tabs>
        <w:spacing w:line="360" w:lineRule="auto" w:before="0" w:after="0"/>
        <w:ind w:left="1531" w:right="1001" w:hanging="48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894656">
            <wp:simplePos x="0" y="0"/>
            <wp:positionH relativeFrom="page">
              <wp:posOffset>1485138</wp:posOffset>
            </wp:positionH>
            <wp:positionV relativeFrom="paragraph">
              <wp:posOffset>-5040</wp:posOffset>
            </wp:positionV>
            <wp:extent cx="5102225" cy="5044439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examine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factors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influence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balance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payments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specific</w:t>
      </w:r>
      <w:r>
        <w:rPr>
          <w:spacing w:val="5"/>
          <w:sz w:val="24"/>
        </w:rPr>
        <w:t> </w:t>
      </w:r>
      <w:r>
        <w:rPr>
          <w:sz w:val="24"/>
        </w:rPr>
        <w:t>reference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 behaviour; and</w:t>
      </w:r>
    </w:p>
    <w:p>
      <w:pPr>
        <w:pStyle w:val="ListParagraph"/>
        <w:numPr>
          <w:ilvl w:val="2"/>
          <w:numId w:val="8"/>
        </w:numPr>
        <w:tabs>
          <w:tab w:pos="1531" w:val="left" w:leader="none"/>
          <w:tab w:pos="1532" w:val="left" w:leader="none"/>
        </w:tabs>
        <w:spacing w:line="360" w:lineRule="auto" w:before="0" w:after="0"/>
        <w:ind w:left="1531" w:right="995" w:hanging="540"/>
        <w:jc w:val="left"/>
        <w:rPr>
          <w:sz w:val="24"/>
        </w:rPr>
      </w:pPr>
      <w:r>
        <w:rPr>
          <w:sz w:val="24"/>
        </w:rPr>
        <w:t>analyze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pass-through</w:t>
      </w:r>
      <w:r>
        <w:rPr>
          <w:spacing w:val="27"/>
          <w:sz w:val="24"/>
        </w:rPr>
        <w:t> </w:t>
      </w:r>
      <w:r>
        <w:rPr>
          <w:sz w:val="24"/>
        </w:rPr>
        <w:t>effects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exchange</w:t>
      </w:r>
      <w:r>
        <w:rPr>
          <w:spacing w:val="24"/>
          <w:sz w:val="24"/>
        </w:rPr>
        <w:t> </w:t>
      </w:r>
      <w:r>
        <w:rPr>
          <w:sz w:val="24"/>
        </w:rPr>
        <w:t>rate</w:t>
      </w:r>
      <w:r>
        <w:rPr>
          <w:spacing w:val="26"/>
          <w:sz w:val="24"/>
        </w:rPr>
        <w:t> </w:t>
      </w:r>
      <w:r>
        <w:rPr>
          <w:sz w:val="24"/>
        </w:rPr>
        <w:t>depreciation</w:t>
      </w:r>
      <w:r>
        <w:rPr>
          <w:spacing w:val="25"/>
          <w:sz w:val="24"/>
        </w:rPr>
        <w:t> </w:t>
      </w:r>
      <w:r>
        <w:rPr>
          <w:sz w:val="24"/>
        </w:rPr>
        <w:t>through</w:t>
      </w:r>
      <w:r>
        <w:rPr>
          <w:spacing w:val="29"/>
          <w:sz w:val="24"/>
        </w:rPr>
        <w:t> </w:t>
      </w:r>
      <w:r>
        <w:rPr>
          <w:sz w:val="24"/>
        </w:rPr>
        <w:t>domestic</w:t>
      </w:r>
      <w:r>
        <w:rPr>
          <w:spacing w:val="-57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level to the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1"/>
          <w:sz w:val="24"/>
        </w:rPr>
        <w:t> </w:t>
      </w:r>
      <w:r>
        <w:rPr>
          <w:sz w:val="24"/>
        </w:rPr>
        <w:t>of payments.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1531" w:val="left" w:leader="none"/>
          <w:tab w:pos="1532" w:val="left" w:leader="none"/>
        </w:tabs>
        <w:spacing w:line="240" w:lineRule="auto" w:before="187" w:after="0"/>
        <w:ind w:left="1531" w:right="0" w:hanging="721"/>
        <w:jc w:val="left"/>
      </w:pPr>
      <w:bookmarkStart w:name="_TOC_250064" w:id="10"/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0"/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Exchange rate behaviour has been a fundamental problem for most economies.</w:t>
      </w:r>
      <w:r>
        <w:rPr>
          <w:spacing w:val="1"/>
        </w:rPr>
        <w:t> </w:t>
      </w:r>
      <w:r>
        <w:rPr/>
        <w:t>Exchange</w:t>
      </w:r>
      <w:r>
        <w:rPr>
          <w:spacing w:val="-57"/>
        </w:rPr>
        <w:t> </w:t>
      </w:r>
      <w:r>
        <w:rPr/>
        <w:t>rate adjusts in order to make the country‘s exports more competitive in the international</w:t>
      </w:r>
      <w:r>
        <w:rPr>
          <w:spacing w:val="1"/>
        </w:rPr>
        <w:t> </w:t>
      </w:r>
      <w:r>
        <w:rPr/>
        <w:t>market and make import relatively expensive thereby improving the trade performance</w:t>
      </w:r>
      <w:r>
        <w:rPr>
          <w:spacing w:val="1"/>
        </w:rPr>
        <w:t> </w:t>
      </w:r>
      <w:r>
        <w:rPr/>
        <w:t>and hence, the BoP.</w:t>
      </w:r>
      <w:r>
        <w:rPr>
          <w:spacing w:val="1"/>
        </w:rPr>
        <w:t> </w:t>
      </w:r>
      <w:r>
        <w:rPr/>
        <w:t>Similarly, exchange rate depreciation is expected to attract Foreign</w:t>
      </w:r>
      <w:r>
        <w:rPr>
          <w:spacing w:val="1"/>
        </w:rPr>
        <w:t> </w:t>
      </w:r>
      <w:r>
        <w:rPr/>
        <w:t>Direct Investment (FDI) inflows due to among others the inputs cost effects in domestic</w:t>
      </w:r>
      <w:r>
        <w:rPr>
          <w:spacing w:val="1"/>
        </w:rPr>
        <w:t> </w:t>
      </w:r>
      <w:r>
        <w:rPr/>
        <w:t>currency.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of their monetary</w:t>
      </w:r>
      <w:r>
        <w:rPr>
          <w:spacing w:val="-5"/>
        </w:rPr>
        <w:t> </w:t>
      </w:r>
      <w:r>
        <w:rPr/>
        <w:t>policies.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In spite of the several exchange rate policies that have been implemented in Sierra Leone,</w:t>
      </w:r>
      <w:r>
        <w:rPr>
          <w:spacing w:val="-57"/>
        </w:rPr>
        <w:t> </w:t>
      </w:r>
      <w:r>
        <w:rPr/>
        <w:t>the country is still entrapped in persistent BoP problems.</w:t>
      </w:r>
      <w:r>
        <w:rPr>
          <w:spacing w:val="61"/>
        </w:rPr>
        <w:t> </w:t>
      </w:r>
      <w:r>
        <w:rPr/>
        <w:t>The existing literature has</w:t>
      </w:r>
      <w:r>
        <w:rPr>
          <w:spacing w:val="1"/>
        </w:rPr>
        <w:t> </w:t>
      </w:r>
      <w:r>
        <w:rPr/>
        <w:t>shown that exchange rate behaviour influences the BoP.</w:t>
      </w:r>
      <w:r>
        <w:rPr>
          <w:spacing w:val="1"/>
        </w:rPr>
        <w:t> </w:t>
      </w:r>
      <w:r>
        <w:rPr/>
        <w:t>However, the effect on the BoP</w:t>
      </w:r>
      <w:r>
        <w:rPr>
          <w:spacing w:val="1"/>
        </w:rPr>
        <w:t> </w:t>
      </w:r>
      <w:r>
        <w:rPr/>
        <w:t>has been silent about its components that have been significantly influenced.</w:t>
      </w:r>
      <w:r>
        <w:rPr>
          <w:spacing w:val="1"/>
        </w:rPr>
        <w:t> </w:t>
      </w:r>
      <w:r>
        <w:rPr/>
        <w:t>Is it the</w:t>
      </w:r>
      <w:r>
        <w:rPr>
          <w:spacing w:val="1"/>
        </w:rPr>
        <w:t> </w:t>
      </w:r>
      <w:r>
        <w:rPr/>
        <w:t>current account, the financial account or the capital account?</w:t>
      </w:r>
      <w:r>
        <w:rPr>
          <w:spacing w:val="1"/>
        </w:rPr>
        <w:t> </w:t>
      </w:r>
      <w:r>
        <w:rPr/>
        <w:t>How has each of these</w:t>
      </w:r>
      <w:r>
        <w:rPr>
          <w:spacing w:val="1"/>
        </w:rPr>
        <w:t> </w:t>
      </w:r>
      <w:r>
        <w:rPr/>
        <w:t>components responded to such changes over the years?</w:t>
      </w:r>
      <w:r>
        <w:rPr>
          <w:spacing w:val="1"/>
        </w:rPr>
        <w:t> </w:t>
      </w:r>
      <w:r>
        <w:rPr/>
        <w:t>This study attempts to find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anlyzing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 of the balance of payments.</w:t>
      </w:r>
      <w:r>
        <w:rPr>
          <w:spacing w:val="61"/>
        </w:rPr>
        <w:t> </w:t>
      </w:r>
      <w:r>
        <w:rPr/>
        <w:t>Also, exchange rate and the consumer price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prices,</w:t>
      </w:r>
      <w:r>
        <w:rPr>
          <w:spacing w:val="1"/>
        </w:rPr>
        <w:t> </w:t>
      </w:r>
      <w:r>
        <w:rPr/>
        <w:t>analysing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authorities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that affect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external</w:t>
      </w:r>
      <w:r>
        <w:rPr>
          <w:spacing w:val="-1"/>
        </w:rPr>
        <w:t> </w:t>
      </w:r>
      <w:r>
        <w:rPr/>
        <w:t>sector.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811" w:right="992"/>
        <w:jc w:val="both"/>
      </w:pPr>
      <w:r>
        <w:rPr/>
        <w:drawing>
          <wp:anchor distT="0" distB="0" distL="0" distR="0" allowOverlap="1" layoutInCell="1" locked="0" behindDoc="1" simplePos="0" relativeHeight="477895168">
            <wp:simplePos x="0" y="0"/>
            <wp:positionH relativeFrom="page">
              <wp:posOffset>1485138</wp:posOffset>
            </wp:positionH>
            <wp:positionV relativeFrom="paragraph">
              <wp:posOffset>1390181</wp:posOffset>
            </wp:positionV>
            <wp:extent cx="5102225" cy="5044439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salient rationale for the study is that empirical studies on exchange rate and BoP</w:t>
      </w:r>
      <w:r>
        <w:rPr>
          <w:spacing w:val="1"/>
        </w:rPr>
        <w:t> </w:t>
      </w:r>
      <w:r>
        <w:rPr/>
        <w:t>particularly for Sierra Leone are scanty and in-depth analysis of all the components of the</w:t>
      </w:r>
      <w:r>
        <w:rPr>
          <w:spacing w:val="1"/>
        </w:rPr>
        <w:t> </w:t>
      </w:r>
      <w:r>
        <w:rPr/>
        <w:t>BoP are hard to find.</w:t>
      </w:r>
      <w:r>
        <w:rPr>
          <w:spacing w:val="1"/>
        </w:rPr>
        <w:t> </w:t>
      </w:r>
      <w:r>
        <w:rPr/>
        <w:t>Three studies identified by this research in similar area are those by</w:t>
      </w:r>
      <w:r>
        <w:rPr>
          <w:spacing w:val="1"/>
        </w:rPr>
        <w:t> </w:t>
      </w:r>
      <w:r>
        <w:rPr/>
        <w:t>Korsu (2008), Korsu and Braima (2009) and Daboh (2010).</w:t>
      </w:r>
      <w:r>
        <w:rPr>
          <w:spacing w:val="1"/>
        </w:rPr>
        <w:t> </w:t>
      </w:r>
      <w:r>
        <w:rPr/>
        <w:t>Korsu (2008) adopted the</w:t>
      </w:r>
      <w:r>
        <w:rPr>
          <w:spacing w:val="1"/>
        </w:rPr>
        <w:t> </w:t>
      </w:r>
      <w:r>
        <w:rPr/>
        <w:t>Vector Autoregressive (VAR) technique to examine the relationship between 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concentrating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BoP.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researcher generalized the effects of exchange rate on BoP with no consideration to the</w:t>
      </w:r>
      <w:r>
        <w:rPr>
          <w:spacing w:val="1"/>
        </w:rPr>
        <w:t> </w:t>
      </w:r>
      <w:r>
        <w:rPr/>
        <w:t>financial account balance and the capital account balance.</w:t>
      </w:r>
      <w:r>
        <w:rPr>
          <w:spacing w:val="1"/>
        </w:rPr>
        <w:t> </w:t>
      </w:r>
      <w:r>
        <w:rPr/>
        <w:t>Korsu and Braima (2009); and</w:t>
      </w:r>
      <w:r>
        <w:rPr>
          <w:spacing w:val="1"/>
        </w:rPr>
        <w:t> </w:t>
      </w:r>
      <w:r>
        <w:rPr/>
        <w:t>Daboh (2010) both employed the Ordinary Least Squares (OLS) estimation method to</w:t>
      </w:r>
      <w:r>
        <w:rPr>
          <w:spacing w:val="1"/>
        </w:rPr>
        <w:t> </w:t>
      </w:r>
      <w:r>
        <w:rPr/>
        <w:t>investigate the determinants of real exchange rate and, exchange rate misalignment in</w:t>
      </w:r>
      <w:r>
        <w:rPr>
          <w:spacing w:val="1"/>
        </w:rPr>
        <w:t> </w:t>
      </w:r>
      <w:r>
        <w:rPr/>
        <w:t>Sierra</w:t>
      </w:r>
      <w:r>
        <w:rPr>
          <w:spacing w:val="-1"/>
        </w:rPr>
        <w:t> </w:t>
      </w:r>
      <w:r>
        <w:rPr/>
        <w:t>Leone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 West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Monetary</w:t>
      </w:r>
      <w:r>
        <w:rPr>
          <w:spacing w:val="-3"/>
        </w:rPr>
        <w:t> </w:t>
      </w:r>
      <w:r>
        <w:rPr/>
        <w:t>Zone (WAMZ)</w:t>
      </w:r>
      <w:r>
        <w:rPr>
          <w:spacing w:val="-3"/>
        </w:rPr>
        <w:t> </w:t>
      </w:r>
      <w:r>
        <w:rPr/>
        <w:t>countries,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811" w:right="992"/>
        <w:jc w:val="both"/>
      </w:pPr>
      <w:r>
        <w:rPr/>
        <w:t>The main pitfalls associated with the use of the OLS technique are the management of</w:t>
      </w:r>
      <w:r>
        <w:rPr>
          <w:spacing w:val="1"/>
        </w:rPr>
        <w:t> </w:t>
      </w:r>
      <w:r>
        <w:rPr/>
        <w:t>outliers in data series.</w:t>
      </w:r>
      <w:r>
        <w:rPr>
          <w:spacing w:val="1"/>
        </w:rPr>
        <w:t> </w:t>
      </w:r>
      <w:r>
        <w:rPr/>
        <w:t>The least squares method is concerned with minimizing the sum of</w:t>
      </w:r>
      <w:r>
        <w:rPr>
          <w:spacing w:val="-57"/>
        </w:rPr>
        <w:t> </w:t>
      </w:r>
      <w:r>
        <w:rPr/>
        <w:t>the squared error, but any data series or point that has a dependent value that differs from</w:t>
      </w:r>
      <w:r>
        <w:rPr>
          <w:spacing w:val="1"/>
        </w:rPr>
        <w:t> </w:t>
      </w:r>
      <w:r>
        <w:rPr/>
        <w:t>the rest of the data will have a disproportionately large effect on the resulting coefficients</w:t>
      </w:r>
      <w:r>
        <w:rPr>
          <w:spacing w:val="1"/>
        </w:rPr>
        <w:t> </w:t>
      </w:r>
      <w:r>
        <w:rPr/>
        <w:t>that are being estimated.</w:t>
      </w:r>
      <w:r>
        <w:rPr>
          <w:spacing w:val="1"/>
        </w:rPr>
        <w:t> </w:t>
      </w:r>
      <w:r>
        <w:rPr/>
        <w:t>Hence a single outlier if not well managed can cause poor</w:t>
      </w:r>
      <w:r>
        <w:rPr>
          <w:spacing w:val="1"/>
        </w:rPr>
        <w:t> </w:t>
      </w:r>
      <w:r>
        <w:rPr/>
        <w:t>prediction in an analysis.</w:t>
      </w:r>
      <w:r>
        <w:rPr>
          <w:spacing w:val="1"/>
        </w:rPr>
        <w:t> </w:t>
      </w:r>
      <w:r>
        <w:rPr/>
        <w:t>Also, the OLS suffers from the linearity assumption, which in</w:t>
      </w:r>
      <w:r>
        <w:rPr>
          <w:spacing w:val="1"/>
        </w:rPr>
        <w:t> </w:t>
      </w:r>
      <w:r>
        <w:rPr/>
        <w:t>reality most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linear.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too</w:t>
      </w:r>
      <w:r>
        <w:rPr>
          <w:spacing w:val="60"/>
        </w:rPr>
        <w:t> </w:t>
      </w:r>
      <w:r>
        <w:rPr/>
        <w:t>many</w:t>
      </w:r>
      <w:r>
        <w:rPr>
          <w:spacing w:val="-57"/>
        </w:rPr>
        <w:t> </w:t>
      </w:r>
      <w:r>
        <w:rPr/>
        <w:t>variables can cause serious difficulties.</w:t>
      </w:r>
      <w:r>
        <w:rPr>
          <w:spacing w:val="1"/>
        </w:rPr>
        <w:t> </w:t>
      </w:r>
      <w:r>
        <w:rPr/>
        <w:t>The OLS regression is particularly prone to this</w:t>
      </w:r>
      <w:r>
        <w:rPr>
          <w:spacing w:val="1"/>
        </w:rPr>
        <w:t> </w:t>
      </w:r>
      <w:r>
        <w:rPr/>
        <w:t>problem,</w:t>
      </w:r>
      <w:r>
        <w:rPr>
          <w:spacing w:val="49"/>
        </w:rPr>
        <w:t> </w:t>
      </w:r>
      <w:r>
        <w:rPr/>
        <w:t>for</w:t>
      </w:r>
      <w:r>
        <w:rPr>
          <w:spacing w:val="48"/>
        </w:rPr>
        <w:t> </w:t>
      </w:r>
      <w:r>
        <w:rPr/>
        <w:t>as</w:t>
      </w:r>
      <w:r>
        <w:rPr>
          <w:spacing w:val="49"/>
        </w:rPr>
        <w:t> </w:t>
      </w:r>
      <w:r>
        <w:rPr/>
        <w:t>soon</w:t>
      </w:r>
      <w:r>
        <w:rPr>
          <w:spacing w:val="50"/>
        </w:rPr>
        <w:t> </w:t>
      </w:r>
      <w:r>
        <w:rPr/>
        <w:t>as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number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features</w:t>
      </w:r>
      <w:r>
        <w:rPr>
          <w:spacing w:val="52"/>
        </w:rPr>
        <w:t> </w:t>
      </w:r>
      <w:r>
        <w:rPr/>
        <w:t>used</w:t>
      </w:r>
      <w:r>
        <w:rPr>
          <w:spacing w:val="52"/>
        </w:rPr>
        <w:t> </w:t>
      </w:r>
      <w:r>
        <w:rPr/>
        <w:t>approaches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number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data</w:t>
      </w:r>
      <w:r>
        <w:rPr>
          <w:spacing w:val="-57"/>
        </w:rPr>
        <w:t> </w:t>
      </w:r>
      <w:r>
        <w:rPr/>
        <w:t>points,</w:t>
      </w:r>
      <w:r>
        <w:rPr>
          <w:spacing w:val="-1"/>
        </w:rPr>
        <w:t> </w:t>
      </w:r>
      <w:r>
        <w:rPr/>
        <w:t>the least</w:t>
      </w:r>
      <w:r>
        <w:rPr>
          <w:spacing w:val="-1"/>
        </w:rPr>
        <w:t> </w:t>
      </w:r>
      <w:r>
        <w:rPr/>
        <w:t>squares solution</w:t>
      </w:r>
      <w:r>
        <w:rPr>
          <w:spacing w:val="2"/>
        </w:rPr>
        <w:t> </w:t>
      </w:r>
      <w:r>
        <w:rPr/>
        <w:t>seizes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unique,</w:t>
      </w:r>
      <w:r>
        <w:rPr>
          <w:spacing w:val="-1"/>
        </w:rPr>
        <w:t> </w:t>
      </w:r>
      <w:r>
        <w:rPr/>
        <w:t>and hence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fails.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t>The studies by Korsu and Braima (2010); and Daboh (2010) also lack the high frequency</w:t>
      </w:r>
      <w:r>
        <w:rPr>
          <w:spacing w:val="1"/>
        </w:rPr>
        <w:t> </w:t>
      </w:r>
      <w:r>
        <w:rPr/>
        <w:t>data requirements in examining the dynamic effects in the relationships as annual data</w:t>
      </w:r>
      <w:r>
        <w:rPr>
          <w:spacing w:val="1"/>
        </w:rPr>
        <w:t> </w:t>
      </w:r>
      <w:r>
        <w:rPr/>
        <w:t>were used.</w:t>
      </w:r>
      <w:r>
        <w:rPr>
          <w:spacing w:val="1"/>
        </w:rPr>
        <w:t> </w:t>
      </w:r>
      <w:r>
        <w:rPr/>
        <w:t>This study, therefore, seeks to: i) add to the existing studies by using high</w:t>
      </w:r>
      <w:r>
        <w:rPr>
          <w:spacing w:val="1"/>
        </w:rPr>
        <w:t> </w:t>
      </w:r>
      <w:r>
        <w:rPr/>
        <w:t>frequency (quarterly) data; and ii) adopt the Autoregressive Distributed Lags (ARDL)</w:t>
      </w:r>
      <w:r>
        <w:rPr>
          <w:spacing w:val="1"/>
        </w:rPr>
        <w:t> </w:t>
      </w:r>
      <w:r>
        <w:rPr/>
        <w:t>approach, provides the</w:t>
      </w:r>
      <w:r>
        <w:rPr>
          <w:spacing w:val="1"/>
        </w:rPr>
        <w:t> </w:t>
      </w:r>
      <w:r>
        <w:rPr/>
        <w:t>to analyze both the short-and-long-run relationships between</w:t>
      </w:r>
      <w:r>
        <w:rPr>
          <w:spacing w:val="1"/>
        </w:rPr>
        <w:t> </w:t>
      </w:r>
      <w:r>
        <w:rPr/>
        <w:t>exchange rate and each of the components of the BoP.   The ARDL estimation 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estimation</w:t>
      </w:r>
      <w:r>
        <w:rPr>
          <w:spacing w:val="14"/>
        </w:rPr>
        <w:t> </w:t>
      </w:r>
      <w:r>
        <w:rPr/>
        <w:t>restrictions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common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other</w:t>
      </w:r>
      <w:r>
        <w:rPr>
          <w:spacing w:val="12"/>
        </w:rPr>
        <w:t> </w:t>
      </w:r>
      <w:r>
        <w:rPr/>
        <w:t>estimation</w:t>
      </w:r>
      <w:r>
        <w:rPr>
          <w:spacing w:val="14"/>
        </w:rPr>
        <w:t> </w:t>
      </w:r>
      <w:r>
        <w:rPr/>
        <w:t>techniques</w:t>
      </w:r>
      <w:r>
        <w:rPr>
          <w:spacing w:val="14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t>Johansen and Juselius (1990) maximum likelihood Vector Autoregressive (VAR) model,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others, in cointegration analysis.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895680">
            <wp:simplePos x="0" y="0"/>
            <wp:positionH relativeFrom="page">
              <wp:posOffset>1485138</wp:posOffset>
            </wp:positionH>
            <wp:positionV relativeFrom="paragraph">
              <wp:posOffset>917614</wp:posOffset>
            </wp:positionV>
            <wp:extent cx="5102225" cy="5044439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 of significance is</w:t>
      </w:r>
      <w:r>
        <w:rPr>
          <w:spacing w:val="1"/>
        </w:rPr>
        <w:t> </w:t>
      </w:r>
      <w:r>
        <w:rPr/>
        <w:t>that the identified studies</w:t>
      </w:r>
      <w:r>
        <w:rPr>
          <w:spacing w:val="1"/>
        </w:rPr>
        <w:t> </w:t>
      </w:r>
      <w:r>
        <w:rPr/>
        <w:t>on Sierra Leone used global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domestic product as proxy for foreign income in examining the country‘s BoP.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international trade is a global issue, no individual country can trade with all the countries</w:t>
      </w:r>
      <w:r>
        <w:rPr>
          <w:spacing w:val="1"/>
        </w:rPr>
        <w:t> </w:t>
      </w:r>
      <w:r>
        <w:rPr/>
        <w:t>of the world equally.</w:t>
      </w:r>
      <w:r>
        <w:rPr>
          <w:spacing w:val="1"/>
        </w:rPr>
        <w:t> </w:t>
      </w:r>
      <w:r>
        <w:rPr/>
        <w:t>Therefore, the influence of world GDP which is an aggregated GDP</w:t>
      </w:r>
      <w:r>
        <w:rPr>
          <w:spacing w:val="-57"/>
        </w:rPr>
        <w:t> </w:t>
      </w:r>
      <w:r>
        <w:rPr/>
        <w:t>of all the countries may be misleading to certain degree.</w:t>
      </w:r>
      <w:r>
        <w:rPr>
          <w:spacing w:val="1"/>
        </w:rPr>
        <w:t> </w:t>
      </w:r>
      <w:r>
        <w:rPr/>
        <w:t>This study has used the GDP of</w:t>
      </w:r>
      <w:r>
        <w:rPr>
          <w:spacing w:val="1"/>
        </w:rPr>
        <w:t> </w:t>
      </w:r>
      <w:r>
        <w:rPr/>
        <w:t>highly influential trading partners, the European Union (EU) of the country as proxy for</w:t>
      </w:r>
      <w:r>
        <w:rPr>
          <w:spacing w:val="1"/>
        </w:rPr>
        <w:t> </w:t>
      </w:r>
      <w:r>
        <w:rPr/>
        <w:t>foreign GDP.</w:t>
      </w:r>
      <w:r>
        <w:rPr>
          <w:spacing w:val="1"/>
        </w:rPr>
        <w:t> </w:t>
      </w:r>
      <w:r>
        <w:rPr/>
        <w:t>The EU is a large trading bloc and accounts for almost two-thirds of</w:t>
      </w:r>
      <w:r>
        <w:rPr>
          <w:spacing w:val="1"/>
        </w:rPr>
        <w:t> </w:t>
      </w:r>
      <w:r>
        <w:rPr/>
        <w:t>Sierra</w:t>
      </w:r>
      <w:r>
        <w:rPr>
          <w:spacing w:val="-57"/>
        </w:rPr>
        <w:t> </w:t>
      </w:r>
      <w:r>
        <w:rPr/>
        <w:t>Leone‘s trading activities and, therefore, using their GDP may provide a realistic analysis</w:t>
      </w:r>
      <w:r>
        <w:rPr>
          <w:spacing w:val="1"/>
        </w:rPr>
        <w:t> </w:t>
      </w:r>
      <w:r>
        <w:rPr/>
        <w:t>for the impact of global income on the country‘s BoP and, might be less fraught with</w:t>
      </w:r>
      <w:r>
        <w:rPr>
          <w:spacing w:val="1"/>
        </w:rPr>
        <w:t> </w:t>
      </w:r>
      <w:r>
        <w:rPr/>
        <w:t>measurement errors.   On policy grounds, domestic policies may be adjusted based on</w:t>
      </w:r>
      <w:r>
        <w:rPr>
          <w:spacing w:val="1"/>
        </w:rPr>
        <w:t> </w:t>
      </w:r>
      <w:r>
        <w:rPr/>
        <w:t>what happens in such a market to influence its own domestic market in both the short and</w:t>
      </w:r>
      <w:r>
        <w:rPr>
          <w:spacing w:val="1"/>
        </w:rPr>
        <w:t> </w:t>
      </w:r>
      <w:r>
        <w:rPr/>
        <w:t>long runs. Furthermore, evaluating the effects of exchange rate behaviour on each of the</w:t>
      </w:r>
      <w:r>
        <w:rPr>
          <w:spacing w:val="1"/>
        </w:rPr>
        <w:t> </w:t>
      </w:r>
      <w:r>
        <w:rPr/>
        <w:t>components of the BoP helps in designing an adequate monetary policy to address the</w:t>
      </w:r>
      <w:r>
        <w:rPr>
          <w:spacing w:val="1"/>
        </w:rPr>
        <w:t> </w:t>
      </w:r>
      <w:r>
        <w:rPr/>
        <w:t>country‘s</w:t>
      </w:r>
      <w:r>
        <w:rPr>
          <w:spacing w:val="-2"/>
        </w:rPr>
        <w:t> </w:t>
      </w:r>
      <w:r>
        <w:rPr/>
        <w:t>BoP problem.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8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63" w:id="11"/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1"/>
      <w:r>
        <w:rPr/>
        <w:t>Research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The study is centered on Sierra Leone mainly due to the persistent problem in the BoP</w:t>
      </w:r>
      <w:r>
        <w:rPr>
          <w:spacing w:val="1"/>
        </w:rPr>
        <w:t> </w:t>
      </w:r>
      <w:r>
        <w:rPr/>
        <w:t>position despite the policy shifting of exchange rate policies and high depreciation of 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disaggregated into exports and imports to determine the effects of exchange rate on each</w:t>
      </w:r>
      <w:r>
        <w:rPr>
          <w:spacing w:val="1"/>
        </w:rPr>
        <w:t> </w:t>
      </w:r>
      <w:r>
        <w:rPr/>
        <w:t>of them covering quarterly time series data spanning from 1975 to 2010 for the current</w:t>
      </w:r>
      <w:r>
        <w:rPr>
          <w:spacing w:val="1"/>
        </w:rPr>
        <w:t> </w:t>
      </w:r>
      <w:r>
        <w:rPr/>
        <w:t>account balance and the general price level analysis.</w:t>
      </w:r>
      <w:r>
        <w:rPr>
          <w:spacing w:val="1"/>
        </w:rPr>
        <w:t> </w:t>
      </w:r>
      <w:r>
        <w:rPr/>
        <w:t>Annual data is employed in the</w:t>
      </w:r>
      <w:r>
        <w:rPr>
          <w:spacing w:val="1"/>
        </w:rPr>
        <w:t> </w:t>
      </w:r>
      <w:r>
        <w:rPr/>
        <w:t>analysis of the impacts of exchange rate on the capital account balance and financial</w:t>
      </w:r>
      <w:r>
        <w:rPr>
          <w:spacing w:val="1"/>
        </w:rPr>
        <w:t> </w:t>
      </w:r>
      <w:r>
        <w:rPr/>
        <w:t>account balance.</w:t>
      </w:r>
      <w:r>
        <w:rPr>
          <w:spacing w:val="1"/>
        </w:rPr>
        <w:t> </w:t>
      </w:r>
      <w:r>
        <w:rPr/>
        <w:t>This is mainly due to the nature of the available data for both the capital</w:t>
      </w:r>
      <w:r>
        <w:rPr>
          <w:spacing w:val="-57"/>
        </w:rPr>
        <w:t> </w:t>
      </w:r>
      <w:r>
        <w:rPr/>
        <w:t>account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financial account, which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provided on annual basis.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2"/>
        <w:jc w:val="both"/>
      </w:pPr>
      <w:r>
        <w:rPr/>
        <w:t>The choice of the period is driven by the time exchange rate volatility has gained grounds</w:t>
      </w:r>
      <w:r>
        <w:rPr>
          <w:spacing w:val="1"/>
        </w:rPr>
        <w:t> </w:t>
      </w:r>
      <w:r>
        <w:rPr/>
        <w:t>in empirical research since the adoption of the floating exchange rate and also by data</w:t>
      </w:r>
      <w:r>
        <w:rPr>
          <w:spacing w:val="1"/>
        </w:rPr>
        <w:t> </w:t>
      </w:r>
      <w:r>
        <w:rPr/>
        <w:t>availability from the official sources such as the International Financial Statistics of the</w:t>
      </w:r>
      <w:r>
        <w:rPr>
          <w:spacing w:val="1"/>
        </w:rPr>
        <w:t> </w:t>
      </w:r>
      <w:r>
        <w:rPr/>
        <w:t>International Monetary Fund (IFS/IMF) and the World Development Indicators from the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1531" w:val="left" w:leader="none"/>
          <w:tab w:pos="1532" w:val="left" w:leader="none"/>
        </w:tabs>
        <w:spacing w:line="240" w:lineRule="auto" w:before="185" w:after="0"/>
        <w:ind w:left="1531" w:right="0" w:hanging="721"/>
        <w:jc w:val="left"/>
      </w:pPr>
      <w:r>
        <w:rPr/>
        <w:drawing>
          <wp:anchor distT="0" distB="0" distL="0" distR="0" allowOverlap="1" layoutInCell="1" locked="0" behindDoc="1" simplePos="0" relativeHeight="477896192">
            <wp:simplePos x="0" y="0"/>
            <wp:positionH relativeFrom="page">
              <wp:posOffset>1485138</wp:posOffset>
            </wp:positionH>
            <wp:positionV relativeFrom="paragraph">
              <wp:posOffset>91098</wp:posOffset>
            </wp:positionV>
            <wp:extent cx="5102225" cy="5044439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62" w:id="12"/>
      <w:r>
        <w:rPr/>
        <w:t>Plan of the</w:t>
      </w:r>
      <w:r>
        <w:rPr>
          <w:spacing w:val="-2"/>
        </w:rPr>
        <w:t> </w:t>
      </w:r>
      <w:bookmarkEnd w:id="12"/>
      <w:r>
        <w:rPr/>
        <w:t>Study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 w:before="1"/>
        <w:ind w:left="811" w:right="994"/>
        <w:jc w:val="both"/>
      </w:pPr>
      <w:r>
        <w:rPr/>
        <w:t>The rest of the study is organized into five chapters.</w:t>
      </w:r>
      <w:r>
        <w:rPr>
          <w:spacing w:val="1"/>
        </w:rPr>
        <w:t> </w:t>
      </w:r>
      <w:r>
        <w:rPr/>
        <w:t>Following the introductory chapter,</w:t>
      </w:r>
      <w:r>
        <w:rPr>
          <w:spacing w:val="1"/>
        </w:rPr>
        <w:t> </w:t>
      </w:r>
      <w:r>
        <w:rPr/>
        <w:t>chapter two describes development in exchange rate policies and its interrelationship with</w:t>
      </w:r>
      <w:r>
        <w:rPr>
          <w:spacing w:val="-57"/>
        </w:rPr>
        <w:t> </w:t>
      </w:r>
      <w:r>
        <w:rPr/>
        <w:t>the components of the BoP and the consumer price index.   Presented in chapter three is</w:t>
      </w:r>
      <w:r>
        <w:rPr>
          <w:spacing w:val="1"/>
        </w:rPr>
        <w:t> </w:t>
      </w:r>
      <w:r>
        <w:rPr/>
        <w:t>the literature review, which entails theoretical and empirical review of related studies.</w:t>
      </w:r>
      <w:r>
        <w:rPr>
          <w:spacing w:val="1"/>
        </w:rPr>
        <w:t> </w:t>
      </w:r>
      <w:r>
        <w:rPr/>
        <w:t>Chapter four presents the theoretical foundation and the research methodology including</w:t>
      </w:r>
      <w:r>
        <w:rPr>
          <w:spacing w:val="1"/>
        </w:rPr>
        <w:t> </w:t>
      </w:r>
      <w:r>
        <w:rPr/>
        <w:t>the models and the estimation procedure adopted.</w:t>
      </w:r>
      <w:r>
        <w:rPr>
          <w:spacing w:val="1"/>
        </w:rPr>
        <w:t> </w:t>
      </w:r>
      <w:r>
        <w:rPr/>
        <w:t>Chapter five contains the statistical</w:t>
      </w:r>
      <w:r>
        <w:rPr>
          <w:spacing w:val="1"/>
        </w:rPr>
        <w:t> </w:t>
      </w:r>
      <w:r>
        <w:rPr/>
        <w:t>analysis of the time series data used, estimation and interpretation of the results; while the</w:t>
      </w:r>
      <w:r>
        <w:rPr>
          <w:spacing w:val="-57"/>
        </w:rPr>
        <w:t> </w:t>
      </w:r>
      <w:r>
        <w:rPr/>
        <w:t>summary,</w:t>
      </w:r>
      <w:r>
        <w:rPr>
          <w:spacing w:val="1"/>
        </w:rPr>
        <w:t> </w:t>
      </w:r>
      <w:r>
        <w:rPr/>
        <w:t>conclusion, policy</w:t>
      </w:r>
      <w:r>
        <w:rPr>
          <w:spacing w:val="-5"/>
        </w:rPr>
        <w:t> </w:t>
      </w:r>
      <w:r>
        <w:rPr/>
        <w:t>recommendations are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in chapter six.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right="965"/>
      </w:pPr>
      <w:bookmarkStart w:name="_TOC_250061" w:id="13"/>
      <w:r>
        <w:rPr/>
        <w:t>CHAPTER</w:t>
      </w:r>
      <w:r>
        <w:rPr>
          <w:spacing w:val="-4"/>
        </w:rPr>
        <w:t> </w:t>
      </w:r>
      <w:bookmarkEnd w:id="13"/>
      <w:r>
        <w:rPr/>
        <w:t>TWO</w:t>
      </w:r>
    </w:p>
    <w:p>
      <w:pPr>
        <w:pStyle w:val="BodyText"/>
        <w:rPr>
          <w:b/>
          <w:sz w:val="30"/>
        </w:rPr>
      </w:pPr>
    </w:p>
    <w:p>
      <w:pPr>
        <w:pStyle w:val="Heading1"/>
        <w:spacing w:line="276" w:lineRule="auto" w:before="185"/>
        <w:ind w:left="2078" w:right="1474" w:hanging="732"/>
        <w:jc w:val="left"/>
      </w:pPr>
      <w:r>
        <w:rPr/>
        <w:drawing>
          <wp:anchor distT="0" distB="0" distL="0" distR="0" allowOverlap="1" layoutInCell="1" locked="0" behindDoc="1" simplePos="0" relativeHeight="477896704">
            <wp:simplePos x="0" y="0"/>
            <wp:positionH relativeFrom="page">
              <wp:posOffset>1485138</wp:posOffset>
            </wp:positionH>
            <wp:positionV relativeFrom="paragraph">
              <wp:posOffset>325124</wp:posOffset>
            </wp:positionV>
            <wp:extent cx="5102225" cy="5044439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60" w:id="14"/>
      <w:r>
        <w:rPr/>
        <w:t>SIERRA LEONE’S EXCHANGE RATE POLICIES AND THE</w:t>
      </w:r>
      <w:r>
        <w:rPr>
          <w:spacing w:val="-67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14"/>
      <w:r>
        <w:rPr/>
        <w:t>PAYMENTS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 w:before="1"/>
        <w:ind w:left="811" w:right="995"/>
        <w:jc w:val="both"/>
      </w:pPr>
      <w:r>
        <w:rPr/>
        <w:t>This chapter describes the exchange rate regimes and the development of the balance of</w:t>
      </w:r>
      <w:r>
        <w:rPr>
          <w:spacing w:val="1"/>
        </w:rPr>
        <w:t> </w:t>
      </w:r>
      <w:r>
        <w:rPr/>
        <w:t>payments in Sierra Leone.</w:t>
      </w:r>
      <w:r>
        <w:rPr>
          <w:spacing w:val="1"/>
        </w:rPr>
        <w:t> </w:t>
      </w:r>
      <w:r>
        <w:rPr/>
        <w:t>It is divided into three main sub sections: the exchange rate</w:t>
      </w:r>
      <w:r>
        <w:rPr>
          <w:spacing w:val="1"/>
        </w:rPr>
        <w:t> </w:t>
      </w:r>
      <w:r>
        <w:rPr/>
        <w:t>policies or regimes over the years, relationships between exchange rate behaviour and the</w:t>
      </w:r>
      <w:r>
        <w:rPr>
          <w:spacing w:val="1"/>
        </w:rPr>
        <w:t> </w:t>
      </w:r>
      <w:r>
        <w:rPr/>
        <w:t>balance of payments in general; and exchange rate on each of the components of 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macroeconomic</w:t>
      </w:r>
      <w:r>
        <w:rPr>
          <w:spacing w:val="-2"/>
        </w:rPr>
        <w:t> </w:t>
      </w:r>
      <w:r>
        <w:rPr/>
        <w:t>indicators of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1531" w:val="left" w:leader="none"/>
          <w:tab w:pos="1532" w:val="left" w:leader="none"/>
        </w:tabs>
        <w:spacing w:line="240" w:lineRule="auto" w:before="186" w:after="0"/>
        <w:ind w:left="1531" w:right="0" w:hanging="721"/>
        <w:jc w:val="left"/>
      </w:pPr>
      <w:bookmarkStart w:name="_TOC_250059" w:id="15"/>
      <w:r>
        <w:rPr/>
        <w:t>Developments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bookmarkEnd w:id="15"/>
      <w:r>
        <w:rPr/>
        <w:t>Policies/Regimes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Traditionally, two categories of exchange rate systems, the fixed exchange rate and the</w:t>
      </w:r>
      <w:r>
        <w:rPr>
          <w:spacing w:val="1"/>
        </w:rPr>
        <w:t> </w:t>
      </w:r>
      <w:r>
        <w:rPr/>
        <w:t>flexible exchange rate, which includes the managed floating, have continued to dominate</w:t>
      </w:r>
      <w:r>
        <w:rPr>
          <w:spacing w:val="1"/>
        </w:rPr>
        <w:t> </w:t>
      </w:r>
      <w:r>
        <w:rPr/>
        <w:t>exchange rate policies in both developed and developing economies. The systems are</w:t>
      </w:r>
      <w:r>
        <w:rPr>
          <w:spacing w:val="1"/>
        </w:rPr>
        <w:t> </w:t>
      </w:r>
      <w:r>
        <w:rPr/>
        <w:t>classified on the basis of the flexibility that the monetary authorities demonstrate towards</w:t>
      </w:r>
      <w:r>
        <w:rPr>
          <w:spacing w:val="1"/>
        </w:rPr>
        <w:t> </w:t>
      </w:r>
      <w:r>
        <w:rPr/>
        <w:t>fluctuations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individual economy.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811" w:right="993"/>
        <w:jc w:val="both"/>
      </w:pPr>
      <w:r>
        <w:rPr/>
        <w:t>As with many developing countries, Sierra Leone maintained the fixed exchange rate</w:t>
      </w:r>
      <w:r>
        <w:rPr>
          <w:spacing w:val="1"/>
        </w:rPr>
        <w:t> </w:t>
      </w:r>
      <w:r>
        <w:rPr/>
        <w:t>policy for a long period following the Bretton Woods System.</w:t>
      </w:r>
      <w:r>
        <w:rPr>
          <w:spacing w:val="1"/>
        </w:rPr>
        <w:t> </w:t>
      </w:r>
      <w:r>
        <w:rPr/>
        <w:t>The Authorities were at</w:t>
      </w:r>
      <w:r>
        <w:rPr>
          <w:spacing w:val="1"/>
        </w:rPr>
        <w:t> </w:t>
      </w:r>
      <w:r>
        <w:rPr/>
        <w:t>first reluctant to devalue the local currency (the Leone (Le)) or to adopt a (managed)</w:t>
      </w:r>
      <w:r>
        <w:rPr>
          <w:spacing w:val="1"/>
        </w:rPr>
        <w:t> </w:t>
      </w:r>
      <w:r>
        <w:rPr/>
        <w:t>flexible exchange rate regime for fear that such an action would reduce the external value</w:t>
      </w:r>
      <w:r>
        <w:rPr>
          <w:spacing w:val="1"/>
        </w:rPr>
        <w:t> </w:t>
      </w:r>
      <w:r>
        <w:rPr/>
        <w:t>of the currency and</w:t>
      </w:r>
      <w:r>
        <w:rPr>
          <w:spacing w:val="1"/>
        </w:rPr>
        <w:t> </w:t>
      </w:r>
      <w:r>
        <w:rPr/>
        <w:t>further increase pressure on</w:t>
      </w:r>
      <w:r>
        <w:rPr>
          <w:spacing w:val="1"/>
        </w:rPr>
        <w:t> </w:t>
      </w:r>
      <w:r>
        <w:rPr/>
        <w:t>the general</w:t>
      </w:r>
      <w:r>
        <w:rPr>
          <w:spacing w:val="1"/>
        </w:rPr>
        <w:t> </w:t>
      </w:r>
      <w:r>
        <w:rPr/>
        <w:t>price level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exchange rate pass-through phenomenon.</w:t>
      </w:r>
      <w:r>
        <w:rPr>
          <w:spacing w:val="1"/>
        </w:rPr>
        <w:t> </w:t>
      </w:r>
      <w:r>
        <w:rPr/>
        <w:t>But as the problems in the external sector,</w:t>
      </w:r>
      <w:r>
        <w:rPr>
          <w:spacing w:val="1"/>
        </w:rPr>
        <w:t> </w:t>
      </w:r>
      <w:r>
        <w:rPr/>
        <w:t>especially with the persistent deterioration in the trade balance, the fixed exchange rate</w:t>
      </w:r>
      <w:r>
        <w:rPr>
          <w:spacing w:val="1"/>
        </w:rPr>
        <w:t> </w:t>
      </w:r>
      <w:r>
        <w:rPr/>
        <w:t>was abandoned.</w:t>
      </w:r>
      <w:r>
        <w:rPr>
          <w:spacing w:val="1"/>
        </w:rPr>
        <w:t> </w:t>
      </w:r>
      <w:r>
        <w:rPr/>
        <w:t>The first exchange rate policy measure took place in the late 1970s when</w:t>
      </w:r>
      <w:r>
        <w:rPr>
          <w:spacing w:val="-57"/>
        </w:rPr>
        <w:t> </w:t>
      </w:r>
      <w:r>
        <w:rPr/>
        <w:t>the</w:t>
      </w:r>
      <w:r>
        <w:rPr>
          <w:spacing w:val="6"/>
        </w:rPr>
        <w:t> </w:t>
      </w:r>
      <w:r>
        <w:rPr/>
        <w:t>Leone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de-linked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pound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set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rate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Le2.25</w:t>
      </w:r>
      <w:r>
        <w:rPr>
          <w:spacing w:val="5"/>
        </w:rPr>
        <w:t> </w:t>
      </w:r>
      <w:r>
        <w:rPr/>
        <w:t>per</w:t>
      </w:r>
      <w:r>
        <w:rPr>
          <w:spacing w:val="5"/>
        </w:rPr>
        <w:t> </w:t>
      </w:r>
      <w:r>
        <w:rPr/>
        <w:t>special</w:t>
      </w:r>
      <w:r>
        <w:rPr>
          <w:spacing w:val="6"/>
        </w:rPr>
        <w:t> </w:t>
      </w:r>
      <w:r>
        <w:rPr/>
        <w:t>drawing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line="360" w:lineRule="auto" w:before="74"/>
        <w:ind w:left="811" w:right="1002"/>
        <w:jc w:val="both"/>
      </w:pPr>
      <w:r>
        <w:rPr/>
        <w:t>right</w:t>
      </w:r>
      <w:r>
        <w:rPr>
          <w:spacing w:val="1"/>
        </w:rPr>
        <w:t> </w:t>
      </w:r>
      <w:r>
        <w:rPr/>
        <w:t>(SDR).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marginally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8.7%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Le1.15/US$1</w:t>
      </w:r>
      <w:r>
        <w:rPr>
          <w:spacing w:val="-1"/>
        </w:rPr>
        <w:t> </w:t>
      </w:r>
      <w:r>
        <w:rPr/>
        <w:t>in 1977 to</w:t>
      </w:r>
      <w:r>
        <w:rPr>
          <w:spacing w:val="2"/>
        </w:rPr>
        <w:t> </w:t>
      </w:r>
      <w:r>
        <w:rPr/>
        <w:t>Le1.05/US$1 in 1978.</w:t>
      </w:r>
    </w:p>
    <w:p>
      <w:pPr>
        <w:pStyle w:val="BodyText"/>
        <w:spacing w:line="360" w:lineRule="auto" w:before="200"/>
        <w:ind w:left="811" w:right="994"/>
        <w:jc w:val="both"/>
      </w:pPr>
      <w:r>
        <w:rPr/>
        <w:drawing>
          <wp:anchor distT="0" distB="0" distL="0" distR="0" allowOverlap="1" layoutInCell="1" locked="0" behindDoc="1" simplePos="0" relativeHeight="477897216">
            <wp:simplePos x="0" y="0"/>
            <wp:positionH relativeFrom="page">
              <wp:posOffset>1485138</wp:posOffset>
            </wp:positionH>
            <wp:positionV relativeFrom="paragraph">
              <wp:posOffset>1069887</wp:posOffset>
            </wp:positionV>
            <wp:extent cx="5102225" cy="5044439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the country‘s economic performance continued to weaken, the Central Bank changed</w:t>
      </w:r>
      <w:r>
        <w:rPr>
          <w:spacing w:val="1"/>
        </w:rPr>
        <w:t> </w:t>
      </w:r>
      <w:r>
        <w:rPr/>
        <w:t>its intervention strategy by introducing a dual exchange rate system under the Modified</w:t>
      </w:r>
      <w:r>
        <w:rPr>
          <w:spacing w:val="1"/>
        </w:rPr>
        <w:t> </w:t>
      </w:r>
      <w:r>
        <w:rPr/>
        <w:t>Exchange Rate Arrangement (MERA) in early 1980.</w:t>
      </w:r>
      <w:r>
        <w:rPr>
          <w:spacing w:val="1"/>
        </w:rPr>
        <w:t> </w:t>
      </w:r>
      <w:r>
        <w:rPr/>
        <w:t>This involved an official exchange</w:t>
      </w:r>
      <w:r>
        <w:rPr>
          <w:spacing w:val="1"/>
        </w:rPr>
        <w:t> </w:t>
      </w:r>
      <w:r>
        <w:rPr/>
        <w:t>rate</w:t>
      </w:r>
      <w:r>
        <w:rPr>
          <w:vertAlign w:val="superscript"/>
        </w:rPr>
        <w:t>5</w:t>
      </w:r>
      <w:r>
        <w:rPr>
          <w:vertAlign w:val="baseline"/>
        </w:rPr>
        <w:t> pegged to the US dollar on one hand</w:t>
      </w:r>
      <w:r>
        <w:rPr>
          <w:spacing w:val="1"/>
          <w:vertAlign w:val="baseline"/>
        </w:rPr>
        <w:t> </w:t>
      </w:r>
      <w:r>
        <w:rPr>
          <w:vertAlign w:val="baseline"/>
        </w:rPr>
        <w:t>and a commercial market rate</w:t>
      </w:r>
      <w:r>
        <w:rPr>
          <w:spacing w:val="60"/>
          <w:vertAlign w:val="baseline"/>
        </w:rPr>
        <w:t> </w:t>
      </w:r>
      <w:r>
        <w:rPr>
          <w:vertAlign w:val="baseline"/>
        </w:rPr>
        <w:t>on the other.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policy was, however, not quite prudent as the external sector performance continued</w:t>
      </w:r>
      <w:r>
        <w:rPr>
          <w:spacing w:val="1"/>
          <w:vertAlign w:val="baseline"/>
        </w:rPr>
        <w:t> </w:t>
      </w:r>
      <w:r>
        <w:rPr>
          <w:vertAlign w:val="baseline"/>
        </w:rPr>
        <w:t>to decline with export earnings being diverted to the parallel market in order to reap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marginal gain in the exchange rate differential.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Subsequently, by mid-1986, the exchange</w:t>
      </w:r>
      <w:r>
        <w:rPr>
          <w:spacing w:val="-57"/>
          <w:vertAlign w:val="baseline"/>
        </w:rPr>
        <w:t> </w:t>
      </w:r>
      <w:r>
        <w:rPr>
          <w:vertAlign w:val="baseline"/>
        </w:rPr>
        <w:t>rate system was unified but this distorted other macroeconomic operations.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Prominent</w:t>
      </w:r>
      <w:r>
        <w:rPr>
          <w:spacing w:val="1"/>
          <w:vertAlign w:val="baseline"/>
        </w:rPr>
        <w:t> </w:t>
      </w:r>
      <w:r>
        <w:rPr>
          <w:vertAlign w:val="baseline"/>
        </w:rPr>
        <w:t>among others was the high growth in fiscal deficits, from 3.71% of GDP in 1986 to</w:t>
      </w:r>
      <w:r>
        <w:rPr>
          <w:spacing w:val="1"/>
          <w:vertAlign w:val="baseline"/>
        </w:rPr>
        <w:t> </w:t>
      </w:r>
      <w:r>
        <w:rPr>
          <w:vertAlign w:val="baseline"/>
        </w:rPr>
        <w:t>18.63%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GDP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1987.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fiscal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deficits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borrowing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banking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caused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financing-to-GDP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from 1.92% of GDP to over 10.74% of GDP of the same period.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money</w:t>
      </w:r>
      <w:r>
        <w:rPr>
          <w:spacing w:val="-4"/>
          <w:vertAlign w:val="baseline"/>
        </w:rPr>
        <w:t> </w:t>
      </w:r>
      <w:r>
        <w:rPr>
          <w:vertAlign w:val="baseline"/>
        </w:rPr>
        <w:t>growth concurrently</w:t>
      </w:r>
      <w:r>
        <w:rPr>
          <w:spacing w:val="-5"/>
          <w:vertAlign w:val="baseline"/>
        </w:rPr>
        <w:t> </w:t>
      </w:r>
      <w:r>
        <w:rPr>
          <w:vertAlign w:val="baseline"/>
        </w:rPr>
        <w:t>with high</w:t>
      </w:r>
      <w:r>
        <w:rPr>
          <w:spacing w:val="2"/>
          <w:vertAlign w:val="baseline"/>
        </w:rPr>
        <w:t> </w:t>
      </w:r>
      <w:r>
        <w:rPr>
          <w:vertAlign w:val="baseline"/>
        </w:rPr>
        <w:t>inflation.</w:t>
      </w:r>
    </w:p>
    <w:p>
      <w:pPr>
        <w:pStyle w:val="BodyText"/>
        <w:spacing w:line="360" w:lineRule="auto" w:before="201"/>
        <w:ind w:left="811" w:right="995"/>
        <w:jc w:val="both"/>
      </w:pPr>
      <w:r>
        <w:rPr/>
        <w:t>Due to the wide disparity of the premium between the fixed exchange rate and the parallel</w:t>
      </w:r>
      <w:r>
        <w:rPr>
          <w:spacing w:val="-57"/>
        </w:rPr>
        <w:t> </w:t>
      </w:r>
      <w:r>
        <w:rPr/>
        <w:t>market rate, the exchange rate was liberalized in 1990.</w:t>
      </w:r>
      <w:r>
        <w:rPr>
          <w:spacing w:val="1"/>
        </w:rPr>
        <w:t> </w:t>
      </w:r>
      <w:r>
        <w:rPr/>
        <w:t>The period of exchange rate</w:t>
      </w:r>
      <w:r>
        <w:rPr>
          <w:spacing w:val="1"/>
        </w:rPr>
        <w:t> </w:t>
      </w:r>
      <w:r>
        <w:rPr/>
        <w:t>liberalization, between 1990 and 2000 was a period of economic difficulties.</w:t>
      </w:r>
      <w:r>
        <w:rPr>
          <w:spacing w:val="1"/>
        </w:rPr>
        <w:t> </w:t>
      </w:r>
      <w:r>
        <w:rPr/>
        <w:t>The country</w:t>
      </w:r>
      <w:r>
        <w:rPr>
          <w:spacing w:val="-57"/>
        </w:rPr>
        <w:t> </w:t>
      </w:r>
      <w:r>
        <w:rPr/>
        <w:t>was in</w:t>
      </w:r>
      <w:r>
        <w:rPr>
          <w:spacing w:val="1"/>
        </w:rPr>
        <w:t> </w:t>
      </w:r>
      <w:r>
        <w:rPr/>
        <w:t>political crisis with greater proportion of the domestic policies designed towards</w:t>
      </w:r>
      <w:r>
        <w:rPr>
          <w:spacing w:val="1"/>
        </w:rPr>
        <w:t> </w:t>
      </w:r>
      <w:r>
        <w:rPr/>
        <w:t>managing the crisis.</w:t>
      </w:r>
      <w:r>
        <w:rPr>
          <w:spacing w:val="1"/>
        </w:rPr>
        <w:t> </w:t>
      </w:r>
      <w:r>
        <w:rPr/>
        <w:t>Most of the monetary policies of price stability, attainment of higher</w:t>
      </w:r>
      <w:r>
        <w:rPr>
          <w:spacing w:val="-57"/>
        </w:rPr>
        <w:t> </w:t>
      </w:r>
      <w:r>
        <w:rPr/>
        <w:t>and stable economic growth, low level of unemployment were not adequately addressed.</w:t>
      </w:r>
      <w:r>
        <w:rPr>
          <w:spacing w:val="1"/>
        </w:rPr>
        <w:t> </w:t>
      </w:r>
      <w:r>
        <w:rPr/>
        <w:t>Hence, there was rapid deterioration of the local currency, which was followed by high</w:t>
      </w:r>
      <w:r>
        <w:rPr>
          <w:spacing w:val="1"/>
        </w:rPr>
        <w:t> </w:t>
      </w:r>
      <w:r>
        <w:rPr/>
        <w:t>inflation.</w:t>
      </w:r>
    </w:p>
    <w:p>
      <w:pPr>
        <w:pStyle w:val="BodyText"/>
        <w:spacing w:line="360" w:lineRule="auto" w:before="200"/>
        <w:ind w:left="811" w:right="995"/>
        <w:jc w:val="both"/>
      </w:pPr>
      <w:r>
        <w:rPr/>
        <w:pict>
          <v:rect style="position:absolute;margin-left:106.580002pt;margin-top:123.353157pt;width:144.020pt;height:.71997pt;mso-position-horizontal-relative:page;mso-position-vertical-relative:paragraph;z-index:-25418752" filled="true" fillcolor="#000000" stroked="false">
            <v:fill type="solid"/>
            <w10:wrap type="none"/>
          </v:rect>
        </w:pict>
      </w:r>
      <w:r>
        <w:rPr/>
        <w:t>Presented in Figure 2.1 is the exchange rate development</w:t>
      </w:r>
      <w:r>
        <w:rPr>
          <w:spacing w:val="1"/>
        </w:rPr>
        <w:t> </w:t>
      </w:r>
      <w:r>
        <w:rPr/>
        <w:t>under different exchange rate</w:t>
      </w:r>
      <w:r>
        <w:rPr>
          <w:spacing w:val="1"/>
        </w:rPr>
        <w:t> </w:t>
      </w:r>
      <w:r>
        <w:rPr/>
        <w:t>policies from 1975 to 2010, while Figures 2.2 and 2.3 show exchange rate under different</w:t>
      </w:r>
      <w:r>
        <w:rPr>
          <w:spacing w:val="1"/>
        </w:rPr>
        <w:t> </w:t>
      </w:r>
      <w:r>
        <w:rPr/>
        <w:t>exchange rate regimes (using logarithmic scale) and short-term exchange rate variability,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Even though no comprehensive exchange rate policies were formulated to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period</w:t>
      </w:r>
      <w:r>
        <w:rPr>
          <w:spacing w:val="17"/>
        </w:rPr>
        <w:t> </w:t>
      </w:r>
      <w:r>
        <w:rPr/>
        <w:t>before</w:t>
      </w:r>
      <w:r>
        <w:rPr>
          <w:spacing w:val="17"/>
        </w:rPr>
        <w:t> </w:t>
      </w:r>
      <w:r>
        <w:rPr/>
        <w:t>1981,</w:t>
      </w:r>
      <w:r>
        <w:rPr>
          <w:spacing w:val="19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evident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figure</w:t>
      </w:r>
      <w:r>
        <w:rPr>
          <w:spacing w:val="19"/>
        </w:rPr>
        <w:t> </w:t>
      </w:r>
      <w:r>
        <w:rPr/>
        <w:t>2.2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exchange</w:t>
      </w:r>
      <w:r>
        <w:rPr>
          <w:spacing w:val="17"/>
        </w:rPr>
        <w:t> </w:t>
      </w:r>
      <w:r>
        <w:rPr/>
        <w:t>rate</w:t>
      </w:r>
      <w:r>
        <w:rPr>
          <w:spacing w:val="20"/>
        </w:rPr>
        <w:t> </w:t>
      </w:r>
      <w:r>
        <w:rPr/>
        <w:t>maintained</w:t>
      </w:r>
      <w:r>
        <w:rPr>
          <w:spacing w:val="17"/>
        </w:rPr>
        <w:t> </w:t>
      </w:r>
      <w:r>
        <w:rPr/>
        <w:t>a</w:t>
      </w:r>
    </w:p>
    <w:p>
      <w:pPr>
        <w:pStyle w:val="BodyText"/>
        <w:spacing w:before="4"/>
        <w:rPr>
          <w:sz w:val="16"/>
        </w:rPr>
      </w:pPr>
    </w:p>
    <w:p>
      <w:pPr>
        <w:spacing w:before="120"/>
        <w:ind w:left="811" w:right="993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official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exchange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rate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set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Le1.52/US$1,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while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commercial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market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rate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floated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definite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rate.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898240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path of stable depreciation during the period.</w:t>
      </w:r>
      <w:r>
        <w:rPr>
          <w:spacing w:val="1"/>
        </w:rPr>
        <w:t> </w:t>
      </w:r>
      <w:r>
        <w:rPr/>
        <w:t>Between the period 1982 and 1990, the</w:t>
      </w:r>
      <w:r>
        <w:rPr>
          <w:spacing w:val="1"/>
        </w:rPr>
        <w:t> </w:t>
      </w:r>
      <w:r>
        <w:rPr/>
        <w:t>exchange rate apparently left its path of stable depreciation.</w:t>
      </w:r>
      <w:r>
        <w:rPr>
          <w:spacing w:val="1"/>
        </w:rPr>
        <w:t> </w:t>
      </w:r>
      <w:r>
        <w:rPr/>
        <w:t>Exchange rate was thus,</w:t>
      </w:r>
      <w:r>
        <w:rPr>
          <w:spacing w:val="1"/>
        </w:rPr>
        <w:t> </w:t>
      </w:r>
      <w:r>
        <w:rPr/>
        <w:t>highly volatile during this period.</w:t>
      </w:r>
      <w:r>
        <w:rPr>
          <w:spacing w:val="1"/>
        </w:rPr>
        <w:t> </w:t>
      </w:r>
      <w:r>
        <w:rPr/>
        <w:t>The situation petween the period of 1990 and 2000,</w:t>
      </w:r>
      <w:r>
        <w:rPr>
          <w:spacing w:val="1"/>
        </w:rPr>
        <w:t> </w:t>
      </w:r>
      <w:r>
        <w:rPr/>
        <w:t>however, did not improve but was relatively better than the previous period. The situation</w:t>
      </w:r>
      <w:r>
        <w:rPr>
          <w:spacing w:val="-57"/>
        </w:rPr>
        <w:t> </w:t>
      </w:r>
      <w:r>
        <w:rPr/>
        <w:t>from 2000 to 2010, which was the period the Central Bank embarked on a managed/dual</w:t>
      </w:r>
      <w:r>
        <w:rPr>
          <w:spacing w:val="1"/>
        </w:rPr>
        <w:t> </w:t>
      </w:r>
      <w:r>
        <w:rPr/>
        <w:t>exchange rate system,</w:t>
      </w:r>
      <w:r>
        <w:rPr>
          <w:spacing w:val="1"/>
        </w:rPr>
        <w:t> </w:t>
      </w:r>
      <w:r>
        <w:rPr/>
        <w:t>has been characterized by a stable variability in the exchange rate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other periods of exchange</w:t>
      </w:r>
      <w:r>
        <w:rPr>
          <w:spacing w:val="-1"/>
        </w:rPr>
        <w:t> </w:t>
      </w:r>
      <w:r>
        <w:rPr/>
        <w:t>rate policies.</w:t>
      </w:r>
    </w:p>
    <w:p>
      <w:pPr>
        <w:pStyle w:val="BodyText"/>
        <w:spacing w:line="360" w:lineRule="auto" w:before="201"/>
        <w:ind w:left="811" w:right="995"/>
        <w:jc w:val="both"/>
      </w:pPr>
      <w:r>
        <w:rPr/>
        <w:t>Presented in Figure 2.3 is the short-term variability of the exchange rate.</w:t>
      </w:r>
      <w:r>
        <w:rPr>
          <w:spacing w:val="61"/>
        </w:rPr>
        <w:t> </w:t>
      </w:r>
      <w:r>
        <w:rPr/>
        <w:t>The figure</w:t>
      </w:r>
      <w:r>
        <w:rPr>
          <w:spacing w:val="1"/>
        </w:rPr>
        <w:t> </w:t>
      </w:r>
      <w:r>
        <w:rPr/>
        <w:t>shows that the variability of the exchnage rate</w:t>
      </w:r>
      <w:r>
        <w:rPr>
          <w:spacing w:val="60"/>
        </w:rPr>
        <w:t> </w:t>
      </w:r>
      <w:r>
        <w:rPr/>
        <w:t>increased significantly from 1981 and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High volatility could be observed between period 1981 and 1990. This period was</w:t>
      </w:r>
      <w:r>
        <w:rPr>
          <w:spacing w:val="1"/>
        </w:rPr>
        <w:t> </w:t>
      </w:r>
      <w:r>
        <w:rPr/>
        <w:t>characterised by a one party State with little or no monitoring of government operations.</w:t>
      </w:r>
      <w:r>
        <w:rPr>
          <w:spacing w:val="1"/>
        </w:rPr>
        <w:t> </w:t>
      </w:r>
      <w:r>
        <w:rPr/>
        <w:t>Also, during this same period, the government hosted the Organization of Africa Unity,</w:t>
      </w:r>
      <w:r>
        <w:rPr>
          <w:spacing w:val="1"/>
        </w:rPr>
        <w:t> </w:t>
      </w:r>
      <w:r>
        <w:rPr/>
        <w:t>now the Africa Union in 1980.</w:t>
      </w:r>
      <w:r>
        <w:rPr>
          <w:spacing w:val="1"/>
        </w:rPr>
        <w:t> </w:t>
      </w:r>
      <w:r>
        <w:rPr/>
        <w:t>Available data (see Table 2.4) show</w:t>
      </w:r>
      <w:r>
        <w:rPr>
          <w:spacing w:val="1"/>
        </w:rPr>
        <w:t> </w:t>
      </w:r>
      <w:r>
        <w:rPr/>
        <w:t>that, in 1980,</w:t>
      </w:r>
      <w:r>
        <w:rPr>
          <w:spacing w:val="1"/>
        </w:rPr>
        <w:t> </w:t>
      </w:r>
      <w:r>
        <w:rPr/>
        <w:t>government expeniture as a percentage of GDP stood at 30 percent,</w:t>
      </w:r>
      <w:r>
        <w:rPr>
          <w:spacing w:val="1"/>
        </w:rPr>
        <w:t> </w:t>
      </w:r>
      <w:r>
        <w:rPr/>
        <w:t>while domestic</w:t>
      </w:r>
      <w:r>
        <w:rPr>
          <w:spacing w:val="1"/>
        </w:rPr>
        <w:t> </w:t>
      </w:r>
      <w:r>
        <w:rPr/>
        <w:t>revenue was 17 percent.</w:t>
      </w:r>
      <w:r>
        <w:rPr>
          <w:spacing w:val="1"/>
        </w:rPr>
        <w:t> </w:t>
      </w:r>
      <w:r>
        <w:rPr/>
        <w:t>This caused a budget deficit of 13 percent of GDP, which could</w:t>
      </w:r>
      <w:r>
        <w:rPr>
          <w:spacing w:val="1"/>
        </w:rPr>
        <w:t> </w:t>
      </w:r>
      <w:r>
        <w:rPr/>
        <w:t>be considered enormous when compared to other years covered by the study.</w:t>
      </w:r>
      <w:r>
        <w:rPr>
          <w:spacing w:val="1"/>
        </w:rPr>
        <w:t> </w:t>
      </w:r>
      <w:r>
        <w:rPr/>
        <w:t>This placed</w:t>
      </w:r>
      <w:r>
        <w:rPr>
          <w:spacing w:val="-57"/>
        </w:rPr>
        <w:t> </w:t>
      </w:r>
      <w:r>
        <w:rPr/>
        <w:t>pressure on the domestic economy in general, as greater percentage of the deficit was</w:t>
      </w:r>
      <w:r>
        <w:rPr>
          <w:spacing w:val="1"/>
        </w:rPr>
        <w:t> </w:t>
      </w:r>
      <w:r>
        <w:rPr/>
        <w:t>financed from domestic borrowing thereby hampering domestic investment.</w:t>
      </w:r>
      <w:r>
        <w:rPr>
          <w:spacing w:val="1"/>
        </w:rPr>
        <w:t> </w:t>
      </w:r>
      <w:r>
        <w:rPr/>
        <w:t>Specifically,</w:t>
      </w:r>
      <w:r>
        <w:rPr>
          <w:spacing w:val="-57"/>
        </w:rPr>
        <w:t> </w:t>
      </w:r>
      <w:r>
        <w:rPr/>
        <w:t>the hosting of the OAU conference exacerbated the country‘s economic problems in the</w:t>
      </w:r>
      <w:r>
        <w:rPr>
          <w:spacing w:val="1"/>
        </w:rPr>
        <w:t> </w:t>
      </w:r>
      <w:r>
        <w:rPr/>
        <w:t>following ways:</w:t>
      </w:r>
      <w:r>
        <w:rPr>
          <w:spacing w:val="1"/>
        </w:rPr>
        <w:t> </w:t>
      </w:r>
      <w:r>
        <w:rPr/>
        <w:t>Prior to the OAU, the government embarked on huge infrastructural</w:t>
      </w:r>
      <w:r>
        <w:rPr>
          <w:spacing w:val="1"/>
        </w:rPr>
        <w:t> </w:t>
      </w:r>
      <w:r>
        <w:rPr/>
        <w:t>development in the areas of housing, hotels and conference centres, roads; and electricity,</w:t>
      </w:r>
      <w:r>
        <w:rPr>
          <w:spacing w:val="-57"/>
        </w:rPr>
        <w:t> </w:t>
      </w:r>
      <w:r>
        <w:rPr/>
        <w:t>which were concentrated mainly in the capital city, Freetown.</w:t>
      </w:r>
      <w:r>
        <w:rPr>
          <w:spacing w:val="1"/>
        </w:rPr>
        <w:t> </w:t>
      </w:r>
      <w:r>
        <w:rPr/>
        <w:t>Government recurrent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hikened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vehicles,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increased government fuel consumption during the period and years after.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 period</w:t>
      </w:r>
      <w:r>
        <w:rPr>
          <w:spacing w:val="1"/>
        </w:rPr>
        <w:t> </w:t>
      </w:r>
      <w:r>
        <w:rPr/>
        <w:t>from 1980 to 1991 when the civil war broke out, both monetary and fiscal</w:t>
      </w:r>
      <w:r>
        <w:rPr>
          <w:spacing w:val="1"/>
        </w:rPr>
        <w:t> </w:t>
      </w:r>
      <w:r>
        <w:rPr/>
        <w:t>policy were in disarray as the interest of the central government was seen overriding all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intentions.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tabs>
          <w:tab w:pos="2251" w:val="left" w:leader="none"/>
        </w:tabs>
        <w:spacing w:line="343" w:lineRule="auto" w:before="90"/>
        <w:ind w:left="811" w:right="993" w:firstLine="0"/>
        <w:jc w:val="left"/>
        <w:rPr>
          <w:sz w:val="24"/>
        </w:rPr>
      </w:pPr>
      <w:r>
        <w:rPr/>
        <w:pict>
          <v:group style="position:absolute;margin-left:106.550003pt;margin-top:-323.346863pt;width:433.7pt;height:522.5500pt;mso-position-horizontal-relative:page;mso-position-vertical-relative:paragraph;z-index:-25417728" coordorigin="2131,-6467" coordsize="8674,10451">
            <v:shape style="position:absolute;left:2338;top:-3961;width:8035;height:7944" type="#_x0000_t75" stroked="false">
              <v:imagedata r:id="rId6" o:title=""/>
            </v:shape>
            <v:shape style="position:absolute;left:2131;top:-6467;width:8674;height:6180" type="#_x0000_t75" stroked="false">
              <v:imagedata r:id="rId8" o:title="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2.1:</w:t>
        <w:tab/>
        <w:t>Exchange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Policy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Regimes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Exchange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Movements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Source:</w:t>
      </w:r>
      <w:r>
        <w:rPr>
          <w:i/>
          <w:spacing w:val="14"/>
          <w:sz w:val="24"/>
        </w:rPr>
        <w:t> </w:t>
      </w:r>
      <w:r>
        <w:rPr>
          <w:sz w:val="24"/>
        </w:rPr>
        <w:t>International</w:t>
      </w:r>
      <w:r>
        <w:rPr>
          <w:spacing w:val="12"/>
          <w:sz w:val="24"/>
        </w:rPr>
        <w:t> </w:t>
      </w:r>
      <w:r>
        <w:rPr>
          <w:sz w:val="24"/>
        </w:rPr>
        <w:t>Monetary</w:t>
      </w:r>
      <w:r>
        <w:rPr>
          <w:spacing w:val="9"/>
          <w:sz w:val="24"/>
        </w:rPr>
        <w:t> </w:t>
      </w:r>
      <w:r>
        <w:rPr>
          <w:sz w:val="24"/>
        </w:rPr>
        <w:t>Fund</w:t>
      </w:r>
      <w:r>
        <w:rPr>
          <w:spacing w:val="12"/>
          <w:sz w:val="24"/>
        </w:rPr>
        <w:t> </w:t>
      </w:r>
      <w:r>
        <w:rPr>
          <w:sz w:val="24"/>
        </w:rPr>
        <w:t>(IMF),</w:t>
      </w:r>
      <w:r>
        <w:rPr>
          <w:spacing w:val="1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15"/>
          <w:sz w:val="24"/>
        </w:rPr>
        <w:t> </w:t>
      </w:r>
      <w:r>
        <w:rPr>
          <w:sz w:val="24"/>
        </w:rPr>
        <w:t>CD-ROM</w:t>
      </w:r>
      <w:r>
        <w:rPr>
          <w:spacing w:val="-57"/>
          <w:sz w:val="24"/>
        </w:rPr>
        <w:t> </w:t>
      </w:r>
      <w:r>
        <w:rPr>
          <w:sz w:val="24"/>
        </w:rPr>
        <w:t>(2010).</w:t>
      </w:r>
    </w:p>
    <w:p>
      <w:pPr>
        <w:spacing w:after="0" w:line="343" w:lineRule="auto"/>
        <w:jc w:val="left"/>
        <w:rPr>
          <w:sz w:val="24"/>
        </w:rPr>
        <w:sectPr>
          <w:pgSz w:w="12240" w:h="15840"/>
          <w:pgMar w:header="0" w:footer="1015" w:top="144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7935" w:val="left" w:leader="none"/>
        </w:tabs>
        <w:spacing w:line="213" w:lineRule="auto" w:before="103"/>
        <w:ind w:left="5881"/>
      </w:pPr>
      <w:r>
        <w:rPr/>
        <w:pict>
          <v:group style="position:absolute;margin-left:106.580002pt;margin-top:-58.249237pt;width:434.15pt;height:481.15pt;mso-position-horizontal-relative:page;mso-position-vertical-relative:paragraph;z-index:-25416704" coordorigin="2132,-1165" coordsize="8683,9623">
            <v:shape style="position:absolute;left:2338;top:513;width:8035;height:7944" type="#_x0000_t75" stroked="false">
              <v:imagedata r:id="rId6" o:title=""/>
            </v:shape>
            <v:shape style="position:absolute;left:2146;top:-1152;width:8652;height:6929" type="#_x0000_t75" stroked="false">
              <v:imagedata r:id="rId9" o:title=""/>
            </v:shape>
            <v:shape style="position:absolute;left:2131;top:-1165;width:8683;height:6945" coordorigin="2132,-1165" coordsize="8683,6945" path="m10799,-1165l2146,-1165,2132,-1165,2132,-1151,2132,5779,2146,5779,2146,-1151,10799,-1151,10799,-1165xm10814,-1165l10800,-1165,10800,-1151,10800,5779,10814,5779,10814,-1151,10814,-116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5416192" from="227.300003pt,-8.919246pt" to="227.300003pt,195.83075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415680" from="267.75pt,-5.169246pt" to="267.75pt,195.83075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415168" from="405pt,-5.169246pt" to="405pt,200.33075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5536" from="315pt,-5.169246pt" to="315pt,200.330754pt" stroked="true" strokeweight=".75pt" strokecolor="#000000">
            <v:stroke dashstyle="solid"/>
            <w10:wrap type="none"/>
          </v:line>
        </w:pict>
      </w:r>
      <w:r>
        <w:rPr>
          <w:position w:val="-9"/>
        </w:rPr>
        <w:t>4</w:t>
        <w:tab/>
      </w:r>
      <w:r>
        <w:rPr/>
        <w:t>5</w:t>
      </w:r>
    </w:p>
    <w:p>
      <w:pPr>
        <w:pStyle w:val="BodyText"/>
        <w:tabs>
          <w:tab w:pos="3644" w:val="left" w:leader="none"/>
          <w:tab w:pos="4529" w:val="left" w:leader="none"/>
        </w:tabs>
        <w:spacing w:line="260" w:lineRule="exact"/>
        <w:ind w:left="2563"/>
      </w:pPr>
      <w:r>
        <w:rPr/>
        <w:t>1</w:t>
        <w:tab/>
        <w:t>2</w:t>
        <w:tab/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106.580002pt;margin-top:12.083238pt;width:434.15pt;height:.75pt;mso-position-horizontal-relative:page;mso-position-vertical-relative:paragraph;z-index:-15714304;mso-wrap-distance-left:0;mso-wrap-distance-right:0" coordorigin="2132,242" coordsize="8683,15" path="m10799,242l2146,242,2132,242,2132,256,2146,256,10799,256,10799,242xm10814,242l10800,242,10800,256,10814,256,10814,24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tabs>
          <w:tab w:pos="2251" w:val="left" w:leader="none"/>
        </w:tabs>
        <w:spacing w:before="90"/>
      </w:pPr>
      <w:r>
        <w:rPr/>
        <w:t>Figure</w:t>
      </w:r>
      <w:r>
        <w:rPr>
          <w:spacing w:val="-2"/>
        </w:rPr>
        <w:t> </w:t>
      </w:r>
      <w:r>
        <w:rPr/>
        <w:t>2.2:</w:t>
        <w:tab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Regimes</w:t>
      </w:r>
      <w:r>
        <w:rPr>
          <w:spacing w:val="-1"/>
        </w:rPr>
        <w:t> </w:t>
      </w:r>
      <w:r>
        <w:rPr/>
        <w:t>(Logarithmic</w:t>
      </w:r>
      <w:r>
        <w:rPr>
          <w:spacing w:val="-2"/>
        </w:rPr>
        <w:t> </w:t>
      </w:r>
      <w:r>
        <w:rPr/>
        <w:t>Scale)</w:t>
      </w:r>
    </w:p>
    <w:p>
      <w:pPr>
        <w:spacing w:line="275" w:lineRule="exact" w:before="98"/>
        <w:ind w:left="811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Note:</w:t>
      </w:r>
    </w:p>
    <w:p>
      <w:pPr>
        <w:pStyle w:val="BodyText"/>
        <w:spacing w:line="360" w:lineRule="auto"/>
        <w:ind w:left="811" w:right="1384"/>
      </w:pPr>
      <w:r>
        <w:rPr/>
        <w:t>1: Throughout the end of 1981 (No comprehensive exchange rate policy was adopted)</w:t>
      </w:r>
      <w:r>
        <w:rPr>
          <w:spacing w:val="-57"/>
        </w:rPr>
        <w:t> </w:t>
      </w:r>
      <w:r>
        <w:rPr/>
        <w:t>2:</w:t>
      </w:r>
      <w:r>
        <w:rPr>
          <w:spacing w:val="-1"/>
        </w:rPr>
        <w:t> </w:t>
      </w:r>
      <w:r>
        <w:rPr/>
        <w:t>1981-1985: Modified Exchange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Arrangement</w:t>
      </w:r>
      <w:r>
        <w:rPr>
          <w:spacing w:val="-1"/>
        </w:rPr>
        <w:t> </w:t>
      </w:r>
      <w:r>
        <w:rPr/>
        <w:t>(MERA)</w:t>
      </w:r>
    </w:p>
    <w:p>
      <w:pPr>
        <w:pStyle w:val="BodyText"/>
        <w:ind w:left="811"/>
      </w:pPr>
      <w:r>
        <w:rPr/>
        <w:t>3:</w:t>
      </w:r>
      <w:r>
        <w:rPr>
          <w:spacing w:val="-1"/>
        </w:rPr>
        <w:t> </w:t>
      </w:r>
      <w:r>
        <w:rPr/>
        <w:t>1985-1990:</w:t>
      </w:r>
      <w:r>
        <w:rPr>
          <w:spacing w:val="-1"/>
        </w:rPr>
        <w:t> </w:t>
      </w:r>
      <w:r>
        <w:rPr/>
        <w:t>Unified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139"/>
        <w:ind w:left="811"/>
      </w:pPr>
      <w:r>
        <w:rPr/>
        <w:t>4:</w:t>
      </w:r>
      <w:r>
        <w:rPr>
          <w:spacing w:val="-2"/>
        </w:rPr>
        <w:t> </w:t>
      </w:r>
      <w:r>
        <w:rPr/>
        <w:t>1990-2000: Liberalized</w:t>
      </w:r>
      <w:r>
        <w:rPr>
          <w:spacing w:val="-2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before="137"/>
        <w:ind w:left="811"/>
      </w:pPr>
      <w:r>
        <w:rPr/>
        <w:t>5:</w:t>
      </w:r>
      <w:r>
        <w:rPr>
          <w:spacing w:val="-2"/>
        </w:rPr>
        <w:t> </w:t>
      </w:r>
      <w:r>
        <w:rPr/>
        <w:t>2000-2010:</w:t>
      </w:r>
      <w:r>
        <w:rPr>
          <w:spacing w:val="-1"/>
        </w:rPr>
        <w:t> </w:t>
      </w:r>
      <w:r>
        <w:rPr/>
        <w:t>Managed/Dual</w:t>
      </w:r>
      <w:r>
        <w:rPr>
          <w:spacing w:val="-1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1"/>
        </w:rPr>
        <w:t> </w:t>
      </w:r>
      <w:r>
        <w:rPr/>
        <w:t>System</w:t>
      </w:r>
    </w:p>
    <w:p>
      <w:pPr>
        <w:spacing w:after="0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3720" w:val="left" w:leader="none"/>
          <w:tab w:pos="4664" w:val="left" w:leader="none"/>
          <w:tab w:pos="6061" w:val="left" w:leader="none"/>
        </w:tabs>
        <w:spacing w:before="90"/>
        <w:ind w:left="2804"/>
      </w:pPr>
      <w:r>
        <w:rPr/>
        <w:pict>
          <v:group style="position:absolute;margin-left:106.580002pt;margin-top:-92.656898pt;width:422.5pt;height:481pt;mso-position-horizontal-relative:page;mso-position-vertical-relative:paragraph;z-index:-25413632" coordorigin="2132,-1853" coordsize="8450,9620">
            <v:shape style="position:absolute;left:2338;top:-178;width:8035;height:7944" type="#_x0000_t75" stroked="false">
              <v:imagedata r:id="rId6" o:title=""/>
            </v:shape>
            <v:shape style="position:absolute;left:2146;top:-1839;width:8419;height:7783" type="#_x0000_t75" stroked="false">
              <v:imagedata r:id="rId10" o:title=""/>
            </v:shape>
            <v:shape style="position:absolute;left:2131;top:-1854;width:8450;height:7799" coordorigin="2132,-1853" coordsize="8450,7799" path="m10567,-1853l2146,-1853,2132,-1853,2132,-1839,2132,5945,2146,5945,2146,-1839,10567,-1839,10567,-1853xm10581,-1853l10567,-1853,10567,-1839,10567,5945,10581,5945,10581,-1839,10581,-185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5413120" from="236.25pt,-22.2969pt" to="236.25pt,202.5531pt" stroked="true" strokeweight=".75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412608" from="276pt,-22.2969pt" to="276pt,202.5531pt" stroked="true" strokeweight=".75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412096" from="323.25pt,-22.2969pt" to="323.25pt,202.5531pt" stroked="true" strokeweight=".75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8608" from="424.5pt,-22.2969pt" to="424.5pt,210.0531pt" stroked="true" strokeweight=".75pt" strokecolor="#ff0000">
            <v:stroke dashstyle="solid"/>
            <w10:wrap type="none"/>
          </v:line>
        </w:pict>
      </w:r>
      <w:r>
        <w:rPr>
          <w:position w:val="-10"/>
        </w:rPr>
        <w:t>1</w:t>
        <w:tab/>
      </w:r>
      <w:r>
        <w:rPr/>
        <w:t>2</w:t>
        <w:tab/>
        <w:t>3</w:t>
        <w:tab/>
        <w:t>4</w:t>
      </w:r>
    </w:p>
    <w:p>
      <w:pPr>
        <w:pStyle w:val="BodyText"/>
        <w:spacing w:before="79"/>
        <w:ind w:right="2393"/>
        <w:jc w:val="right"/>
      </w:pPr>
      <w:r>
        <w:rPr/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106.580002pt;margin-top:14.253971pt;width:422.5pt;height:.75pt;mso-position-horizontal-relative:page;mso-position-vertical-relative:paragraph;z-index:-15711232;mso-wrap-distance-left:0;mso-wrap-distance-right:0" coordorigin="2132,285" coordsize="8450,15" path="m10567,285l2146,285,2132,285,2132,299,2146,299,10567,299,10567,285xm10581,285l10567,285,10567,299,10581,299,10581,28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tabs>
          <w:tab w:pos="2251" w:val="left" w:leader="none"/>
        </w:tabs>
        <w:spacing w:before="90"/>
      </w:pPr>
      <w:r>
        <w:rPr/>
        <w:t>Figure</w:t>
      </w:r>
      <w:r>
        <w:rPr>
          <w:spacing w:val="-2"/>
        </w:rPr>
        <w:t> </w:t>
      </w:r>
      <w:r>
        <w:rPr/>
        <w:t>2.3:</w:t>
        <w:tab/>
        <w:t>Short-Term</w:t>
      </w:r>
      <w:r>
        <w:rPr>
          <w:spacing w:val="-3"/>
        </w:rPr>
        <w:t> </w:t>
      </w:r>
      <w:r>
        <w:rPr/>
        <w:t>Variability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</w:p>
    <w:p>
      <w:pPr>
        <w:spacing w:before="96"/>
        <w:ind w:left="811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3"/>
          <w:sz w:val="24"/>
        </w:rPr>
        <w:t> </w:t>
      </w:r>
      <w:r>
        <w:rPr>
          <w:sz w:val="24"/>
        </w:rPr>
        <w:t>Author‘s,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IMF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1"/>
          <w:sz w:val="24"/>
        </w:rPr>
        <w:t> </w:t>
      </w:r>
      <w:r>
        <w:rPr>
          <w:sz w:val="24"/>
        </w:rPr>
        <w:t>CD-ROM</w:t>
      </w:r>
    </w:p>
    <w:p>
      <w:pPr>
        <w:pStyle w:val="Heading2"/>
        <w:spacing w:line="275" w:lineRule="exact" w:before="5"/>
      </w:pPr>
      <w:r>
        <w:rPr/>
        <w:t>Note:</w:t>
      </w:r>
    </w:p>
    <w:p>
      <w:pPr>
        <w:pStyle w:val="BodyText"/>
        <w:spacing w:line="360" w:lineRule="auto"/>
        <w:ind w:left="811" w:right="1384"/>
      </w:pPr>
      <w:r>
        <w:rPr/>
        <w:t>1: Throughout the end of 1981 (No comprehensive exchange rate policy was adopted)</w:t>
      </w:r>
      <w:r>
        <w:rPr>
          <w:spacing w:val="-57"/>
        </w:rPr>
        <w:t> </w:t>
      </w:r>
      <w:r>
        <w:rPr/>
        <w:t>2:</w:t>
      </w:r>
      <w:r>
        <w:rPr>
          <w:spacing w:val="-1"/>
        </w:rPr>
        <w:t> </w:t>
      </w:r>
      <w:r>
        <w:rPr/>
        <w:t>1981-1985: Modified Exchange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Arrangement</w:t>
      </w:r>
      <w:r>
        <w:rPr>
          <w:spacing w:val="-1"/>
        </w:rPr>
        <w:t> </w:t>
      </w:r>
      <w:r>
        <w:rPr/>
        <w:t>(MERA)</w:t>
      </w:r>
    </w:p>
    <w:p>
      <w:pPr>
        <w:pStyle w:val="BodyText"/>
        <w:spacing w:line="274" w:lineRule="exact"/>
        <w:ind w:left="811"/>
      </w:pPr>
      <w:r>
        <w:rPr/>
        <w:t>3:</w:t>
      </w:r>
      <w:r>
        <w:rPr>
          <w:spacing w:val="-1"/>
        </w:rPr>
        <w:t> </w:t>
      </w:r>
      <w:r>
        <w:rPr/>
        <w:t>1985-1990:</w:t>
      </w:r>
      <w:r>
        <w:rPr>
          <w:spacing w:val="-1"/>
        </w:rPr>
        <w:t> </w:t>
      </w:r>
      <w:r>
        <w:rPr/>
        <w:t>Unified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138"/>
        <w:ind w:left="811"/>
      </w:pPr>
      <w:r>
        <w:rPr/>
        <w:t>4:</w:t>
      </w:r>
      <w:r>
        <w:rPr>
          <w:spacing w:val="-3"/>
        </w:rPr>
        <w:t> </w:t>
      </w:r>
      <w:r>
        <w:rPr/>
        <w:t>1990-2000: Liberalized</w:t>
      </w:r>
      <w:r>
        <w:rPr>
          <w:spacing w:val="-2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before="136"/>
        <w:ind w:left="811"/>
      </w:pPr>
      <w:r>
        <w:rPr/>
        <w:t>5:</w:t>
      </w:r>
      <w:r>
        <w:rPr>
          <w:spacing w:val="-2"/>
        </w:rPr>
        <w:t> </w:t>
      </w:r>
      <w:r>
        <w:rPr/>
        <w:t>2000-2010:</w:t>
      </w:r>
      <w:r>
        <w:rPr>
          <w:spacing w:val="-1"/>
        </w:rPr>
        <w:t> </w:t>
      </w:r>
      <w:r>
        <w:rPr/>
        <w:t>Managed/Dual</w:t>
      </w:r>
      <w:r>
        <w:rPr>
          <w:spacing w:val="-1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1"/>
        </w:rPr>
        <w:t> </w:t>
      </w:r>
      <w:r>
        <w:rPr/>
        <w:t>System</w:t>
      </w:r>
    </w:p>
    <w:p>
      <w:pPr>
        <w:spacing w:after="0"/>
        <w:sectPr>
          <w:pgSz w:w="12240" w:h="15840"/>
          <w:pgMar w:header="0" w:footer="1015" w:top="1500" w:bottom="1200" w:left="1320" w:right="440"/>
        </w:sectPr>
      </w:pPr>
    </w:p>
    <w:p>
      <w:pPr>
        <w:pStyle w:val="Heading2"/>
        <w:numPr>
          <w:ilvl w:val="2"/>
          <w:numId w:val="9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58" w:id="16"/>
      <w:r>
        <w:rPr/>
        <w:t>Exchange</w:t>
      </w:r>
      <w:r>
        <w:rPr>
          <w:spacing w:val="-3"/>
        </w:rPr>
        <w:t> </w:t>
      </w:r>
      <w:r>
        <w:rPr/>
        <w:t>Rate Policy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Post-War</w:t>
      </w:r>
      <w:r>
        <w:rPr>
          <w:spacing w:val="-2"/>
        </w:rPr>
        <w:t> </w:t>
      </w:r>
      <w:r>
        <w:rPr/>
        <w:t>Era:</w:t>
      </w:r>
      <w:r>
        <w:rPr>
          <w:spacing w:val="-2"/>
        </w:rPr>
        <w:t> </w:t>
      </w:r>
      <w:bookmarkEnd w:id="16"/>
      <w:r>
        <w:rPr/>
        <w:t>2000-2010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4"/>
        <w:jc w:val="both"/>
      </w:pPr>
      <w:r>
        <w:rPr/>
        <w:drawing>
          <wp:anchor distT="0" distB="0" distL="0" distR="0" allowOverlap="1" layoutInCell="1" locked="0" behindDoc="1" simplePos="0" relativeHeight="477905408">
            <wp:simplePos x="0" y="0"/>
            <wp:positionH relativeFrom="page">
              <wp:posOffset>1485138</wp:posOffset>
            </wp:positionH>
            <wp:positionV relativeFrom="paragraph">
              <wp:posOffset>1241591</wp:posOffset>
            </wp:positionV>
            <wp:extent cx="5102225" cy="5044439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Sierra Leone, the cessation of the civil war was officially declared in 2002 but before</w:t>
      </w:r>
      <w:r>
        <w:rPr>
          <w:spacing w:val="1"/>
        </w:rPr>
        <w:t> </w:t>
      </w:r>
      <w:r>
        <w:rPr/>
        <w:t>this time, monetary authorities had already insinuated negative repercussion of the war on</w:t>
      </w:r>
      <w:r>
        <w:rPr>
          <w:spacing w:val="-57"/>
        </w:rPr>
        <w:t> </w:t>
      </w:r>
      <w:r>
        <w:rPr/>
        <w:t>both the domestic and external sector of the economy.</w:t>
      </w:r>
      <w:r>
        <w:rPr>
          <w:spacing w:val="1"/>
        </w:rPr>
        <w:t> </w:t>
      </w:r>
      <w:r>
        <w:rPr/>
        <w:t>Among the precautionary actions</w:t>
      </w:r>
      <w:r>
        <w:rPr>
          <w:spacing w:val="1"/>
        </w:rPr>
        <w:t> </w:t>
      </w:r>
      <w:r>
        <w:rPr/>
        <w:t>taken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redesigning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foreign</w:t>
      </w:r>
      <w:r>
        <w:rPr>
          <w:spacing w:val="27"/>
        </w:rPr>
        <w:t> </w:t>
      </w:r>
      <w:r>
        <w:rPr/>
        <w:t>exchange</w:t>
      </w:r>
      <w:r>
        <w:rPr>
          <w:spacing w:val="26"/>
        </w:rPr>
        <w:t> </w:t>
      </w:r>
      <w:r>
        <w:rPr/>
        <w:t>market</w:t>
      </w:r>
      <w:r>
        <w:rPr>
          <w:spacing w:val="30"/>
        </w:rPr>
        <w:t> </w:t>
      </w:r>
      <w:r>
        <w:rPr/>
        <w:t>operations.</w:t>
      </w:r>
      <w:r>
        <w:rPr>
          <w:spacing w:val="57"/>
        </w:rPr>
        <w:t> </w:t>
      </w:r>
      <w:r>
        <w:rPr/>
        <w:t>This</w:t>
      </w:r>
      <w:r>
        <w:rPr>
          <w:spacing w:val="28"/>
        </w:rPr>
        <w:t> </w:t>
      </w:r>
      <w:r>
        <w:rPr/>
        <w:t>policy</w:t>
      </w:r>
      <w:r>
        <w:rPr>
          <w:spacing w:val="20"/>
        </w:rPr>
        <w:t> </w:t>
      </w:r>
      <w:r>
        <w:rPr/>
        <w:t>was</w:t>
      </w:r>
      <w:r>
        <w:rPr>
          <w:spacing w:val="-58"/>
        </w:rPr>
        <w:t> </w:t>
      </w:r>
      <w:r>
        <w:rPr/>
        <w:t>not new for countries mostly emergeed from civil war.</w:t>
      </w:r>
      <w:r>
        <w:rPr>
          <w:spacing w:val="1"/>
        </w:rPr>
        <w:t> </w:t>
      </w:r>
      <w:r>
        <w:rPr/>
        <w:t>For instance, after the Asian crisis</w:t>
      </w:r>
      <w:r>
        <w:rPr>
          <w:spacing w:val="-57"/>
        </w:rPr>
        <w:t> </w:t>
      </w:r>
      <w:r>
        <w:rPr/>
        <w:t>that occurred between 1997 and 1999, the Central Banks of five countries</w:t>
      </w:r>
      <w:r>
        <w:rPr>
          <w:vertAlign w:val="superscript"/>
        </w:rPr>
        <w:t>6</w:t>
      </w:r>
      <w:r>
        <w:rPr>
          <w:vertAlign w:val="baseline"/>
        </w:rPr>
        <w:t> intervened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foreign exchange market.   Their sole intention was to smooth out high frequency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exchange rate fluctuation.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banks were, therefore, obliged to maintain a stock of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-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reserves to facilitate</w:t>
      </w:r>
      <w:r>
        <w:rPr>
          <w:spacing w:val="-2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policy</w:t>
      </w:r>
      <w:r>
        <w:rPr>
          <w:spacing w:val="-3"/>
          <w:vertAlign w:val="baseline"/>
        </w:rPr>
        <w:t> </w:t>
      </w:r>
      <w:r>
        <w:rPr>
          <w:vertAlign w:val="baseline"/>
        </w:rPr>
        <w:t>actions (Tiwari,</w:t>
      </w:r>
      <w:r>
        <w:rPr>
          <w:spacing w:val="-1"/>
          <w:vertAlign w:val="baseline"/>
        </w:rPr>
        <w:t> </w:t>
      </w:r>
      <w:r>
        <w:rPr>
          <w:vertAlign w:val="baseline"/>
        </w:rPr>
        <w:t>2003).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811" w:right="992"/>
        <w:jc w:val="both"/>
      </w:pPr>
      <w:r>
        <w:rPr/>
        <w:t>In 2000, the monetary authorities introduced a new exchange rate policy-the weekly</w:t>
      </w:r>
      <w:r>
        <w:rPr>
          <w:spacing w:val="1"/>
        </w:rPr>
        <w:t> </w:t>
      </w:r>
      <w:r>
        <w:rPr/>
        <w:t>auction process on sectoral basis alongside the market determined exchange rate system.</w:t>
      </w:r>
      <w:r>
        <w:rPr>
          <w:spacing w:val="1"/>
        </w:rPr>
        <w:t> </w:t>
      </w:r>
      <w:r>
        <w:rPr/>
        <w:t>Table 2.1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exchange rate movements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sectoral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 currency auctioned by the Central Bank of Sierra Leone for the period 2000 to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The rationale for this policy was obvious as it eased pressure in the foreign</w:t>
      </w:r>
      <w:r>
        <w:rPr>
          <w:spacing w:val="1"/>
        </w:rPr>
        <w:t> </w:t>
      </w:r>
      <w:r>
        <w:rPr/>
        <w:t>exchange market for the importation of essential commodities such as rice, flour for</w:t>
      </w:r>
      <w:r>
        <w:rPr>
          <w:spacing w:val="1"/>
        </w:rPr>
        <w:t> </w:t>
      </w:r>
      <w:r>
        <w:rPr/>
        <w:t>domestic consumption and raw materials for industries and petroleum products. From the</w:t>
      </w:r>
      <w:r>
        <w:rPr>
          <w:spacing w:val="1"/>
        </w:rPr>
        <w:t> </w:t>
      </w:r>
      <w:r>
        <w:rPr/>
        <w:t>table, the highest amount was allocated for the importation of general marchandise of an</w:t>
      </w:r>
      <w:r>
        <w:rPr>
          <w:spacing w:val="1"/>
        </w:rPr>
        <w:t> </w:t>
      </w:r>
      <w:r>
        <w:rPr/>
        <w:t>average annual amount of US$15.86 million (34.2 percent of the average annual total</w:t>
      </w:r>
      <w:r>
        <w:rPr>
          <w:spacing w:val="1"/>
        </w:rPr>
        <w:t> </w:t>
      </w:r>
      <w:r>
        <w:rPr/>
        <w:t>amount).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US$</w:t>
      </w:r>
      <w:r>
        <w:rPr>
          <w:spacing w:val="1"/>
        </w:rPr>
        <w:t> </w:t>
      </w:r>
      <w:r>
        <w:rPr/>
        <w:t>14.96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(32.3</w:t>
      </w:r>
      <w:r>
        <w:rPr>
          <w:spacing w:val="1"/>
        </w:rPr>
        <w:t> </w:t>
      </w:r>
      <w:r>
        <w:rPr/>
        <w:t>percent)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total</w:t>
      </w:r>
      <w:r>
        <w:rPr>
          <w:spacing w:val="-57"/>
        </w:rPr>
        <w:t> </w:t>
      </w:r>
      <w:r>
        <w:rPr/>
        <w:t>amount per year. Industries such as Flour Mill, Cement factory, Brewery, were allocated</w:t>
      </w:r>
      <w:r>
        <w:rPr>
          <w:spacing w:val="1"/>
        </w:rPr>
        <w:t> </w:t>
      </w:r>
      <w:r>
        <w:rPr/>
        <w:t>annually US$5.44 million, while Commercial Banks were provided on average US$10.10</w:t>
      </w:r>
      <w:r>
        <w:rPr>
          <w:spacing w:val="-57"/>
        </w:rPr>
        <w:t> </w:t>
      </w:r>
      <w:r>
        <w:rPr/>
        <w:t>million per annum.</w:t>
      </w:r>
      <w:r>
        <w:rPr>
          <w:spacing w:val="1"/>
        </w:rPr>
        <w:t> </w:t>
      </w:r>
      <w:r>
        <w:rPr/>
        <w:t>Also, shown is the relative stable position of the exchnage rate. In</w:t>
      </w:r>
      <w:r>
        <w:rPr>
          <w:spacing w:val="1"/>
        </w:rPr>
        <w:t> </w:t>
      </w:r>
      <w:r>
        <w:rPr/>
        <w:t>2000, the exchange rate was Le2,092.12 per US$1 and depreciated by 16.0 percent from</w:t>
      </w:r>
      <w:r>
        <w:rPr>
          <w:spacing w:val="1"/>
        </w:rPr>
        <w:t> </w:t>
      </w:r>
      <w:r>
        <w:rPr/>
        <w:t>1999.</w:t>
      </w:r>
      <w:r>
        <w:rPr>
          <w:spacing w:val="60"/>
        </w:rPr>
        <w:t> </w:t>
      </w:r>
      <w:r>
        <w:rPr/>
        <w:t>The exchange rate, however, appreciated relatively to Le1,986.15 (by 5.1 percent)</w:t>
      </w:r>
      <w:r>
        <w:rPr>
          <w:spacing w:val="1"/>
        </w:rPr>
        <w:t> </w:t>
      </w:r>
      <w:r>
        <w:rPr/>
        <w:t>in 2001 and depreciated but at relatively low rates.</w:t>
      </w:r>
      <w:r>
        <w:rPr>
          <w:spacing w:val="1"/>
        </w:rPr>
        <w:t> </w:t>
      </w:r>
      <w:r>
        <w:rPr/>
        <w:t>This trend continued up to the period</w:t>
      </w:r>
      <w:r>
        <w:rPr>
          <w:spacing w:val="1"/>
        </w:rPr>
        <w:t> </w:t>
      </w:r>
      <w:r>
        <w:rPr/>
        <w:t>2008 to 2010 when the global food crisis and economic meltdown seriously affected and</w:t>
      </w:r>
      <w:r>
        <w:rPr>
          <w:spacing w:val="1"/>
        </w:rPr>
        <w:t> </w:t>
      </w:r>
      <w:r>
        <w:rPr/>
        <w:t>forced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exchange</w:t>
      </w:r>
      <w:r>
        <w:rPr>
          <w:spacing w:val="27"/>
        </w:rPr>
        <w:t> </w:t>
      </w:r>
      <w:r>
        <w:rPr/>
        <w:t>rates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depreciated</w:t>
      </w:r>
      <w:r>
        <w:rPr>
          <w:spacing w:val="28"/>
        </w:rPr>
        <w:t> </w:t>
      </w:r>
      <w:r>
        <w:rPr/>
        <w:t>by</w:t>
      </w:r>
      <w:r>
        <w:rPr>
          <w:spacing w:val="23"/>
        </w:rPr>
        <w:t> </w:t>
      </w:r>
      <w:r>
        <w:rPr/>
        <w:t>over</w:t>
      </w:r>
      <w:r>
        <w:rPr>
          <w:spacing w:val="30"/>
        </w:rPr>
        <w:t> </w:t>
      </w:r>
      <w:r>
        <w:rPr/>
        <w:t>15.0</w:t>
      </w:r>
      <w:r>
        <w:rPr>
          <w:spacing w:val="28"/>
        </w:rPr>
        <w:t> </w:t>
      </w:r>
      <w:r>
        <w:rPr/>
        <w:t>percent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nearly</w:t>
      </w:r>
      <w:r>
        <w:rPr>
          <w:spacing w:val="26"/>
        </w:rPr>
        <w:t> </w:t>
      </w:r>
      <w:r>
        <w:rPr/>
        <w:t>Le4,000/US$1.</w:t>
      </w:r>
    </w:p>
    <w:p>
      <w:pPr>
        <w:pStyle w:val="BodyText"/>
        <w:spacing w:before="1"/>
        <w:rPr>
          <w:sz w:val="19"/>
        </w:rPr>
      </w:pPr>
    </w:p>
    <w:p>
      <w:pPr>
        <w:spacing w:before="121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.505911pt;width:144.020pt;height:.72003pt;mso-position-horizontal-relative:page;mso-position-vertical-relative:paragraph;z-index:-2541056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Indonesia,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Korea,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Malaysia,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Philippines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Thailand.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5"/>
      </w:pPr>
      <w:r>
        <w:rPr/>
        <w:drawing>
          <wp:anchor distT="0" distB="0" distL="0" distR="0" allowOverlap="1" layoutInCell="1" locked="0" behindDoc="1" simplePos="0" relativeHeight="477906432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Nevertheless,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policy</w:t>
      </w:r>
      <w:r>
        <w:rPr>
          <w:spacing w:val="25"/>
        </w:rPr>
        <w:t> </w:t>
      </w:r>
      <w:r>
        <w:rPr/>
        <w:t>has</w:t>
      </w:r>
      <w:r>
        <w:rPr>
          <w:spacing w:val="28"/>
        </w:rPr>
        <w:t> </w:t>
      </w:r>
      <w:r>
        <w:rPr/>
        <w:t>indeed</w:t>
      </w:r>
      <w:r>
        <w:rPr>
          <w:spacing w:val="32"/>
        </w:rPr>
        <w:t> </w:t>
      </w:r>
      <w:r>
        <w:rPr/>
        <w:t>greatly</w:t>
      </w:r>
      <w:r>
        <w:rPr>
          <w:spacing w:val="23"/>
        </w:rPr>
        <w:t> </w:t>
      </w:r>
      <w:r>
        <w:rPr/>
        <w:t>supported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local</w:t>
      </w:r>
      <w:r>
        <w:rPr>
          <w:spacing w:val="28"/>
        </w:rPr>
        <w:t> </w:t>
      </w:r>
      <w:r>
        <w:rPr/>
        <w:t>currency</w:t>
      </w:r>
      <w:r>
        <w:rPr>
          <w:spacing w:val="27"/>
        </w:rPr>
        <w:t> </w:t>
      </w:r>
      <w:r>
        <w:rPr/>
        <w:t>from</w:t>
      </w:r>
      <w:r>
        <w:rPr>
          <w:spacing w:val="28"/>
        </w:rPr>
        <w:t> </w:t>
      </w:r>
      <w:r>
        <w:rPr/>
        <w:t>high</w:t>
      </w:r>
      <w:r>
        <w:rPr>
          <w:spacing w:val="-57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period.</w:t>
      </w:r>
    </w:p>
    <w:p>
      <w:pPr>
        <w:spacing w:after="0" w:line="360" w:lineRule="auto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679" w:val="left" w:leader="none"/>
        </w:tabs>
        <w:spacing w:line="276" w:lineRule="auto"/>
        <w:ind w:left="3872" w:right="1423" w:hanging="2634"/>
      </w:pPr>
      <w:r>
        <w:rPr/>
        <w:pict>
          <v:shape style="position:absolute;margin-left:281.300018pt;margin-top:129.333130pt;width:237.4pt;height:230.5pt;mso-position-horizontal-relative:page;mso-position-vertical-relative:paragraph;z-index:-25408512" coordorigin="5626,2587" coordsize="4748,4610" path="m6603,7139l6602,7136,6600,7129,6597,7126,6306,6835,6268,6763,6080,6402,6004,6257,5993,6237,5983,6225,5979,6222,5969,6220,5964,6222,5957,6226,5944,6237,5928,6252,5923,6259,5916,6268,5914,6273,5912,6281,5912,6284,5917,6297,5921,6302,6079,6595,6115,6659,6178,6767,6177,6768,6002,6668,5929,6629,5783,6551,5705,6508,5696,6505,5692,6504,5684,6505,5680,6507,5675,6509,5670,6513,5658,6523,5642,6539,5632,6551,5628,6557,5626,6562,5628,6572,5631,6576,5637,6581,5643,6586,5664,6598,5736,6636,6098,6824,6242,6900,6532,7190,6536,7193,6542,7196,6546,7196,6550,7195,6554,7194,6564,7189,6569,7185,6575,7181,6587,7168,6592,7163,6595,7158,6600,7148,6601,7143,6603,7139xm7274,6407l7274,6370,7268,6332,7258,6292,7242,6251,7223,6209,7199,6165,7170,6121,7161,6109,7161,6380,7157,6406,7148,6431,7133,6455,7115,6477,7093,6496,7070,6510,7045,6520,7020,6524,6994,6525,6967,6523,6939,6516,6909,6505,6880,6491,6849,6473,6818,6453,6786,6429,6753,6403,6720,6374,6687,6343,6652,6309,6622,6278,6594,6247,6567,6215,6541,6183,6518,6152,6499,6121,6482,6090,6469,6059,6458,6030,6451,6001,6447,5973,6447,5946,6451,5919,6460,5895,6474,5871,6493,5850,6515,5831,6537,5817,6562,5807,6587,5802,6614,5802,6641,5805,6669,5811,6698,5822,6728,5836,6759,5853,6790,5873,6821,5896,6854,5922,6886,5950,6919,5980,6952,6012,6983,6044,7012,6076,7039,6108,7064,6140,7088,6172,7108,6203,7125,6234,7139,6264,7150,6295,7157,6324,7161,6352,7161,6380,7161,6109,7137,6076,7100,6030,7059,5984,7013,5937,6966,5891,6921,5850,6876,5814,6860,5802,6832,5781,6790,5753,6749,5730,6709,5712,6670,5698,6633,5689,6596,5684,6562,5685,6528,5689,6496,5698,6465,5713,6436,5732,6408,5757,6383,5786,6363,5816,6348,5849,6339,5883,6335,5919,6336,5956,6341,5994,6351,6034,6366,6075,6386,6117,6409,6160,6438,6204,6470,6249,6507,6294,6547,6339,6591,6385,6639,6431,6685,6473,6731,6510,6775,6543,6817,6572,6859,6595,6899,6614,6938,6628,6975,6638,7011,6643,7046,6642,7080,6638,7113,6629,7144,6614,7173,6595,7201,6570,7227,6541,7237,6525,7247,6510,7261,6478,7270,6443,7274,6407xm7572,6170l7572,6166,7569,6159,7567,6156,7239,5828,7409,5658,7410,5655,7410,5648,7409,5644,7404,5635,7400,5629,7385,5611,7369,5595,7361,5588,7355,5583,7349,5578,7344,5575,7336,5571,7332,5570,7328,5570,7325,5570,7323,5571,7153,5742,6887,5477,7068,5296,7069,5294,7069,5291,7068,5283,7063,5274,7059,5268,7043,5250,7035,5242,7027,5234,7008,5217,6993,5208,6989,5208,6982,5207,6980,5208,6753,5435,6750,5444,6752,5454,6754,5464,6759,5474,6767,5484,6777,5495,7502,6221,7505,6223,7513,6226,7516,6226,7520,6225,7524,6224,7534,6219,7539,6215,7545,6211,7557,6198,7565,6188,7570,6178,7571,6174,7572,6170xm8101,5641l8100,5638,8098,5631,8095,5628,8092,5625,7340,4873,7337,4870,7330,4868,7327,4867,7322,4868,7318,4869,7309,4874,7298,4882,7286,4895,7278,4905,7273,4915,7272,4919,7271,4923,7271,4927,7274,4934,7276,4938,8031,5692,8034,5695,8041,5698,8044,5698,8048,5696,8053,5696,8063,5690,8073,5682,8086,5670,8090,5664,8094,5659,8099,5650,8099,5645,8101,5641xm8456,5214l8456,5197,8454,5181,8451,5164,8448,5147,8442,5129,8436,5112,8428,5094,8419,5076,8409,5058,8397,5039,8383,5021,8369,5003,8352,4985,8346,4977,8346,5180,8345,5194,8343,5207,8340,5220,8335,5232,8328,5244,8320,5256,8310,5267,8216,5361,7941,5086,8018,5009,8024,5003,8034,4995,8049,4983,8063,4974,8078,4967,8093,4963,8108,4961,8124,4960,8139,4961,8155,4965,8171,4970,8188,4977,8204,4986,8221,4996,8238,5009,8255,5024,8273,5040,8288,5057,8301,5073,8313,5089,8323,5105,8331,5120,8337,5136,8341,5151,8344,5165,8346,5180,8346,4977,8335,4966,8328,4960,8315,4947,8295,4930,8275,4915,8254,4901,8234,4889,8214,4878,8195,4870,8190,4868,8176,4863,8158,4858,8139,4855,8122,4853,8105,4853,8089,4854,8073,4858,8059,4862,8046,4868,8048,4855,8048,4841,8048,4827,8046,4812,8043,4798,8039,4783,8034,4768,8028,4753,8021,4739,8013,4724,8004,4710,7993,4695,7982,4680,7971,4666,7964,4658,7964,4852,7964,4866,7962,4879,7958,4892,7952,4905,7943,4917,7932,4930,7859,5003,7606,4751,7673,4684,7686,4671,7700,4661,7713,4653,7726,4648,7739,4645,7751,4643,7765,4643,7777,4644,7791,4648,7805,4653,7818,4660,7832,4668,7846,4678,7860,4689,7874,4701,7888,4714,7900,4727,7912,4741,7923,4754,7933,4768,7941,4783,7949,4797,7955,4811,7959,4824,7962,4838,7964,4852,7964,4658,7958,4652,7950,4643,7945,4638,7921,4616,7898,4596,7875,4579,7852,4564,7829,4552,7806,4542,7784,4534,7762,4530,7740,4528,7719,4529,7698,4532,7677,4538,7656,4547,7635,4560,7614,4576,7592,4596,7481,4707,7476,4712,7473,4721,7474,4732,7477,4741,7482,4751,7489,4762,7500,4773,8195,5469,8206,5479,8217,5487,8227,5491,8236,5493,8247,5495,8256,5492,8387,5361,8389,5360,8402,5346,8413,5332,8423,5318,8431,5304,8438,5290,8444,5276,8449,5261,8452,5245,8454,5230,8456,5214xm9020,4728l9019,4724,9017,4719,9014,4713,9009,4708,9003,4703,8995,4697,8984,4690,8889,4629,8609,4453,8609,4564,8440,4733,8179,4328,8135,4261,8135,4260,8135,4260,8609,4564,8609,4453,8304,4260,8097,4129,8091,4126,8086,4123,8081,4121,8076,4120,8072,4121,8062,4124,8056,4127,8050,4132,8044,4136,8038,4143,8030,4151,8022,4158,8016,4164,8012,4170,8008,4175,8005,4181,8004,4186,8002,4191,8001,4195,8003,4199,8004,4204,8007,4209,8010,4214,8053,4283,8370,4785,8571,5102,8578,5113,8584,5121,8589,5126,8594,5132,8600,5135,8604,5137,8609,5138,8614,5136,8620,5133,8625,5129,8632,5123,8646,5109,8651,5103,8655,5098,8659,5093,8661,5088,8661,5083,8662,5079,8662,5076,8660,5071,8659,5068,8657,5064,8654,5059,8617,5003,8506,4832,8605,4733,8709,4629,8940,4778,8945,4780,8949,4782,8953,4783,8956,4785,8960,4785,8963,4783,8968,4783,8972,4781,8978,4777,8983,4773,9005,4751,9010,4744,9014,4739,9018,4734,9020,4728xm9323,4313l9321,4275,9314,4235,9302,4194,9285,4152,9263,4108,9236,4062,9213,4029,9213,4277,9212,4304,9207,4330,9198,4355,9186,4380,9168,4404,9147,4427,9080,4494,8473,3887,8539,3821,8565,3798,8590,3781,8617,3768,8644,3761,8672,3758,8700,3759,8729,3763,8759,3770,8790,3781,8821,3796,8852,3813,8884,3834,8916,3858,8948,3884,8980,3912,9012,3942,9049,3981,9083,4019,9113,4055,9138,4090,9160,4124,9178,4157,9193,4189,9203,4219,9210,4249,9213,4277,9213,4029,9204,4016,9166,3969,9124,3920,9076,3870,9032,3828,8988,3790,8947,3758,8945,3756,8902,3727,8860,3702,8819,3681,8778,3665,8738,3652,8700,3645,8662,3642,8625,3644,8590,3650,8555,3662,8522,3679,8489,3702,8457,3731,8341,3847,8338,3856,8339,3867,8342,3876,8347,3886,8354,3896,8365,3908,9060,4603,9072,4614,9082,4621,9092,4626,9101,4628,9112,4630,9121,4627,9230,4518,9252,4494,9258,4487,9282,4454,9300,4420,9313,4386,9320,4350,9323,4313xm9940,3808l9939,3803,9937,3798,9934,3793,9929,3788,9923,3783,9916,3777,9905,3770,9810,3709,9529,3533,9529,3644,9360,3813,9099,3408,9055,3340,9055,3340,9529,3644,9529,3533,9224,3340,9017,3209,9011,3206,9006,3203,8996,3200,8992,3201,8987,3202,8982,3204,8976,3207,8971,3212,8965,3216,8958,3223,8950,3231,8936,3244,8928,3255,8925,3261,8924,3266,8922,3271,8922,3275,8923,3279,8924,3284,8927,3289,8930,3294,9017,3431,9289,3863,9318,3909,9491,4182,9498,4193,9504,4201,9509,4206,9514,4212,9520,4215,9529,4218,9534,4216,9540,4213,9545,4209,9552,4203,9566,4189,9571,4183,9575,4178,9579,4173,9581,4168,9581,4163,9582,4159,9582,4155,9580,4151,9579,4148,9577,4144,9574,4139,9426,3912,9525,3813,9629,3709,9860,3857,9865,3860,9869,3862,9873,3863,9876,3864,9880,3865,9883,3863,9888,3863,9892,3861,9898,3856,9903,3853,9925,3831,9930,3824,9934,3819,9938,3814,9940,3808xm10374,3365l10372,3352,10369,3345,10362,3330,10356,3322,10348,3315,9625,2592,9622,2590,9615,2587,9611,2587,9602,2588,9598,2590,9593,2594,9582,2602,9570,2614,9559,2629,9556,2634,9555,2643,9556,2647,9557,2650,9558,2654,9560,2657,10011,3107,10186,3280,10186,3280,10037,3203,9959,3162,9898,3133,9801,3084,9573,2970,9421,2894,9397,2883,9378,2874,9366,2870,9356,2867,9347,2867,9338,2867,9330,2867,9316,2874,9309,2879,9263,2925,9260,2935,9261,2947,9264,2957,9269,2967,9277,2978,9287,2990,10010,3713,10013,3715,10016,3716,10020,3718,10024,3718,10028,3717,10032,3717,10042,3711,10052,3704,10065,3691,10073,3680,10076,3675,10078,3671,10078,3666,10080,3662,10080,3659,10078,3654,10077,3651,10075,3648,9533,3107,9421,2997,9422,2997,9468,3022,9565,3073,9686,3134,10057,3318,10204,3392,10233,3406,10272,3422,10285,3425,10295,3426,10305,3427,10314,3426,10321,3423,10329,3421,10336,3416,10367,3384,10370,3380,10373,3370,10374,3365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2.1:</w:t>
        <w:tab/>
        <w:t>Sectoral Distribution of Foreign Currency Auction: 2000-2010</w:t>
      </w:r>
      <w:r>
        <w:rPr>
          <w:spacing w:val="-57"/>
        </w:rPr>
        <w:t> </w:t>
      </w:r>
      <w:r>
        <w:rPr/>
        <w:t>(Amount</w:t>
      </w:r>
      <w:r>
        <w:rPr>
          <w:spacing w:val="-1"/>
        </w:rPr>
        <w:t> </w:t>
      </w:r>
      <w:r>
        <w:rPr/>
        <w:t>in US$’million)</w:t>
      </w: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133"/>
        <w:gridCol w:w="1426"/>
        <w:gridCol w:w="864"/>
        <w:gridCol w:w="1172"/>
        <w:gridCol w:w="1450"/>
        <w:gridCol w:w="1134"/>
        <w:gridCol w:w="992"/>
      </w:tblGrid>
      <w:tr>
        <w:trPr>
          <w:trHeight w:val="525" w:hRule="atLeast"/>
        </w:trPr>
        <w:tc>
          <w:tcPr>
            <w:tcW w:w="9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/>
              <w:ind w:left="261"/>
              <w:rPr>
                <w:b/>
                <w:sz w:val="22"/>
              </w:rPr>
            </w:pPr>
            <w:r>
              <w:rPr>
                <w:b/>
                <w:sz w:val="22"/>
              </w:rPr>
              <w:t>Year</w:t>
            </w:r>
          </w:p>
        </w:tc>
        <w:tc>
          <w:tcPr>
            <w:tcW w:w="11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1"/>
              <w:ind w:left="344" w:right="70" w:hanging="238"/>
              <w:rPr>
                <w:b/>
                <w:sz w:val="22"/>
              </w:rPr>
            </w:pPr>
            <w:r>
              <w:rPr>
                <w:b/>
                <w:sz w:val="22"/>
              </w:rPr>
              <w:t>Exchange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Rate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1"/>
              <w:ind w:left="107" w:right="69" w:firstLine="264"/>
              <w:rPr>
                <w:b/>
                <w:sz w:val="22"/>
              </w:rPr>
            </w:pPr>
            <w:r>
              <w:rPr>
                <w:b/>
                <w:sz w:val="22"/>
              </w:rPr>
              <w:t>Rate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Depreciation</w:t>
            </w: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/>
              <w:ind w:right="8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Banks</w:t>
            </w:r>
          </w:p>
        </w:tc>
        <w:tc>
          <w:tcPr>
            <w:tcW w:w="11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/>
              <w:ind w:right="8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Industries</w:t>
            </w:r>
          </w:p>
        </w:tc>
        <w:tc>
          <w:tcPr>
            <w:tcW w:w="1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1"/>
              <w:ind w:left="104" w:right="71" w:firstLine="237"/>
              <w:rPr>
                <w:b/>
                <w:sz w:val="22"/>
              </w:rPr>
            </w:pPr>
            <w:r>
              <w:rPr>
                <w:b/>
                <w:sz w:val="22"/>
              </w:rPr>
              <w:t>General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Merchandize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 w:before="1"/>
              <w:ind w:left="106" w:right="71" w:firstLine="310"/>
              <w:rPr>
                <w:b/>
                <w:sz w:val="22"/>
              </w:rPr>
            </w:pPr>
            <w:r>
              <w:rPr>
                <w:b/>
                <w:sz w:val="22"/>
              </w:rPr>
              <w:t>Oil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Company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33" w:lineRule="exact"/>
              <w:ind w:right="9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634" w:hRule="atLeast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2,092.12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15.96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8.31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4.70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18.18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8.66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39.86</w:t>
            </w:r>
          </w:p>
        </w:tc>
      </w:tr>
      <w:tr>
        <w:trPr>
          <w:trHeight w:val="506" w:hRule="atLeast"/>
        </w:trPr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73"/>
              <w:rPr>
                <w:sz w:val="22"/>
              </w:rPr>
            </w:pPr>
            <w:r>
              <w:rPr>
                <w:sz w:val="22"/>
              </w:rPr>
              <w:t>2001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1,986.15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-5.07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4.19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3.48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17.19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2.05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4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26.90</w:t>
            </w:r>
          </w:p>
        </w:tc>
      </w:tr>
      <w:tr>
        <w:trPr>
          <w:trHeight w:val="506" w:hRule="atLeast"/>
        </w:trPr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73"/>
              <w:rPr>
                <w:sz w:val="22"/>
              </w:rPr>
            </w:pPr>
            <w:r>
              <w:rPr>
                <w:sz w:val="22"/>
              </w:rPr>
              <w:t>2002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2,099.03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5.68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5.80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5.63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21.63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1.79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4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34.86</w:t>
            </w:r>
          </w:p>
        </w:tc>
      </w:tr>
      <w:tr>
        <w:trPr>
          <w:trHeight w:val="505" w:hRule="atLeast"/>
        </w:trPr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73"/>
              <w:rPr>
                <w:sz w:val="22"/>
              </w:rPr>
            </w:pPr>
            <w:r>
              <w:rPr>
                <w:sz w:val="22"/>
              </w:rPr>
              <w:t>2003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2,347.94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11.89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9.52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7.46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26.90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12.85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4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56.73</w:t>
            </w:r>
          </w:p>
        </w:tc>
      </w:tr>
      <w:tr>
        <w:trPr>
          <w:trHeight w:val="505" w:hRule="atLeast"/>
        </w:trPr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273"/>
              <w:rPr>
                <w:sz w:val="22"/>
              </w:rPr>
            </w:pPr>
            <w:r>
              <w:rPr>
                <w:sz w:val="22"/>
              </w:rPr>
              <w:t>2004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2,701.30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15.05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9.10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11.09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4.55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31.54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56.28</w:t>
            </w:r>
          </w:p>
        </w:tc>
      </w:tr>
      <w:tr>
        <w:trPr>
          <w:trHeight w:val="506" w:hRule="atLeast"/>
        </w:trPr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73"/>
              <w:rPr>
                <w:sz w:val="22"/>
              </w:rPr>
            </w:pPr>
            <w:r>
              <w:rPr>
                <w:sz w:val="22"/>
              </w:rPr>
              <w:t>2005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2,889.59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6.97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9.72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6.55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6.40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18.71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41.37</w:t>
            </w:r>
          </w:p>
        </w:tc>
      </w:tr>
      <w:tr>
        <w:trPr>
          <w:trHeight w:val="506" w:hRule="atLeast"/>
        </w:trPr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73"/>
              <w:rPr>
                <w:sz w:val="22"/>
              </w:rPr>
            </w:pPr>
            <w:r>
              <w:rPr>
                <w:sz w:val="22"/>
              </w:rPr>
              <w:t>2006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2,961.91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2.50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14.20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6.36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20.67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19.78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4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61.01</w:t>
            </w:r>
          </w:p>
        </w:tc>
      </w:tr>
      <w:tr>
        <w:trPr>
          <w:trHeight w:val="506" w:hRule="atLeast"/>
        </w:trPr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73"/>
              <w:rPr>
                <w:sz w:val="22"/>
              </w:rPr>
            </w:pPr>
            <w:r>
              <w:rPr>
                <w:sz w:val="22"/>
              </w:rPr>
              <w:t>2007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2,985.19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0.79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12.66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5.58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18.63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6.10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4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42.97</w:t>
            </w:r>
          </w:p>
        </w:tc>
      </w:tr>
      <w:tr>
        <w:trPr>
          <w:trHeight w:val="505" w:hRule="atLeast"/>
        </w:trPr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73"/>
              <w:rPr>
                <w:sz w:val="22"/>
              </w:rPr>
            </w:pPr>
            <w:r>
              <w:rPr>
                <w:sz w:val="22"/>
              </w:rPr>
              <w:t>2008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2,981.51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-0.12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12.23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4.43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7.92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9.70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4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34.28</w:t>
            </w:r>
          </w:p>
        </w:tc>
      </w:tr>
      <w:tr>
        <w:trPr>
          <w:trHeight w:val="505" w:hRule="atLeast"/>
        </w:trPr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273"/>
              <w:rPr>
                <w:sz w:val="22"/>
              </w:rPr>
            </w:pPr>
            <w:r>
              <w:rPr>
                <w:sz w:val="22"/>
              </w:rPr>
              <w:t>2009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3,396.86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13.93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13.59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2.21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16.07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36.11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67.98</w:t>
            </w:r>
          </w:p>
        </w:tc>
      </w:tr>
      <w:tr>
        <w:trPr>
          <w:trHeight w:val="380" w:hRule="atLeast"/>
        </w:trPr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 w:before="120"/>
              <w:ind w:left="273"/>
              <w:rPr>
                <w:sz w:val="22"/>
              </w:rPr>
            </w:pPr>
            <w:r>
              <w:rPr>
                <w:sz w:val="22"/>
              </w:rPr>
              <w:t>2010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 w:before="120"/>
              <w:ind w:left="189" w:right="22"/>
              <w:jc w:val="center"/>
              <w:rPr>
                <w:sz w:val="22"/>
              </w:rPr>
            </w:pPr>
            <w:r>
              <w:rPr>
                <w:sz w:val="22"/>
              </w:rPr>
              <w:t>3,978.09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 w:before="120"/>
              <w:ind w:right="84"/>
              <w:jc w:val="right"/>
              <w:rPr>
                <w:sz w:val="22"/>
              </w:rPr>
            </w:pPr>
            <w:r>
              <w:rPr>
                <w:sz w:val="22"/>
              </w:rPr>
              <w:t>17.11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 w:before="120"/>
              <w:ind w:right="86"/>
              <w:jc w:val="right"/>
              <w:rPr>
                <w:sz w:val="22"/>
              </w:rPr>
            </w:pPr>
            <w:r>
              <w:rPr>
                <w:sz w:val="22"/>
              </w:rPr>
              <w:t>11.82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 w:before="12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2.35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 w:before="12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16.33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 w:before="120"/>
              <w:ind w:right="88"/>
              <w:jc w:val="right"/>
              <w:rPr>
                <w:sz w:val="22"/>
              </w:rPr>
            </w:pPr>
            <w:r>
              <w:rPr>
                <w:sz w:val="22"/>
              </w:rPr>
              <w:t>17.24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 w:before="124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47.75</w:t>
            </w:r>
          </w:p>
        </w:tc>
      </w:tr>
      <w:tr>
        <w:trPr>
          <w:trHeight w:val="299" w:hRule="atLeast"/>
        </w:trPr>
        <w:tc>
          <w:tcPr>
            <w:tcW w:w="9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 w:before="44"/>
              <w:ind w:left="241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1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/>
              <w:ind w:left="189" w:right="67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2,765.43</w:t>
            </w:r>
            <w:r>
              <w:rPr>
                <w:sz w:val="22"/>
                <w:vertAlign w:val="superscript"/>
              </w:rPr>
              <w:t>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b/>
                <w:sz w:val="22"/>
              </w:rPr>
              <w:t>7.70</w:t>
            </w:r>
            <w:r>
              <w:rPr>
                <w:sz w:val="22"/>
                <w:vertAlign w:val="superscript"/>
              </w:rPr>
              <w:t>I</w:t>
            </w:r>
          </w:p>
        </w:tc>
        <w:tc>
          <w:tcPr>
            <w:tcW w:w="86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 w:before="44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111.14</w:t>
            </w:r>
          </w:p>
        </w:tc>
        <w:tc>
          <w:tcPr>
            <w:tcW w:w="11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 w:before="44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59.84</w:t>
            </w:r>
          </w:p>
        </w:tc>
        <w:tc>
          <w:tcPr>
            <w:tcW w:w="145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 w:before="44"/>
              <w:ind w:right="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174.47</w:t>
            </w: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 w:before="44"/>
              <w:ind w:right="8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164.54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 w:before="44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509.99</w:t>
            </w:r>
          </w:p>
        </w:tc>
      </w:tr>
      <w:tr>
        <w:trPr>
          <w:trHeight w:val="300" w:hRule="atLeast"/>
        </w:trPr>
        <w:tc>
          <w:tcPr>
            <w:tcW w:w="354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47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Average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Annual</w:t>
            </w:r>
          </w:p>
        </w:tc>
        <w:tc>
          <w:tcPr>
            <w:tcW w:w="86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47"/>
              <w:ind w:right="8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10.10</w:t>
            </w:r>
          </w:p>
        </w:tc>
        <w:tc>
          <w:tcPr>
            <w:tcW w:w="11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47"/>
              <w:ind w:right="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5.44</w:t>
            </w:r>
          </w:p>
        </w:tc>
        <w:tc>
          <w:tcPr>
            <w:tcW w:w="145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47"/>
              <w:ind w:right="8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15.86</w:t>
            </w: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47"/>
              <w:ind w:right="8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14.96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47"/>
              <w:ind w:right="8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46.36</w:t>
            </w:r>
          </w:p>
        </w:tc>
      </w:tr>
      <w:tr>
        <w:trPr>
          <w:trHeight w:val="301" w:hRule="atLeast"/>
        </w:trPr>
        <w:tc>
          <w:tcPr>
            <w:tcW w:w="354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4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Total Amount</w:t>
            </w: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46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21.79</w:t>
            </w:r>
          </w:p>
        </w:tc>
        <w:tc>
          <w:tcPr>
            <w:tcW w:w="11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46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11.73</w:t>
            </w:r>
          </w:p>
        </w:tc>
        <w:tc>
          <w:tcPr>
            <w:tcW w:w="1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46"/>
              <w:ind w:right="8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34.21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46"/>
              <w:ind w:right="8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32.26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46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100.00</w:t>
            </w:r>
          </w:p>
        </w:tc>
      </w:tr>
    </w:tbl>
    <w:p>
      <w:pPr>
        <w:pStyle w:val="BodyText"/>
        <w:ind w:left="931"/>
      </w:pPr>
      <w:r>
        <w:rPr/>
        <w:pict>
          <v:shape style="position:absolute;margin-left:116.940002pt;margin-top:-37.816891pt;width:180.2pt;height:175.25pt;mso-position-horizontal-relative:page;mso-position-vertical-relative:paragraph;z-index:-25409536" coordorigin="2339,-756" coordsize="3604,3505" path="m3369,2531l3367,2502,3362,2471,3353,2439,3340,2406,3324,2373,3304,2339,3281,2305,3255,2270,3224,2235,3191,2199,2711,1720,2708,1717,2701,1715,2697,1715,2693,1715,2689,1717,2680,1722,2669,1730,2657,1742,2649,1752,2644,1762,2642,1766,2641,1771,2642,1774,2644,1781,2647,1784,3127,2264,3152,2290,3174,2316,3194,2340,3210,2364,3225,2387,3236,2410,3246,2432,3253,2453,3257,2473,3259,2493,3258,2512,3255,2530,3250,2547,3242,2564,3231,2579,3218,2594,3204,2606,3189,2616,3172,2624,3155,2629,3137,2632,3118,2633,3098,2631,3077,2626,3056,2620,3033,2610,3010,2598,2986,2583,2961,2566,2936,2546,2910,2523,2883,2497,2409,2023,2405,2020,2398,2017,2395,2017,2391,2018,2387,2019,2377,2024,2366,2032,2354,2045,2346,2055,2343,2061,2340,2069,2339,2073,2339,2076,2342,2084,2344,2087,2831,2574,2867,2608,2902,2638,2937,2665,2971,2688,3004,2707,3037,2723,3068,2734,3098,2742,3128,2747,3157,2749,3184,2746,3211,2741,3236,2732,3260,2720,3282,2705,3303,2686,3323,2664,3340,2640,3352,2614,3361,2588,3367,2560,3369,2531xm3958,1998l3956,1986,3954,1979,3946,1964,3940,1956,3932,1948,3209,1225,3207,1223,3200,1221,3195,1220,3187,1222,3182,1224,3167,1236,3155,1247,3143,1263,3141,1267,3139,1276,3140,1280,3143,1287,3145,1290,3571,1716,3770,1914,3770,1914,3696,1875,3543,1796,3482,1766,3385,1718,3081,1566,2993,1522,2972,1512,2951,1504,2940,1501,2931,1500,2923,1500,2914,1501,2901,1508,2893,1513,2847,1559,2845,1568,2846,1581,2848,1590,2853,1601,2861,1612,2872,1624,3591,2343,3597,2349,3605,2352,3608,2352,3612,2351,3616,2350,3626,2345,3631,2342,3636,2337,3649,2324,3654,2319,3657,2314,3662,2304,3663,2300,3664,2296,3664,2292,3662,2288,3661,2285,3659,2282,3141,1763,3005,1631,3006,1630,3076,1669,3150,1707,3344,1805,3567,1915,3804,2033,3818,2039,3842,2049,3857,2055,3869,2058,3879,2059,3890,2061,3899,2060,3906,2057,3913,2055,3920,2050,3952,2018,3954,2014,3958,2004,3958,1998xm4162,1798l4162,1795,4159,1788,4157,1784,4154,1781,3402,1029,3399,1027,3391,1024,3388,1024,3384,1025,3376,1028,3370,1031,3360,1039,3348,1051,3340,1061,3335,1071,3333,1075,3332,1080,3332,1083,3335,1090,3337,1094,4092,1849,4095,1852,4102,1854,4106,1854,4109,1853,4114,1852,4124,1847,4135,1839,4147,1827,4155,1816,4160,1806,4161,1802,4162,1798xm4485,1472l4483,1463,4481,1458,4477,1453,4434,1385,3899,549,3889,538,3884,535,3880,533,3875,532,3870,534,3864,537,3853,546,3831,568,3823,578,3821,583,3820,591,3820,595,3824,603,3873,678,4349,1403,4349,1404,4283,1361,3553,887,3544,882,3540,880,3536,878,3524,879,3520,881,3511,888,3489,910,3474,928,3472,934,3474,944,3476,949,3482,954,3488,959,3507,973,3575,1017,4391,1538,4398,1543,4401,1543,4404,1545,4407,1546,4414,1546,4417,1546,4420,1544,4427,1542,4430,1539,4443,1530,4471,1502,4480,1491,4482,1487,4485,1476,4485,1472xm4997,964l4996,957,4991,948,4987,942,4971,924,4964,916,4956,909,4937,892,4923,884,4916,883,4912,883,4909,884,4715,1079,4435,800,4601,635,4602,632,4602,626,4601,622,4598,614,4594,609,4578,591,4563,576,4545,559,4539,555,4531,551,4526,550,4519,550,4517,551,4352,716,4107,472,4299,279,4300,277,4300,270,4299,266,4295,257,4291,252,4286,246,4275,233,4260,218,4247,206,4236,198,4226,193,4223,192,4215,192,4213,193,3974,432,3972,440,3973,451,3975,461,3980,470,3988,481,3998,492,4694,1188,4705,1198,4716,1206,4725,1211,4734,1213,4746,1214,4754,1212,4996,971,4997,968,4997,964xm5431,529l5430,526,5429,523,5427,520,5424,516,5421,513,5418,510,5413,506,5406,501,5369,478,5185,368,5167,357,5135,339,5118,329,5085,311,5070,304,5056,297,5042,291,5028,286,5015,281,5002,278,4990,275,4981,273,4978,273,4967,272,4956,272,4946,272,4935,273,4940,257,4942,240,4944,223,4945,205,4944,188,4942,170,4938,152,4933,134,4926,116,4918,98,4909,79,4897,60,4884,41,4869,22,4852,3,4848,-1,4848,211,4846,225,4843,240,4837,254,4830,268,4820,281,4809,294,4745,357,4483,95,4537,40,4546,31,4555,23,4563,16,4570,11,4579,4,4588,-1,4597,-4,4619,-10,4641,-12,4663,-9,4685,-2,4708,9,4730,24,4753,42,4776,63,4789,77,4802,91,4813,106,4823,121,4831,136,4838,151,4843,166,4846,181,4848,196,4848,211,4848,-1,4838,-12,4834,-17,4813,-36,4793,-54,4773,-69,4752,-83,4732,-95,4712,-105,4691,-114,4671,-120,4651,-125,4631,-128,4611,-128,4592,-127,4573,-124,4554,-118,4536,-111,4517,-102,4510,-97,4501,-90,4492,-83,4485,-77,4477,-70,4469,-63,4460,-54,4408,-2,4356,50,4351,55,4348,64,4349,75,4352,84,4357,94,4364,105,4375,116,5100,841,5103,844,5107,845,5110,846,5113,847,5117,845,5122,844,5126,842,5132,839,5136,836,5142,832,5155,819,5159,813,5163,808,5166,803,5168,799,5168,794,5169,791,5170,787,5168,783,5167,780,5164,776,4931,543,4829,441,4851,420,4872,398,4884,388,4896,380,4908,374,4921,370,4934,369,4948,368,4963,369,4978,372,4993,377,5010,382,5026,389,5043,397,5061,407,5079,417,5098,427,5117,439,5289,543,5346,578,5352,582,5357,585,5362,586,5366,588,5370,589,5375,588,5380,588,5384,585,5389,582,5394,578,5400,574,5414,560,5419,553,5423,548,5427,543,5429,538,5431,529xm5698,198l5696,172,5691,146,5683,120,5672,93,5659,65,5642,38,5622,10,5600,-17,5574,-45,5551,-67,5528,-86,5505,-102,5483,-116,5462,-127,5441,-137,5420,-144,5399,-150,5379,-154,5359,-156,5339,-158,5320,-158,5301,-157,5282,-155,5246,-151,5192,-143,5157,-139,5140,-138,5123,-137,5106,-138,5089,-140,5073,-143,5056,-148,5039,-155,5023,-163,5007,-173,4990,-186,4974,-201,4963,-213,4953,-224,4945,-236,4937,-248,4930,-261,4924,-273,4920,-285,4917,-298,4915,-309,4915,-321,4916,-334,4918,-346,4922,-357,4928,-368,4936,-379,4945,-390,4957,-400,4968,-408,4980,-415,4993,-421,5006,-424,5019,-427,5031,-430,5043,-432,5065,-433,5095,-434,5102,-436,5107,-440,5107,-446,5105,-453,5094,-468,5084,-479,5057,-507,5046,-516,5034,-526,5027,-530,5014,-534,5008,-535,4998,-535,4984,-534,4973,-533,4963,-531,4941,-525,4930,-521,4919,-517,4909,-512,4898,-507,4888,-500,4878,-493,4870,-486,4861,-478,4846,-462,4834,-444,4824,-426,4816,-406,4810,-385,4807,-364,4806,-342,4808,-319,4813,-296,4820,-273,4829,-249,4842,-225,4857,-200,4874,-175,4895,-150,4918,-126,4941,-103,4964,-84,4987,-68,5009,-54,5031,-43,5052,-33,5073,-25,5093,-19,5113,-15,5133,-12,5153,-11,5172,-10,5191,-11,5210,-12,5246,-17,5317,-27,5335,-29,5352,-30,5368,-30,5385,-30,5401,-28,5418,-24,5435,-19,5451,-13,5468,-5,5484,6,5501,19,5517,34,5532,49,5545,65,5556,80,5565,96,5573,111,5579,126,5584,141,5587,155,5588,170,5588,184,5586,198,5582,211,5577,224,5571,237,5562,248,5553,259,5538,272,5524,283,5509,291,5493,297,5477,302,5462,306,5448,309,5434,311,5421,313,5409,314,5397,314,5374,313,5365,315,5360,320,5359,323,5359,329,5360,332,5365,342,5369,347,5387,367,5405,385,5413,392,5421,399,5428,403,5436,410,5445,414,5453,416,5460,418,5471,419,5496,417,5508,416,5520,413,5533,410,5546,407,5559,402,5573,396,5586,389,5600,382,5613,373,5626,362,5638,351,5654,333,5668,313,5680,293,5689,270,5695,247,5698,223,5698,198xm5942,18l5942,14,5940,7,5937,4,5934,1,5182,-751,5179,-754,5172,-756,5168,-756,5164,-756,5156,-752,5151,-749,5140,-741,5128,-729,5124,-724,5120,-719,5115,-709,5114,-705,5113,-701,5113,-697,5115,-690,5117,-686,5872,69,5876,71,5883,74,5886,74,5890,73,5894,72,5904,67,5915,58,5927,46,5935,35,5938,30,5940,26,5942,1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2.480011pt;margin-top:-59.426872pt;width:48.9pt;height:48.9pt;mso-position-horizontal-relative:page;mso-position-vertical-relative:paragraph;z-index:-25409024" coordorigin="5250,-1189" coordsize="978,978" path="m5603,-1188l5596,-1189,5593,-1187,5251,-845,5250,-842,5250,-839,5250,-835,5251,-832,5256,-822,5260,-817,5265,-811,5271,-804,5277,-797,5292,-782,5299,-775,5306,-771,5311,-765,5317,-761,5326,-757,5329,-756,5336,-756,5339,-757,5478,-896,6157,-216,6161,-214,6168,-211,6171,-211,6175,-212,6179,-213,6225,-259,6226,-263,6227,-267,6227,-271,6224,-278,6222,-281,5542,-960,5681,-1099,5683,-1102,5683,-1105,5682,-1113,5679,-1117,5677,-1122,5673,-1127,5657,-1146,5649,-1154,5641,-1161,5622,-1178,5616,-1182,5607,-1188,5603,-1188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</w:rPr>
        <w:t>Source:</w:t>
      </w:r>
      <w:r>
        <w:rPr>
          <w:i/>
          <w:spacing w:val="-3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Sierra</w:t>
      </w:r>
      <w:r>
        <w:rPr>
          <w:spacing w:val="-1"/>
        </w:rPr>
        <w:t> </w:t>
      </w:r>
      <w:r>
        <w:rPr/>
        <w:t>Leone (2012).</w:t>
      </w:r>
    </w:p>
    <w:p>
      <w:pPr>
        <w:spacing w:before="35"/>
        <w:ind w:left="948" w:right="0" w:firstLine="0"/>
        <w:jc w:val="left"/>
        <w:rPr>
          <w:i/>
          <w:sz w:val="24"/>
        </w:rPr>
      </w:pPr>
      <w:r>
        <w:rPr>
          <w:i/>
          <w:sz w:val="18"/>
        </w:rPr>
        <w:t>I</w:t>
      </w:r>
      <w:r>
        <w:rPr>
          <w:i/>
          <w:sz w:val="24"/>
        </w:rPr>
        <w:t>/--Average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exchange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depreciation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period</w:t>
      </w:r>
    </w:p>
    <w:p>
      <w:pPr>
        <w:spacing w:before="41"/>
        <w:ind w:left="871" w:right="0" w:firstLine="0"/>
        <w:jc w:val="left"/>
        <w:rPr>
          <w:i/>
          <w:sz w:val="24"/>
        </w:rPr>
      </w:pPr>
      <w:r>
        <w:rPr>
          <w:i/>
          <w:sz w:val="24"/>
        </w:rPr>
        <w:t>2/-A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negative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depreciation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implies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appreciation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exchange rate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1"/>
          <w:numId w:val="9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57" w:id="17"/>
      <w:r>
        <w:rPr/>
        <w:t>Development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Balance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</w:r>
      <w:r>
        <w:rPr>
          <w:spacing w:val="-2"/>
        </w:rPr>
        <w:t> </w:t>
      </w:r>
      <w:bookmarkEnd w:id="17"/>
      <w:r>
        <w:rPr/>
        <w:t>Performance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08480">
            <wp:simplePos x="0" y="0"/>
            <wp:positionH relativeFrom="page">
              <wp:posOffset>1485138</wp:posOffset>
            </wp:positionH>
            <wp:positionV relativeFrom="paragraph">
              <wp:posOffset>1241591</wp:posOffset>
            </wp:positionV>
            <wp:extent cx="5102225" cy="5044439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balance of payments (BoP) resides at the crux of development of any economy.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shows the intersection of trade and finance and discloses the relationship of a given</w:t>
      </w:r>
      <w:r>
        <w:rPr>
          <w:spacing w:val="1"/>
        </w:rPr>
        <w:t> </w:t>
      </w:r>
      <w:r>
        <w:rPr/>
        <w:t>economy to the international marketplace.</w:t>
      </w:r>
      <w:r>
        <w:rPr>
          <w:spacing w:val="1"/>
        </w:rPr>
        <w:t> </w:t>
      </w:r>
      <w:r>
        <w:rPr/>
        <w:t>A nation‘s BoP is where its trade and finance</w:t>
      </w:r>
      <w:r>
        <w:rPr>
          <w:spacing w:val="1"/>
        </w:rPr>
        <w:t> </w:t>
      </w:r>
      <w:r>
        <w:rPr/>
        <w:t>flow converge.</w:t>
      </w:r>
      <w:r>
        <w:rPr>
          <w:spacing w:val="1"/>
        </w:rPr>
        <w:t> </w:t>
      </w:r>
      <w:r>
        <w:rPr/>
        <w:t>The term balance of payments refers to a statement showing all of a</w:t>
      </w:r>
      <w:r>
        <w:rPr>
          <w:spacing w:val="1"/>
        </w:rPr>
        <w:t> </w:t>
      </w:r>
      <w:r>
        <w:rPr/>
        <w:t>nation‘s</w:t>
      </w:r>
      <w:r>
        <w:rPr>
          <w:spacing w:val="-1"/>
        </w:rPr>
        <w:t> </w:t>
      </w:r>
      <w:r>
        <w:rPr/>
        <w:t>transactions with</w:t>
      </w:r>
      <w:r>
        <w:rPr>
          <w:spacing w:val="-1"/>
        </w:rPr>
        <w:t> </w:t>
      </w:r>
      <w:r>
        <w:rPr/>
        <w:t>the rest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world for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given period</w:t>
      </w:r>
      <w:r>
        <w:rPr>
          <w:spacing w:val="-1"/>
        </w:rPr>
        <w:t> </w:t>
      </w:r>
      <w:r>
        <w:rPr/>
        <w:t>(Chantal, 2000).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In Sierra</w:t>
      </w:r>
      <w:r>
        <w:rPr>
          <w:spacing w:val="1"/>
        </w:rPr>
        <w:t> </w:t>
      </w:r>
      <w:r>
        <w:rPr/>
        <w:t>Leone, there are significant differences</w:t>
      </w:r>
      <w:r>
        <w:rPr>
          <w:spacing w:val="1"/>
        </w:rPr>
        <w:t> </w:t>
      </w:r>
      <w:r>
        <w:rPr/>
        <w:t>when comparing the</w:t>
      </w:r>
      <w:r>
        <w:rPr>
          <w:spacing w:val="1"/>
        </w:rPr>
        <w:t> </w:t>
      </w:r>
      <w:r>
        <w:rPr/>
        <w:t>country‘s</w:t>
      </w:r>
      <w:r>
        <w:rPr>
          <w:spacing w:val="60"/>
        </w:rPr>
        <w:t> </w:t>
      </w:r>
      <w:r>
        <w:rPr/>
        <w:t>balance</w:t>
      </w:r>
      <w:r>
        <w:rPr>
          <w:spacing w:val="-57"/>
        </w:rPr>
        <w:t> </w:t>
      </w:r>
      <w:r>
        <w:rPr/>
        <w:t>of payments dynamics during the study period.</w:t>
      </w:r>
      <w:r>
        <w:rPr>
          <w:spacing w:val="1"/>
        </w:rPr>
        <w:t> </w:t>
      </w:r>
      <w:r>
        <w:rPr/>
        <w:t>Its dynamic can be examined during three</w:t>
      </w:r>
      <w:r>
        <w:rPr>
          <w:spacing w:val="-57"/>
        </w:rPr>
        <w:t> </w:t>
      </w:r>
      <w:r>
        <w:rPr/>
        <w:t>periods.</w:t>
      </w:r>
      <w:r>
        <w:rPr>
          <w:spacing w:val="1"/>
        </w:rPr>
        <w:t> </w:t>
      </w:r>
      <w:r>
        <w:rPr/>
        <w:t>These periods include the following: years before the civil war (1980-1991), the</w:t>
      </w:r>
      <w:r>
        <w:rPr>
          <w:spacing w:val="1"/>
        </w:rPr>
        <w:t> </w:t>
      </w:r>
      <w:r>
        <w:rPr/>
        <w:t>period of the war (1991-2002) and after the war (2002-2010).</w:t>
      </w:r>
      <w:r>
        <w:rPr>
          <w:spacing w:val="1"/>
        </w:rPr>
        <w:t> </w:t>
      </w:r>
      <w:r>
        <w:rPr/>
        <w:t>Prior to 1980 there was no</w:t>
      </w:r>
      <w:r>
        <w:rPr>
          <w:spacing w:val="-57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precision.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currency,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relatively stable and much stronger against the U.S. dollar (see Figures 2.1, 2.2. and 2.3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currency‘s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1980).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variation in both international trade and capital mobility during the period.</w:t>
      </w:r>
      <w:r>
        <w:rPr>
          <w:spacing w:val="1"/>
        </w:rPr>
        <w:t> </w:t>
      </w:r>
      <w:r>
        <w:rPr/>
        <w:t>Following the period from 1980, the country‘s balance of payments problems started</w:t>
      </w:r>
      <w:r>
        <w:rPr>
          <w:spacing w:val="1"/>
        </w:rPr>
        <w:t> </w:t>
      </w:r>
      <w:r>
        <w:rPr/>
        <w:t>developing and in 1986 the balance of payments deficit reached 20 percent of GDP (see</w:t>
      </w:r>
      <w:r>
        <w:rPr>
          <w:spacing w:val="1"/>
        </w:rPr>
        <w:t> </w:t>
      </w:r>
      <w:r>
        <w:rPr/>
        <w:t>Figure 2.4).</w:t>
      </w:r>
      <w:r>
        <w:rPr>
          <w:spacing w:val="1"/>
        </w:rPr>
        <w:t> </w:t>
      </w:r>
      <w:r>
        <w:rPr/>
        <w:t>Even though the deficit persisted, the BoP shifted into surplus at two year</w:t>
      </w:r>
      <w:r>
        <w:rPr>
          <w:spacing w:val="1"/>
        </w:rPr>
        <w:t> </w:t>
      </w:r>
      <w:r>
        <w:rPr/>
        <w:t>interval</w:t>
      </w:r>
      <w:r>
        <w:rPr>
          <w:spacing w:val="28"/>
        </w:rPr>
        <w:t> </w:t>
      </w:r>
      <w:r>
        <w:rPr/>
        <w:t>during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period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war:</w:t>
      </w:r>
      <w:r>
        <w:rPr>
          <w:spacing w:val="27"/>
        </w:rPr>
        <w:t> </w:t>
      </w:r>
      <w:r>
        <w:rPr/>
        <w:t>1992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1993,</w:t>
      </w:r>
      <w:r>
        <w:rPr>
          <w:spacing w:val="28"/>
        </w:rPr>
        <w:t> </w:t>
      </w:r>
      <w:r>
        <w:rPr/>
        <w:t>1997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1998,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2000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2001.</w:t>
      </w:r>
      <w:r>
        <w:rPr>
          <w:spacing w:val="-58"/>
        </w:rPr>
        <w:t> </w:t>
      </w:r>
      <w:r>
        <w:rPr/>
        <w:t>The</w:t>
      </w:r>
      <w:r>
        <w:rPr>
          <w:spacing w:val="57"/>
        </w:rPr>
        <w:t> </w:t>
      </w:r>
      <w:r>
        <w:rPr/>
        <w:t>performance</w:t>
      </w:r>
      <w:r>
        <w:rPr>
          <w:spacing w:val="59"/>
        </w:rPr>
        <w:t> </w:t>
      </w:r>
      <w:r>
        <w:rPr/>
        <w:t>during</w:t>
      </w:r>
      <w:r>
        <w:rPr>
          <w:spacing w:val="59"/>
        </w:rPr>
        <w:t> </w:t>
      </w:r>
      <w:r>
        <w:rPr/>
        <w:t>these</w:t>
      </w:r>
      <w:r>
        <w:rPr>
          <w:spacing w:val="4"/>
        </w:rPr>
        <w:t> </w:t>
      </w:r>
      <w:r>
        <w:rPr/>
        <w:t>years</w:t>
      </w:r>
      <w:r>
        <w:rPr>
          <w:spacing w:val="1"/>
        </w:rPr>
        <w:t> </w:t>
      </w:r>
      <w:r>
        <w:rPr/>
        <w:t>were</w:t>
      </w:r>
      <w:r>
        <w:rPr>
          <w:spacing w:val="57"/>
        </w:rPr>
        <w:t> </w:t>
      </w:r>
      <w:r>
        <w:rPr/>
        <w:t>$16.18mn  (2.4</w:t>
      </w:r>
      <w:r>
        <w:rPr>
          <w:spacing w:val="4"/>
        </w:rPr>
        <w:t> </w:t>
      </w:r>
      <w:r>
        <w:rPr/>
        <w:t>percent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GDP)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1992,</w:t>
      </w:r>
    </w:p>
    <w:p>
      <w:pPr>
        <w:pStyle w:val="BodyText"/>
        <w:spacing w:line="360" w:lineRule="auto"/>
        <w:ind w:left="811" w:right="996"/>
        <w:jc w:val="both"/>
      </w:pPr>
      <w:r>
        <w:rPr/>
        <w:t>$7.52mn</w:t>
      </w:r>
      <w:r>
        <w:rPr>
          <w:spacing w:val="1"/>
        </w:rPr>
        <w:t> </w:t>
      </w:r>
      <w:r>
        <w:rPr/>
        <w:t>(1.0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GDP)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1993,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jumped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$19.66mn</w:t>
      </w:r>
      <w:r>
        <w:rPr>
          <w:spacing w:val="60"/>
        </w:rPr>
        <w:t> </w:t>
      </w:r>
      <w:r>
        <w:rPr/>
        <w:t>(2.3</w:t>
      </w:r>
      <w:r>
        <w:rPr>
          <w:spacing w:val="-57"/>
        </w:rPr>
        <w:t> </w:t>
      </w:r>
      <w:r>
        <w:rPr/>
        <w:t>percent of GDP) in 1997 but dropped quite substantially to $2.09mn (0.3 percent of GDP)</w:t>
      </w:r>
      <w:r>
        <w:rPr>
          <w:spacing w:val="-57"/>
        </w:rPr>
        <w:t> </w:t>
      </w:r>
      <w:r>
        <w:rPr/>
        <w:t>in 1998.</w:t>
      </w:r>
      <w:r>
        <w:rPr>
          <w:spacing w:val="1"/>
        </w:rPr>
        <w:t> </w:t>
      </w:r>
      <w:r>
        <w:rPr/>
        <w:t>In the following two set of years, 2000 and 2001, the surpluses attained in 2000</w:t>
      </w:r>
      <w:r>
        <w:rPr>
          <w:spacing w:val="1"/>
        </w:rPr>
        <w:t> </w:t>
      </w:r>
      <w:r>
        <w:rPr/>
        <w:t>and 2001 were $9.76mn and $29.63mn, respectively.   Apart from these years, the BoP</w:t>
      </w:r>
      <w:r>
        <w:rPr>
          <w:spacing w:val="1"/>
        </w:rPr>
        <w:t> </w:t>
      </w:r>
      <w:r>
        <w:rPr/>
        <w:t>had been in deficits throughout the study period except in 2006 when it attained a sharp</w:t>
      </w:r>
      <w:r>
        <w:rPr>
          <w:spacing w:val="1"/>
        </w:rPr>
        <w:t> </w:t>
      </w:r>
      <w:r>
        <w:rPr/>
        <w:t>surplus</w:t>
      </w:r>
      <w:r>
        <w:rPr>
          <w:spacing w:val="-1"/>
        </w:rPr>
        <w:t> </w:t>
      </w:r>
      <w:r>
        <w:rPr/>
        <w:t>of $60.36mn (4.2%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GDP).</w:t>
      </w:r>
    </w:p>
    <w:p>
      <w:pPr>
        <w:pStyle w:val="BodyText"/>
        <w:spacing w:line="360" w:lineRule="auto" w:before="200"/>
        <w:ind w:left="811" w:right="994"/>
        <w:jc w:val="both"/>
      </w:pPr>
      <w:r>
        <w:rPr/>
        <w:t>The reasons behind the laudable performance</w:t>
      </w:r>
      <w:r>
        <w:rPr>
          <w:spacing w:val="60"/>
        </w:rPr>
        <w:t> </w:t>
      </w:r>
      <w:r>
        <w:rPr/>
        <w:t>of the BoP during the aforementioned</w:t>
      </w:r>
      <w:r>
        <w:rPr>
          <w:spacing w:val="1"/>
        </w:rPr>
        <w:t> </w:t>
      </w:r>
      <w:r>
        <w:rPr/>
        <w:t>period were that during the war the country attracted the attentions of many international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(DFID),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agencies.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assistance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form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food</w:t>
      </w:r>
      <w:r>
        <w:rPr>
          <w:spacing w:val="55"/>
        </w:rPr>
        <w:t> </w:t>
      </w:r>
      <w:r>
        <w:rPr/>
        <w:t>aid,</w:t>
      </w:r>
      <w:r>
        <w:rPr>
          <w:spacing w:val="56"/>
        </w:rPr>
        <w:t> </w:t>
      </w:r>
      <w:r>
        <w:rPr/>
        <w:t>medicine,</w:t>
      </w:r>
      <w:r>
        <w:rPr>
          <w:spacing w:val="55"/>
        </w:rPr>
        <w:t> </w:t>
      </w:r>
      <w:r>
        <w:rPr/>
        <w:t>clothing</w:t>
      </w:r>
      <w:r>
        <w:rPr>
          <w:spacing w:val="54"/>
        </w:rPr>
        <w:t> </w:t>
      </w:r>
      <w:r>
        <w:rPr/>
        <w:t>and</w:t>
      </w:r>
      <w:r>
        <w:rPr>
          <w:spacing w:val="57"/>
        </w:rPr>
        <w:t> </w:t>
      </w:r>
      <w:r>
        <w:rPr/>
        <w:t>housing.</w:t>
      </w:r>
      <w:r>
        <w:rPr>
          <w:spacing w:val="56"/>
        </w:rPr>
        <w:t> </w:t>
      </w:r>
      <w:r>
        <w:rPr/>
        <w:t>Some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these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7908992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agencies</w:t>
      </w:r>
      <w:r>
        <w:rPr>
          <w:spacing w:val="17"/>
        </w:rPr>
        <w:t> </w:t>
      </w:r>
      <w:r>
        <w:rPr/>
        <w:t>assisted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provision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military</w:t>
      </w:r>
      <w:r>
        <w:rPr>
          <w:spacing w:val="13"/>
        </w:rPr>
        <w:t> </w:t>
      </w:r>
      <w:r>
        <w:rPr/>
        <w:t>gadgets,</w:t>
      </w:r>
      <w:r>
        <w:rPr>
          <w:spacing w:val="18"/>
        </w:rPr>
        <w:t> </w:t>
      </w:r>
      <w:r>
        <w:rPr/>
        <w:t>vehicles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training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personnel</w:t>
      </w:r>
      <w:r>
        <w:rPr>
          <w:spacing w:val="-58"/>
        </w:rPr>
        <w:t> </w:t>
      </w:r>
      <w:r>
        <w:rPr/>
        <w:t>to fight the war and the cost of the importation of these goods and the payments for the</w:t>
      </w:r>
      <w:r>
        <w:rPr>
          <w:spacing w:val="1"/>
        </w:rPr>
        <w:t> </w:t>
      </w:r>
      <w:r>
        <w:rPr/>
        <w:t>services of the personnel (both foreign and local) were financed by the agencies and not</w:t>
      </w:r>
      <w:r>
        <w:rPr>
          <w:spacing w:val="1"/>
        </w:rPr>
        <w:t> </w:t>
      </w:r>
      <w:r>
        <w:rPr/>
        <w:t>the central government.</w:t>
      </w:r>
      <w:r>
        <w:rPr>
          <w:spacing w:val="1"/>
        </w:rPr>
        <w:t> </w:t>
      </w:r>
      <w:r>
        <w:rPr/>
        <w:t>Even though exports did not improve substantially to bring the</w:t>
      </w:r>
      <w:r>
        <w:rPr>
          <w:spacing w:val="1"/>
        </w:rPr>
        <w:t> </w:t>
      </w:r>
      <w:r>
        <w:rPr/>
        <w:t>trade balance into surpluses, it also observed that imports on commercial basis were low</w:t>
      </w:r>
      <w:r>
        <w:rPr>
          <w:spacing w:val="1"/>
        </w:rPr>
        <w:t> </w:t>
      </w:r>
      <w:r>
        <w:rPr/>
        <w:t>relative to the total domestic consumption.</w:t>
      </w:r>
      <w:r>
        <w:rPr>
          <w:spacing w:val="1"/>
        </w:rPr>
        <w:t> </w:t>
      </w:r>
      <w:r>
        <w:rPr/>
        <w:t>Combining the low imports with donor and</w:t>
      </w:r>
      <w:r>
        <w:rPr>
          <w:spacing w:val="1"/>
        </w:rPr>
        <w:t> </w:t>
      </w:r>
      <w:r>
        <w:rPr/>
        <w:t>humanitarians aid inflows improved the country‘s overall performance of the BoP during</w:t>
      </w:r>
      <w:r>
        <w:rPr>
          <w:spacing w:val="1"/>
        </w:rPr>
        <w:t> </w:t>
      </w:r>
      <w:r>
        <w:rPr/>
        <w:t>the war</w:t>
      </w:r>
      <w:r>
        <w:rPr>
          <w:spacing w:val="-2"/>
        </w:rPr>
        <w:t> </w:t>
      </w:r>
      <w:r>
        <w:rPr/>
        <w:t>period.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0" w:lineRule="exact"/>
        <w:ind w:left="811"/>
        <w:rPr>
          <w:sz w:val="2"/>
        </w:rPr>
      </w:pPr>
      <w:r>
        <w:rPr>
          <w:sz w:val="2"/>
        </w:rPr>
        <w:pict>
          <v:group style="width:434.4pt;height:.5pt;mso-position-horizontal-relative:char;mso-position-vertical-relative:line" coordorigin="0,0" coordsize="8688,10">
            <v:shape style="position:absolute;left:0;top:0;width:8688;height:10" coordorigin="0,0" coordsize="8688,10" path="m8677,0l10,0,0,0,0,10,10,10,8677,10,8677,0xm8687,0l8678,0,8678,10,8687,10,868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90"/>
      </w:pPr>
      <w:r>
        <w:rPr/>
        <w:pict>
          <v:group style="position:absolute;margin-left:106.580002pt;margin-top:-377.466888pt;width:434.4pt;height:491.7pt;mso-position-horizontal-relative:page;mso-position-vertical-relative:paragraph;z-index:-25406464" coordorigin="2132,-7549" coordsize="8688,9834">
            <v:shape style="position:absolute;left:2338;top:-5660;width:8035;height:7944" type="#_x0000_t75" stroked="false">
              <v:imagedata r:id="rId6" o:title=""/>
            </v:shape>
            <v:shape style="position:absolute;left:2141;top:-7541;width:8666;height:7246" type="#_x0000_t75" stroked="false">
              <v:imagedata r:id="rId11" o:title=""/>
            </v:shape>
            <v:shape style="position:absolute;left:2131;top:-7550;width:8688;height:7257" coordorigin="2132,-7549" coordsize="8688,7257" path="m10809,-7549l2141,-7549,2132,-7549,2132,-7540,2132,-293,2141,-293,2141,-7540,10809,-7540,10809,-7549xm10819,-7549l10809,-7549,10809,-7540,10809,-293,10819,-293,10819,-7540,10819,-754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2"/>
        </w:rPr>
        <w:t> </w:t>
      </w:r>
      <w:r>
        <w:rPr/>
        <w:t>Trends</w:t>
      </w:r>
      <w:r>
        <w:rPr>
          <w:spacing w:val="-2"/>
        </w:rPr>
        <w:t> </w:t>
      </w:r>
      <w:r>
        <w:rPr/>
        <w:t>in 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</w:r>
    </w:p>
    <w:p>
      <w:pPr>
        <w:spacing w:after="0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line="360" w:lineRule="auto" w:before="74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7910528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 component(s) of the BoP that caused it to attain the dramatic surplus especially</w:t>
      </w:r>
      <w:r>
        <w:rPr>
          <w:spacing w:val="1"/>
        </w:rPr>
        <w:t> </w:t>
      </w:r>
      <w:r>
        <w:rPr/>
        <w:t>during certain</w:t>
      </w:r>
      <w:r>
        <w:rPr>
          <w:spacing w:val="1"/>
        </w:rPr>
        <w:t> </w:t>
      </w:r>
      <w:r>
        <w:rPr/>
        <w:t>years of the civil strife but plunged into deficits during the period of</w:t>
      </w:r>
      <w:r>
        <w:rPr>
          <w:spacing w:val="1"/>
        </w:rPr>
        <w:t> </w:t>
      </w:r>
      <w:r>
        <w:rPr/>
        <w:t>serenity (that is, before and after the war).</w:t>
      </w:r>
      <w:r>
        <w:rPr>
          <w:spacing w:val="1"/>
        </w:rPr>
        <w:t> </w:t>
      </w:r>
      <w:r>
        <w:rPr/>
        <w:t>One explanation for this, therefore, lies on the</w:t>
      </w:r>
      <w:r>
        <w:rPr>
          <w:spacing w:val="-57"/>
        </w:rPr>
        <w:t> </w:t>
      </w:r>
      <w:r>
        <w:rPr/>
        <w:t>current account balance (CAB).</w:t>
      </w:r>
      <w:r>
        <w:rPr>
          <w:spacing w:val="1"/>
        </w:rPr>
        <w:t> </w:t>
      </w:r>
      <w:r>
        <w:rPr/>
        <w:t>Data depicted that huge CAB deficits took place during</w:t>
      </w:r>
      <w:r>
        <w:rPr>
          <w:spacing w:val="1"/>
        </w:rPr>
        <w:t> </w:t>
      </w:r>
      <w:r>
        <w:rPr/>
        <w:t>the two periods of tranquility adjoining the civil war period.   Throughout the period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1986,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all</w:t>
      </w:r>
      <w:r>
        <w:rPr>
          <w:spacing w:val="-57"/>
        </w:rPr>
        <w:t> </w:t>
      </w:r>
      <w:r>
        <w:rPr/>
        <w:t>deficits.</w:t>
      </w:r>
      <w:r>
        <w:rPr>
          <w:spacing w:val="1"/>
        </w:rPr>
        <w:t> </w:t>
      </w:r>
      <w:r>
        <w:rPr/>
        <w:t>The highest CAB deficit was $169.87mn in 1982.</w:t>
      </w:r>
      <w:r>
        <w:rPr>
          <w:spacing w:val="1"/>
        </w:rPr>
        <w:t> </w:t>
      </w:r>
      <w:r>
        <w:rPr/>
        <w:t>Comparison between the</w:t>
      </w:r>
      <w:r>
        <w:rPr>
          <w:spacing w:val="1"/>
        </w:rPr>
        <w:t> </w:t>
      </w:r>
      <w:r>
        <w:rPr/>
        <w:t>current account balance during the war period and that after the war show mixed results.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most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years</w:t>
      </w:r>
      <w:r>
        <w:rPr>
          <w:spacing w:val="7"/>
        </w:rPr>
        <w:t> </w:t>
      </w:r>
      <w:r>
        <w:rPr/>
        <w:t>after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war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CAB</w:t>
      </w:r>
      <w:r>
        <w:rPr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negative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highest</w:t>
      </w:r>
      <w:r>
        <w:rPr>
          <w:spacing w:val="4"/>
        </w:rPr>
        <w:t> </w:t>
      </w:r>
      <w:r>
        <w:rPr/>
        <w:t>being</w:t>
      </w:r>
    </w:p>
    <w:p>
      <w:pPr>
        <w:pStyle w:val="BodyText"/>
        <w:spacing w:line="360" w:lineRule="auto"/>
        <w:ind w:left="811" w:right="995"/>
        <w:jc w:val="both"/>
      </w:pPr>
      <w:r>
        <w:rPr/>
        <w:t>$585.30mn in 2010, while the CAB deficits that existed during the war were on the low</w:t>
      </w:r>
      <w:r>
        <w:rPr>
          <w:spacing w:val="1"/>
        </w:rPr>
        <w:t> </w:t>
      </w:r>
      <w:r>
        <w:rPr/>
        <w:t>side</w:t>
      </w:r>
      <w:r>
        <w:rPr>
          <w:spacing w:val="-1"/>
        </w:rPr>
        <w:t> </w:t>
      </w:r>
      <w:r>
        <w:rPr/>
        <w:t>with the highest being</w:t>
      </w:r>
      <w:r>
        <w:rPr>
          <w:spacing w:val="-3"/>
        </w:rPr>
        <w:t> </w:t>
      </w:r>
      <w:r>
        <w:rPr/>
        <w:t>$124.61mn in 2002.</w:t>
      </w:r>
    </w:p>
    <w:p>
      <w:pPr>
        <w:pStyle w:val="BodyText"/>
        <w:spacing w:line="360" w:lineRule="auto" w:before="202"/>
        <w:ind w:left="811" w:right="995"/>
        <w:jc w:val="both"/>
      </w:pPr>
      <w:r>
        <w:rPr/>
        <w:t>Although the CAB did not attain surplus during the war period except in 1991, it attained</w:t>
      </w:r>
      <w:r>
        <w:rPr>
          <w:spacing w:val="1"/>
        </w:rPr>
        <w:t> </w:t>
      </w:r>
      <w:r>
        <w:rPr/>
        <w:t>a remarkable improvement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after the war.</w:t>
      </w:r>
      <w:r>
        <w:rPr>
          <w:spacing w:val="1"/>
        </w:rPr>
        <w:t> </w:t>
      </w:r>
      <w:r>
        <w:rPr/>
        <w:t>One possible</w:t>
      </w:r>
      <w:r>
        <w:rPr>
          <w:spacing w:val="1"/>
        </w:rPr>
        <w:t> </w:t>
      </w:r>
      <w:r>
        <w:rPr/>
        <w:t>explanation for such performance was that most of the imports of goods especially 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Non-</w:t>
      </w:r>
      <w:r>
        <w:rPr>
          <w:spacing w:val="-57"/>
        </w:rPr>
        <w:t> </w:t>
      </w:r>
      <w:r>
        <w:rPr/>
        <w:t>Governmental Organizations (INGOs) and the United Nations in particular.</w:t>
      </w:r>
      <w:r>
        <w:rPr>
          <w:spacing w:val="1"/>
        </w:rPr>
        <w:t> </w:t>
      </w:r>
      <w:r>
        <w:rPr/>
        <w:t>Most of the</w:t>
      </w:r>
      <w:r>
        <w:rPr>
          <w:spacing w:val="1"/>
        </w:rPr>
        <w:t> </w:t>
      </w:r>
      <w:r>
        <w:rPr/>
        <w:t>goods imported that were in the form of food, medicines and agricultural inputs, among</w:t>
      </w:r>
      <w:r>
        <w:rPr>
          <w:spacing w:val="1"/>
        </w:rPr>
        <w:t> </w:t>
      </w:r>
      <w:r>
        <w:rPr/>
        <w:t>others during the war were purchased</w:t>
      </w:r>
      <w:r>
        <w:rPr>
          <w:spacing w:val="60"/>
        </w:rPr>
        <w:t> </w:t>
      </w:r>
      <w:r>
        <w:rPr/>
        <w:t>and paid for through non-commercial windows,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had little or</w:t>
      </w:r>
      <w:r>
        <w:rPr>
          <w:spacing w:val="-2"/>
        </w:rPr>
        <w:t> </w:t>
      </w:r>
      <w:r>
        <w:rPr/>
        <w:t>no effects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the overall current</w:t>
      </w:r>
      <w:r>
        <w:rPr>
          <w:spacing w:val="-1"/>
        </w:rPr>
        <w:t> </w:t>
      </w:r>
      <w:r>
        <w:rPr/>
        <w:t>account balance.</w:t>
      </w:r>
    </w:p>
    <w:p>
      <w:pPr>
        <w:pStyle w:val="BodyText"/>
        <w:spacing w:line="360" w:lineRule="auto" w:before="200"/>
        <w:ind w:left="811" w:right="993"/>
        <w:jc w:val="both"/>
      </w:pPr>
      <w:r>
        <w:rPr/>
        <w:t>Also, the Financial Account Balance (FAB) showed a favourable flow during the period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($114.49mn)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1982</w:t>
      </w:r>
      <w:r>
        <w:rPr>
          <w:spacing w:val="1"/>
        </w:rPr>
        <w:t> </w:t>
      </w:r>
      <w:r>
        <w:rPr/>
        <w:t>($21.84mn);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turned</w:t>
      </w:r>
      <w:r>
        <w:rPr>
          <w:spacing w:val="1"/>
        </w:rPr>
        <w:t> </w:t>
      </w:r>
      <w:r>
        <w:rPr/>
        <w:t>negative,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outflow during the rest of the years before the war.</w:t>
      </w:r>
      <w:r>
        <w:rPr>
          <w:spacing w:val="1"/>
        </w:rPr>
        <w:t> </w:t>
      </w:r>
      <w:r>
        <w:rPr/>
        <w:t>The FAB also remained negative for</w:t>
      </w:r>
      <w:r>
        <w:rPr>
          <w:spacing w:val="1"/>
        </w:rPr>
        <w:t> </w:t>
      </w:r>
      <w:r>
        <w:rPr/>
        <w:t>some of the years during the war time but became positive in (1993, 1995 through to</w:t>
      </w:r>
      <w:r>
        <w:rPr>
          <w:spacing w:val="1"/>
        </w:rPr>
        <w:t> </w:t>
      </w:r>
      <w:r>
        <w:rPr/>
        <w:t>1999</w:t>
      </w:r>
      <w:r>
        <w:rPr>
          <w:vertAlign w:val="superscript"/>
        </w:rPr>
        <w:t>7</w:t>
      </w:r>
      <w:r>
        <w:rPr>
          <w:vertAlign w:val="baseline"/>
        </w:rPr>
        <w:t>) great part of the war.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meant that even though there was civil unrest,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 still attracted investment inflows predominantly in the diamond mining sector,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39"/>
          <w:vertAlign w:val="baseline"/>
        </w:rPr>
        <w:t> </w:t>
      </w:r>
      <w:r>
        <w:rPr>
          <w:vertAlign w:val="baseline"/>
        </w:rPr>
        <w:t>was</w:t>
      </w:r>
      <w:r>
        <w:rPr>
          <w:spacing w:val="40"/>
          <w:vertAlign w:val="baseline"/>
        </w:rPr>
        <w:t> </w:t>
      </w:r>
      <w:r>
        <w:rPr>
          <w:vertAlign w:val="baseline"/>
        </w:rPr>
        <w:t>difficult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3"/>
          <w:vertAlign w:val="baseline"/>
        </w:rPr>
        <w:t> </w:t>
      </w:r>
      <w:r>
        <w:rPr>
          <w:vertAlign w:val="baseline"/>
        </w:rPr>
        <w:t>monitor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43"/>
          <w:vertAlign w:val="baseline"/>
        </w:rPr>
        <w:t> </w:t>
      </w:r>
      <w:r>
        <w:rPr>
          <w:vertAlign w:val="baseline"/>
        </w:rPr>
        <w:t>due</w:t>
      </w:r>
      <w:r>
        <w:rPr>
          <w:spacing w:val="41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artisanal</w:t>
      </w:r>
      <w:r>
        <w:rPr>
          <w:spacing w:val="40"/>
          <w:vertAlign w:val="baseline"/>
        </w:rPr>
        <w:t> </w:t>
      </w:r>
      <w:r>
        <w:rPr>
          <w:vertAlign w:val="baseline"/>
        </w:rPr>
        <w:t>mining</w:t>
      </w:r>
      <w:r>
        <w:rPr>
          <w:spacing w:val="41"/>
          <w:vertAlign w:val="baseline"/>
        </w:rPr>
        <w:t> </w:t>
      </w:r>
      <w:r>
        <w:rPr>
          <w:vertAlign w:val="baseline"/>
        </w:rPr>
        <w:t>nature</w:t>
      </w:r>
      <w:r>
        <w:rPr>
          <w:spacing w:val="38"/>
          <w:vertAlign w:val="baseline"/>
        </w:rPr>
        <w:t> </w:t>
      </w:r>
      <w:r>
        <w:rPr>
          <w:vertAlign w:val="baseline"/>
        </w:rPr>
        <w:t>system.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 gave rise to the so-called ‗blood diamond‘ (proceeds from diamond used to fuel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country‘s civil war).</w:t>
      </w:r>
      <w:r>
        <w:rPr>
          <w:spacing w:val="61"/>
          <w:vertAlign w:val="baseline"/>
        </w:rPr>
        <w:t> </w:t>
      </w:r>
      <w:r>
        <w:rPr>
          <w:vertAlign w:val="baseline"/>
        </w:rPr>
        <w:t>Immediately after the end of the war in 2002, the 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bodies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7"/>
          <w:vertAlign w:val="baseline"/>
        </w:rPr>
        <w:t> </w:t>
      </w:r>
      <w:r>
        <w:rPr>
          <w:vertAlign w:val="baseline"/>
        </w:rPr>
        <w:t>deal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diamond</w:t>
      </w:r>
      <w:r>
        <w:rPr>
          <w:spacing w:val="17"/>
          <w:vertAlign w:val="baseline"/>
        </w:rPr>
        <w:t> </w:t>
      </w:r>
      <w:r>
        <w:rPr>
          <w:vertAlign w:val="baseline"/>
        </w:rPr>
        <w:t>instituted</w:t>
      </w:r>
      <w:r>
        <w:rPr>
          <w:spacing w:val="16"/>
          <w:vertAlign w:val="baseline"/>
        </w:rPr>
        <w:t> </w:t>
      </w:r>
      <w:r>
        <w:rPr>
          <w:vertAlign w:val="baseline"/>
        </w:rPr>
        <w:t>‗certification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6"/>
          <w:vertAlign w:val="baseline"/>
        </w:rPr>
        <w:t> </w:t>
      </w:r>
      <w:r>
        <w:rPr>
          <w:vertAlign w:val="baseline"/>
        </w:rPr>
        <w:t>origin‘</w:t>
      </w:r>
      <w:r>
        <w:rPr>
          <w:spacing w:val="19"/>
          <w:vertAlign w:val="baseline"/>
        </w:rPr>
        <w:t> </w:t>
      </w:r>
      <w:r>
        <w:rPr>
          <w:vertAlign w:val="baseline"/>
        </w:rPr>
        <w:t>for</w:t>
      </w:r>
      <w:r>
        <w:rPr>
          <w:spacing w:val="15"/>
          <w:vertAlign w:val="baseline"/>
        </w:rPr>
        <w:t> </w:t>
      </w:r>
      <w:r>
        <w:rPr>
          <w:vertAlign w:val="baseline"/>
        </w:rPr>
        <w:t>all</w:t>
      </w:r>
      <w:r>
        <w:rPr>
          <w:spacing w:val="18"/>
          <w:vertAlign w:val="baseline"/>
        </w:rPr>
        <w:t> </w:t>
      </w:r>
      <w:r>
        <w:rPr>
          <w:vertAlign w:val="baseline"/>
        </w:rPr>
        <w:t>diamonds</w:t>
      </w:r>
      <w:r>
        <w:rPr>
          <w:spacing w:val="23"/>
          <w:vertAlign w:val="baseline"/>
        </w:rPr>
        <w:t> </w:t>
      </w:r>
      <w:r>
        <w:rPr>
          <w:vertAlign w:val="baseline"/>
        </w:rPr>
        <w:t>exported</w:t>
      </w:r>
    </w:p>
    <w:p>
      <w:pPr>
        <w:pStyle w:val="BodyText"/>
        <w:spacing w:before="8"/>
        <w:rPr>
          <w:sz w:val="17"/>
        </w:rPr>
      </w:pPr>
    </w:p>
    <w:p>
      <w:pPr>
        <w:spacing w:before="120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.455911pt;width:144.020pt;height:.72003pt;mso-position-horizontal-relative:page;mso-position-vertical-relative:paragraph;z-index:-2540544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heat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period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war.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6"/>
        <w:jc w:val="both"/>
      </w:pPr>
      <w:r>
        <w:rPr/>
        <w:t>particularly from Africa.</w:t>
      </w:r>
      <w:r>
        <w:rPr>
          <w:spacing w:val="1"/>
        </w:rPr>
        <w:t> </w:t>
      </w:r>
      <w:r>
        <w:rPr/>
        <w:t>This significantly contributed to serenity in this sector in 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200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11552">
            <wp:simplePos x="0" y="0"/>
            <wp:positionH relativeFrom="page">
              <wp:posOffset>1485138</wp:posOffset>
            </wp:positionH>
            <wp:positionV relativeFrom="paragraph">
              <wp:posOffset>1069887</wp:posOffset>
            </wp:positionV>
            <wp:extent cx="5102225" cy="5044439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Financing of balance of payments deficits highly depends on the country‘s total reserves.</w:t>
      </w:r>
      <w:r>
        <w:rPr>
          <w:spacing w:val="1"/>
        </w:rPr>
        <w:t> </w:t>
      </w:r>
      <w:r>
        <w:rPr/>
        <w:t>The higher the reserves, the better the country would be in position to finance trades</w:t>
      </w:r>
      <w:r>
        <w:rPr>
          <w:spacing w:val="1"/>
        </w:rPr>
        <w:t> </w:t>
      </w:r>
      <w:r>
        <w:rPr/>
        <w:t>(particularly imports)</w:t>
      </w:r>
      <w:r>
        <w:rPr>
          <w:spacing w:val="1"/>
        </w:rPr>
        <w:t> </w:t>
      </w:r>
      <w:r>
        <w:rPr/>
        <w:t>for specific number</w:t>
      </w:r>
      <w:r>
        <w:rPr>
          <w:spacing w:val="1"/>
        </w:rPr>
        <w:t> </w:t>
      </w:r>
      <w:r>
        <w:rPr/>
        <w:t>of months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borrowing.</w:t>
      </w:r>
      <w:r>
        <w:rPr>
          <w:spacing w:val="1"/>
        </w:rPr>
        <w:t> </w:t>
      </w:r>
      <w:r>
        <w:rPr/>
        <w:t>Being capable to finance trade implies that the</w:t>
      </w:r>
      <w:r>
        <w:rPr>
          <w:spacing w:val="60"/>
        </w:rPr>
        <w:t> </w:t>
      </w:r>
      <w:r>
        <w:rPr/>
        <w:t>country is in a satisfactory position to</w:t>
      </w:r>
      <w:r>
        <w:rPr>
          <w:spacing w:val="1"/>
        </w:rPr>
        <w:t> </w:t>
      </w:r>
      <w:r>
        <w:rPr/>
        <w:t>solve the BoP deficits in the short run.</w:t>
      </w:r>
      <w:r>
        <w:rPr>
          <w:spacing w:val="1"/>
        </w:rPr>
        <w:t> </w:t>
      </w:r>
      <w:r>
        <w:rPr/>
        <w:t>Data showed that the total reserves minus Gold</w:t>
      </w:r>
      <w:r>
        <w:rPr>
          <w:spacing w:val="1"/>
        </w:rPr>
        <w:t> </w:t>
      </w:r>
      <w:r>
        <w:rPr/>
        <w:t>greatly fluctuated during the early years of the study period, from $30.6mn (2.8 percent of</w:t>
      </w:r>
      <w:r>
        <w:rPr>
          <w:spacing w:val="-57"/>
        </w:rPr>
        <w:t> </w:t>
      </w:r>
      <w:r>
        <w:rPr/>
        <w:t>GDP) in 1980 to $5.43mn (0.8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 GDP) in 1990.</w:t>
      </w:r>
      <w:r>
        <w:rPr>
          <w:spacing w:val="1"/>
        </w:rPr>
        <w:t> </w:t>
      </w:r>
      <w:r>
        <w:rPr/>
        <w:t>Conversely,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considerably from $9.63mn (1.2 percent of GDP) in 1991 to $84.69mn (9.0 percent of</w:t>
      </w:r>
      <w:r>
        <w:rPr>
          <w:spacing w:val="1"/>
        </w:rPr>
        <w:t> </w:t>
      </w:r>
      <w:r>
        <w:rPr/>
        <w:t>GDP) in 2002.</w:t>
      </w:r>
      <w:r>
        <w:rPr>
          <w:spacing w:val="60"/>
        </w:rPr>
        <w:t> </w:t>
      </w:r>
      <w:r>
        <w:rPr/>
        <w:t>The reserves continued to increase to over $200mn (9.7 percent of GDP)</w:t>
      </w:r>
      <w:r>
        <w:rPr>
          <w:spacing w:val="1"/>
        </w:rPr>
        <w:t> </w:t>
      </w:r>
      <w:r>
        <w:rPr/>
        <w:t>in 2010.</w:t>
      </w:r>
    </w:p>
    <w:p>
      <w:pPr>
        <w:pStyle w:val="BodyText"/>
        <w:spacing w:before="200"/>
        <w:ind w:left="811"/>
        <w:jc w:val="both"/>
      </w:pPr>
      <w:r>
        <w:rPr/>
        <w:t>Specifically,</w:t>
      </w:r>
      <w:r>
        <w:rPr>
          <w:spacing w:val="19"/>
        </w:rPr>
        <w:t> </w:t>
      </w:r>
      <w:r>
        <w:rPr/>
        <w:t>over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years,</w:t>
      </w:r>
      <w:r>
        <w:rPr>
          <w:spacing w:val="18"/>
        </w:rPr>
        <w:t> </w:t>
      </w:r>
      <w:r>
        <w:rPr/>
        <w:t>exchange</w:t>
      </w:r>
      <w:r>
        <w:rPr>
          <w:spacing w:val="19"/>
        </w:rPr>
        <w:t> </w:t>
      </w:r>
      <w:r>
        <w:rPr/>
        <w:t>rate</w:t>
      </w:r>
      <w:r>
        <w:rPr>
          <w:spacing w:val="18"/>
        </w:rPr>
        <w:t> </w:t>
      </w:r>
      <w:r>
        <w:rPr/>
        <w:t>depreciated</w:t>
      </w:r>
      <w:r>
        <w:rPr>
          <w:spacing w:val="20"/>
        </w:rPr>
        <w:t> </w:t>
      </w:r>
      <w:r>
        <w:rPr/>
        <w:t>steadily</w:t>
      </w:r>
      <w:r>
        <w:rPr>
          <w:spacing w:val="14"/>
        </w:rPr>
        <w:t> </w:t>
      </w:r>
      <w:r>
        <w:rPr/>
        <w:t>from</w:t>
      </w:r>
      <w:r>
        <w:rPr>
          <w:spacing w:val="20"/>
        </w:rPr>
        <w:t> </w:t>
      </w:r>
      <w:r>
        <w:rPr/>
        <w:t>1.05</w:t>
      </w:r>
      <w:r>
        <w:rPr>
          <w:spacing w:val="23"/>
        </w:rPr>
        <w:t> </w:t>
      </w:r>
      <w:r>
        <w:rPr/>
        <w:t>Leone</w:t>
      </w:r>
      <w:r>
        <w:rPr>
          <w:spacing w:val="18"/>
        </w:rPr>
        <w:t> </w:t>
      </w:r>
      <w:r>
        <w:rPr/>
        <w:t>(Le)</w:t>
      </w:r>
      <w:r>
        <w:rPr>
          <w:spacing w:val="19"/>
        </w:rPr>
        <w:t> </w:t>
      </w:r>
      <w:r>
        <w:rPr/>
        <w:t>to</w:t>
      </w:r>
    </w:p>
    <w:p>
      <w:pPr>
        <w:pStyle w:val="BodyText"/>
        <w:spacing w:line="360" w:lineRule="auto" w:before="139"/>
        <w:ind w:left="811" w:right="993"/>
        <w:jc w:val="both"/>
      </w:pPr>
      <w:r>
        <w:rPr/>
        <w:t>1.00 United States dollar (US$) in 1980 through Le151.45/US$1 in 1990, Le2,092/US$1</w:t>
      </w:r>
      <w:r>
        <w:rPr>
          <w:spacing w:val="1"/>
        </w:rPr>
        <w:t> </w:t>
      </w:r>
      <w:r>
        <w:rPr/>
        <w:t>in 2000 to Le3,979.09/US$1 in 2010.</w:t>
      </w:r>
      <w:r>
        <w:rPr>
          <w:spacing w:val="1"/>
        </w:rPr>
        <w:t> </w:t>
      </w:r>
      <w:r>
        <w:rPr/>
        <w:t>In the same periods, the BoP as a percentage of</w:t>
      </w:r>
      <w:r>
        <w:rPr>
          <w:spacing w:val="1"/>
        </w:rPr>
        <w:t> </w:t>
      </w:r>
      <w:r>
        <w:rPr/>
        <w:t>Gross Domestic Product fluctuated between -15.0 percent and 3.0 percent.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aforementioned relationship, it can, therefore, be concluded that exchange rate remains</w:t>
      </w:r>
      <w:r>
        <w:rPr>
          <w:spacing w:val="1"/>
        </w:rPr>
        <w:t> </w:t>
      </w:r>
      <w:r>
        <w:rPr/>
        <w:t>one of the key factors that have influenced the Sierra Leone‘s BoP position.</w:t>
      </w:r>
      <w:r>
        <w:rPr>
          <w:spacing w:val="1"/>
        </w:rPr>
        <w:t> </w:t>
      </w:r>
      <w:r>
        <w:rPr/>
        <w:t>Exclusively,</w:t>
      </w:r>
      <w:r>
        <w:rPr>
          <w:spacing w:val="1"/>
        </w:rPr>
        <w:t> </w:t>
      </w:r>
      <w:r>
        <w:rPr/>
        <w:t>the 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exchange rate policy in</w:t>
      </w:r>
      <w:r>
        <w:rPr>
          <w:spacing w:val="1"/>
        </w:rPr>
        <w:t> </w:t>
      </w:r>
      <w:r>
        <w:rPr/>
        <w:t>Sierra</w:t>
      </w:r>
      <w:r>
        <w:rPr>
          <w:spacing w:val="1"/>
        </w:rPr>
        <w:t> </w:t>
      </w:r>
      <w:r>
        <w:rPr/>
        <w:t>Leone portrays</w:t>
      </w:r>
      <w:r>
        <w:rPr>
          <w:spacing w:val="1"/>
        </w:rPr>
        <w:t> </w:t>
      </w:r>
      <w:r>
        <w:rPr/>
        <w:t>a relationship</w:t>
      </w:r>
      <w:r>
        <w:rPr>
          <w:spacing w:val="1"/>
        </w:rPr>
        <w:t> </w:t>
      </w:r>
      <w:r>
        <w:rPr/>
        <w:t>between exchange rate movements and the balance of payments.</w:t>
      </w:r>
      <w:r>
        <w:rPr>
          <w:spacing w:val="1"/>
        </w:rPr>
        <w:t> </w:t>
      </w:r>
      <w:r>
        <w:rPr/>
        <w:t>Most of the control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trend</w:t>
      </w:r>
      <w:r>
        <w:rPr>
          <w:spacing w:val="1"/>
        </w:rPr>
        <w:t> </w:t>
      </w:r>
      <w:r>
        <w:rPr/>
        <w:t>analysis.  Sections</w:t>
      </w:r>
      <w:r>
        <w:rPr>
          <w:spacing w:val="-1"/>
        </w:rPr>
        <w:t> </w:t>
      </w:r>
      <w:r>
        <w:rPr/>
        <w:t>2.2.1 to 2.2.4</w:t>
      </w:r>
      <w:r>
        <w:rPr>
          <w:spacing w:val="-1"/>
        </w:rPr>
        <w:t> </w:t>
      </w:r>
      <w:r>
        <w:rPr/>
        <w:t>discuss each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links.</w:t>
      </w:r>
    </w:p>
    <w:p>
      <w:pPr>
        <w:pStyle w:val="BodyText"/>
        <w:spacing w:line="360" w:lineRule="auto" w:before="201"/>
        <w:ind w:left="811" w:right="995"/>
        <w:jc w:val="both"/>
      </w:pPr>
      <w:r>
        <w:rPr/>
        <w:t>The Dynamic behaviour of BoP could be attributed to either permanent or temporary</w:t>
      </w:r>
      <w:r>
        <w:rPr>
          <w:spacing w:val="1"/>
        </w:rPr>
        <w:t> </w:t>
      </w:r>
      <w:r>
        <w:rPr/>
        <w:t>factors such as policies that depict the objectives of the monetary authorities, which might</w:t>
      </w:r>
      <w:r>
        <w:rPr>
          <w:spacing w:val="-57"/>
        </w:rPr>
        <w:t> </w:t>
      </w:r>
      <w:r>
        <w:rPr/>
        <w:t>work mainly on the current account balance of the BoP.</w:t>
      </w:r>
      <w:r>
        <w:rPr>
          <w:spacing w:val="1"/>
        </w:rPr>
        <w:t> </w:t>
      </w:r>
      <w:r>
        <w:rPr/>
        <w:t>Other factors may be related to</w:t>
      </w:r>
      <w:r>
        <w:rPr>
          <w:spacing w:val="1"/>
        </w:rPr>
        <w:t> </w:t>
      </w:r>
      <w:r>
        <w:rPr/>
        <w:t>structural changes of the country‘s socio-economic and political landscapes during certain</w:t>
      </w:r>
      <w:r>
        <w:rPr>
          <w:spacing w:val="-57"/>
        </w:rPr>
        <w:t> </w:t>
      </w:r>
      <w:r>
        <w:rPr/>
        <w:t>time period.</w:t>
      </w:r>
      <w:r>
        <w:rPr>
          <w:spacing w:val="1"/>
        </w:rPr>
        <w:t> </w:t>
      </w:r>
      <w:r>
        <w:rPr/>
        <w:t>In diverse ways, the government has adopted a number of policy mentions.</w:t>
      </w:r>
      <w:r>
        <w:rPr>
          <w:spacing w:val="1"/>
        </w:rPr>
        <w:t> </w:t>
      </w:r>
      <w:r>
        <w:rPr/>
        <w:t>As</w:t>
      </w:r>
      <w:r>
        <w:rPr>
          <w:spacing w:val="32"/>
        </w:rPr>
        <w:t> </w:t>
      </w:r>
      <w:r>
        <w:rPr/>
        <w:t>already</w:t>
      </w:r>
      <w:r>
        <w:rPr>
          <w:spacing w:val="27"/>
        </w:rPr>
        <w:t> </w:t>
      </w:r>
      <w:r>
        <w:rPr/>
        <w:t>illustrated,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government</w:t>
      </w:r>
      <w:r>
        <w:rPr>
          <w:spacing w:val="33"/>
        </w:rPr>
        <w:t> </w:t>
      </w:r>
      <w:r>
        <w:rPr/>
        <w:t>through</w:t>
      </w:r>
      <w:r>
        <w:rPr>
          <w:spacing w:val="36"/>
        </w:rPr>
        <w:t> </w:t>
      </w:r>
      <w:r>
        <w:rPr/>
        <w:t>the</w:t>
      </w:r>
      <w:r>
        <w:rPr>
          <w:spacing w:val="31"/>
        </w:rPr>
        <w:t> </w:t>
      </w:r>
      <w:r>
        <w:rPr/>
        <w:t>Bank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Sierra</w:t>
      </w:r>
      <w:r>
        <w:rPr>
          <w:spacing w:val="35"/>
        </w:rPr>
        <w:t> </w:t>
      </w:r>
      <w:r>
        <w:rPr/>
        <w:t>Leone</w:t>
      </w:r>
      <w:r>
        <w:rPr>
          <w:vertAlign w:val="superscript"/>
        </w:rPr>
        <w:t>8</w:t>
      </w:r>
      <w:r>
        <w:rPr>
          <w:spacing w:val="34"/>
          <w:vertAlign w:val="baseline"/>
        </w:rPr>
        <w:t> </w:t>
      </w:r>
      <w:r>
        <w:rPr>
          <w:vertAlign w:val="baseline"/>
        </w:rPr>
        <w:t>had</w:t>
      </w:r>
      <w:r>
        <w:rPr>
          <w:spacing w:val="34"/>
          <w:vertAlign w:val="baseline"/>
        </w:rPr>
        <w:t> </w:t>
      </w:r>
      <w:r>
        <w:rPr>
          <w:vertAlign w:val="baseline"/>
        </w:rPr>
        <w:t>adopted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21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.505911pt;width:144.020pt;height:.72003pt;mso-position-horizontal-relative:page;mso-position-vertical-relative:paragraph;z-index:-2540441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Bank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Sierra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Leone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country‘s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central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bank</w:t>
      </w:r>
    </w:p>
    <w:p>
      <w:pPr>
        <w:spacing w:after="0"/>
        <w:jc w:val="left"/>
        <w:rPr>
          <w:sz w:val="20"/>
        </w:rPr>
        <w:sectPr>
          <w:footerReference w:type="default" r:id="rId12"/>
          <w:pgSz w:w="12240" w:h="15840"/>
          <w:pgMar w:footer="1015" w:header="0" w:top="1360" w:bottom="1200" w:left="1320" w:right="440"/>
        </w:sectPr>
      </w:pPr>
    </w:p>
    <w:p>
      <w:pPr>
        <w:pStyle w:val="BodyText"/>
        <w:spacing w:line="360" w:lineRule="auto" w:before="74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7912576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series of exchange rate policies (pegged, managed and floating) since the end of the</w:t>
      </w:r>
      <w:r>
        <w:rPr>
          <w:spacing w:val="1"/>
        </w:rPr>
        <w:t> </w:t>
      </w:r>
      <w:r>
        <w:rPr/>
        <w:t>Bretton</w:t>
      </w:r>
      <w:r>
        <w:rPr>
          <w:spacing w:val="1"/>
        </w:rPr>
        <w:t> </w:t>
      </w:r>
      <w:r>
        <w:rPr/>
        <w:t>woods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monetary policies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inflation targeting.   On the fiscal policy front, the government in 2003, committed to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agency,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Revenue Authority (NRA), aimed at a sustainable budgetary system and subsequently</w:t>
      </w:r>
      <w:r>
        <w:rPr>
          <w:spacing w:val="1"/>
        </w:rPr>
        <w:t> </w:t>
      </w:r>
      <w:r>
        <w:rPr/>
        <w:t>embarked on fiscal decentralization in 2005.</w:t>
      </w:r>
      <w:r>
        <w:rPr>
          <w:spacing w:val="1"/>
        </w:rPr>
        <w:t> </w:t>
      </w:r>
      <w:r>
        <w:rPr/>
        <w:t>In a similar way, established investment</w:t>
      </w:r>
      <w:r>
        <w:rPr>
          <w:spacing w:val="1"/>
        </w:rPr>
        <w:t> </w:t>
      </w:r>
      <w:r>
        <w:rPr/>
        <w:t>codes, trade policies and joined other regional organizations, which were geared towards</w:t>
      </w:r>
      <w:r>
        <w:rPr>
          <w:spacing w:val="1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the CAB,</w:t>
      </w:r>
      <w:r>
        <w:rPr>
          <w:spacing w:val="2"/>
        </w:rPr>
        <w:t> </w:t>
      </w:r>
      <w:r>
        <w:rPr/>
        <w:t>hence, the</w:t>
      </w:r>
      <w:r>
        <w:rPr>
          <w:spacing w:val="1"/>
        </w:rPr>
        <w:t> </w:t>
      </w:r>
      <w:r>
        <w:rPr/>
        <w:t>BoP.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575" w:val="left" w:leader="none"/>
        </w:tabs>
        <w:spacing w:line="379" w:lineRule="auto"/>
        <w:ind w:left="3296" w:right="1324" w:hanging="2161"/>
      </w:pPr>
      <w:r>
        <w:rPr/>
        <w:pict>
          <v:shape style="position:absolute;margin-left:281.300018pt;margin-top:129.333130pt;width:237.4pt;height:230.5pt;mso-position-horizontal-relative:page;mso-position-vertical-relative:paragraph;z-index:-25402368" coordorigin="5626,2587" coordsize="4748,4610" path="m6603,7139l6602,7136,6600,7129,6597,7126,6306,6835,6268,6763,6080,6402,6004,6257,5993,6237,5983,6225,5979,6222,5969,6220,5964,6222,5957,6226,5944,6237,5928,6252,5923,6259,5916,6268,5914,6273,5912,6281,5912,6284,5917,6297,5921,6302,6079,6595,6115,6659,6178,6767,6177,6768,6002,6668,5929,6629,5783,6551,5705,6508,5696,6505,5692,6504,5684,6505,5680,6507,5675,6509,5670,6513,5658,6523,5642,6539,5632,6551,5628,6557,5626,6562,5628,6572,5631,6576,5637,6581,5643,6586,5664,6598,5736,6636,6098,6824,6242,6900,6532,7190,6536,7193,6542,7196,6546,7196,6550,7195,6554,7194,6564,7189,6569,7185,6575,7181,6587,7168,6592,7163,6595,7158,6600,7148,6601,7143,6603,7139xm7274,6407l7274,6370,7268,6332,7258,6292,7242,6251,7223,6209,7199,6165,7170,6121,7161,6109,7161,6380,7157,6406,7148,6431,7133,6455,7115,6477,7093,6496,7070,6510,7045,6520,7020,6524,6994,6525,6967,6523,6939,6516,6909,6505,6880,6491,6849,6473,6818,6453,6786,6429,6753,6403,6720,6374,6687,6343,6652,6309,6622,6278,6594,6247,6567,6215,6541,6183,6518,6152,6499,6121,6482,6090,6469,6059,6458,6030,6451,6001,6447,5973,6447,5946,6451,5919,6460,5895,6474,5871,6493,5850,6515,5831,6537,5817,6562,5807,6587,5802,6614,5802,6641,5805,6669,5811,6698,5822,6728,5836,6759,5853,6790,5873,6821,5896,6854,5922,6886,5950,6919,5980,6952,6012,6983,6044,7012,6076,7039,6108,7064,6140,7088,6172,7108,6203,7125,6234,7139,6264,7150,6295,7157,6324,7161,6352,7161,6380,7161,6109,7137,6076,7100,6030,7059,5984,7013,5937,6966,5891,6921,5850,6876,5814,6860,5802,6832,5781,6790,5753,6749,5730,6709,5712,6670,5698,6633,5689,6596,5684,6562,5685,6528,5689,6496,5698,6465,5713,6436,5732,6408,5757,6383,5786,6363,5816,6348,5849,6339,5883,6335,5919,6336,5956,6341,5994,6351,6034,6366,6075,6386,6117,6409,6160,6438,6204,6470,6249,6507,6294,6547,6339,6591,6385,6639,6431,6685,6473,6731,6510,6775,6543,6817,6572,6859,6595,6899,6614,6938,6628,6975,6638,7011,6643,7046,6642,7080,6638,7113,6629,7144,6614,7173,6595,7201,6570,7227,6541,7237,6525,7247,6510,7261,6478,7270,6443,7274,6407xm7572,6170l7572,6166,7569,6159,7567,6156,7239,5828,7409,5658,7410,5655,7410,5648,7409,5644,7404,5635,7400,5629,7385,5611,7369,5595,7361,5588,7355,5583,7349,5578,7344,5575,7336,5571,7332,5570,7328,5570,7325,5570,7323,5571,7153,5742,6887,5477,7068,5296,7069,5294,7069,5291,7068,5283,7063,5274,7059,5268,7043,5250,7035,5242,7027,5234,7008,5217,6993,5208,6989,5208,6982,5207,6980,5208,6753,5435,6750,5444,6752,5454,6754,5464,6759,5474,6767,5484,6777,5495,7502,6221,7505,6223,7513,6226,7516,6226,7520,6225,7524,6224,7534,6219,7539,6215,7545,6211,7557,6198,7565,6188,7570,6178,7571,6174,7572,6170xm8101,5641l8100,5638,8098,5631,8095,5628,8092,5625,7340,4873,7337,4870,7330,4868,7327,4867,7322,4868,7318,4869,7309,4874,7298,4882,7286,4895,7278,4905,7273,4915,7272,4919,7271,4923,7271,4927,7274,4934,7276,4938,8031,5692,8034,5695,8041,5698,8044,5698,8048,5696,8053,5696,8063,5690,8073,5682,8086,5670,8090,5664,8094,5659,8099,5650,8099,5645,8101,5641xm8456,5214l8456,5197,8454,5181,8451,5164,8448,5147,8442,5129,8436,5112,8428,5094,8419,5076,8409,5058,8397,5039,8383,5021,8369,5003,8352,4985,8346,4977,8346,5180,8345,5194,8343,5207,8340,5220,8335,5232,8328,5244,8320,5256,8310,5267,8216,5361,7941,5086,8018,5009,8024,5003,8034,4995,8049,4983,8063,4974,8078,4967,8093,4963,8108,4961,8124,4960,8139,4961,8155,4965,8171,4970,8188,4977,8204,4986,8221,4996,8238,5009,8255,5024,8273,5040,8288,5057,8301,5073,8313,5089,8323,5105,8331,5120,8337,5136,8341,5151,8344,5165,8346,5180,8346,4977,8335,4966,8328,4960,8315,4947,8295,4930,8275,4915,8254,4901,8234,4889,8214,4878,8195,4870,8190,4868,8176,4863,8158,4858,8139,4855,8122,4853,8105,4853,8089,4854,8073,4858,8059,4862,8046,4868,8048,4855,8048,4841,8048,4827,8046,4812,8043,4798,8039,4783,8034,4768,8028,4753,8021,4739,8013,4724,8004,4710,7993,4695,7982,4680,7971,4666,7964,4658,7964,4852,7964,4866,7962,4879,7958,4892,7952,4905,7943,4917,7932,4930,7859,5003,7606,4751,7673,4684,7686,4671,7700,4661,7713,4653,7726,4648,7739,4645,7751,4643,7765,4643,7777,4644,7791,4648,7805,4653,7818,4660,7832,4668,7846,4678,7860,4689,7874,4701,7888,4714,7900,4727,7912,4741,7923,4754,7933,4768,7941,4783,7949,4797,7955,4811,7959,4824,7962,4838,7964,4852,7964,4658,7958,4652,7950,4643,7945,4638,7921,4616,7898,4596,7875,4579,7852,4564,7829,4552,7806,4542,7784,4534,7762,4530,7740,4528,7719,4529,7698,4532,7677,4538,7656,4547,7635,4560,7614,4576,7592,4596,7481,4707,7476,4712,7473,4721,7474,4732,7477,4741,7482,4751,7489,4762,7500,4773,8195,5469,8206,5479,8217,5487,8227,5491,8236,5493,8247,5495,8256,5492,8387,5361,8389,5360,8402,5346,8413,5332,8423,5318,8431,5304,8438,5290,8444,5276,8449,5261,8452,5245,8454,5230,8456,5214xm9020,4728l9019,4724,9017,4719,9014,4713,9009,4708,9003,4703,8995,4697,8984,4690,8889,4629,8609,4453,8609,4564,8440,4733,8179,4328,8135,4261,8135,4260,8135,4260,8609,4564,8609,4453,8304,4260,8097,4129,8091,4126,8086,4123,8081,4121,8076,4120,8072,4121,8062,4124,8056,4127,8050,4132,8044,4136,8038,4143,8030,4151,8022,4158,8016,4164,8012,4170,8008,4175,8005,4181,8004,4186,8002,4191,8001,4195,8003,4199,8004,4204,8007,4209,8010,4214,8053,4283,8370,4785,8571,5102,8578,5113,8584,5121,8589,5126,8594,5132,8600,5135,8604,5137,8609,5138,8614,5136,8620,5133,8625,5129,8632,5123,8646,5109,8651,5103,8655,5098,8659,5093,8661,5088,8661,5083,8662,5079,8662,5076,8660,5071,8659,5068,8657,5064,8654,5059,8617,5003,8506,4832,8605,4733,8709,4629,8940,4778,8945,4780,8949,4782,8953,4783,8956,4785,8960,4785,8963,4783,8968,4783,8972,4781,8978,4777,8983,4773,9005,4751,9010,4744,9014,4739,9018,4734,9020,4728xm9323,4313l9321,4275,9314,4235,9302,4194,9285,4152,9263,4108,9236,4062,9213,4029,9213,4277,9212,4304,9207,4330,9198,4355,9186,4380,9168,4404,9147,4427,9080,4494,8473,3887,8539,3821,8565,3798,8590,3781,8617,3768,8644,3761,8672,3758,8700,3759,8729,3763,8759,3770,8790,3781,8821,3796,8852,3813,8884,3834,8916,3858,8948,3884,8980,3912,9012,3942,9049,3981,9083,4019,9113,4055,9138,4090,9160,4124,9178,4157,9193,4189,9203,4219,9210,4249,9213,4277,9213,4029,9204,4016,9166,3969,9124,3920,9076,3870,9032,3828,8988,3790,8947,3758,8945,3756,8902,3727,8860,3702,8819,3681,8778,3665,8738,3652,8700,3645,8662,3642,8625,3644,8590,3650,8555,3662,8522,3679,8489,3702,8457,3731,8341,3847,8338,3856,8339,3867,8342,3876,8347,3886,8354,3896,8365,3908,9060,4603,9072,4614,9082,4621,9092,4626,9101,4628,9112,4630,9121,4627,9230,4518,9252,4494,9258,4487,9282,4454,9300,4420,9313,4386,9320,4350,9323,4313xm9940,3808l9939,3803,9937,3798,9934,3793,9929,3788,9923,3783,9916,3777,9905,3770,9810,3709,9529,3533,9529,3644,9360,3813,9099,3408,9055,3340,9055,3340,9529,3644,9529,3533,9224,3340,9017,3209,9011,3206,9006,3203,8996,3200,8992,3201,8987,3202,8982,3204,8976,3207,8971,3212,8965,3216,8958,3223,8950,3231,8936,3244,8928,3255,8925,3261,8924,3266,8922,3271,8922,3275,8923,3279,8924,3284,8927,3289,8930,3294,9017,3431,9289,3863,9318,3909,9491,4182,9498,4193,9504,4201,9509,4206,9514,4212,9520,4215,9529,4218,9534,4216,9540,4213,9545,4209,9552,4203,9566,4189,9571,4183,9575,4178,9579,4173,9581,4168,9581,4163,9582,4159,9582,4155,9580,4151,9579,4148,9577,4144,9574,4139,9426,3912,9525,3813,9629,3709,9860,3857,9865,3860,9869,3862,9873,3863,9876,3864,9880,3865,9883,3863,9888,3863,9892,3861,9898,3856,9903,3853,9925,3831,9930,3824,9934,3819,9938,3814,9940,3808xm10374,3365l10372,3352,10369,3345,10362,3330,10356,3322,10348,3315,9625,2592,9622,2590,9615,2587,9611,2587,9602,2588,9598,2590,9593,2594,9582,2602,9570,2614,9559,2629,9556,2634,9555,2643,9556,2647,9557,2650,9558,2654,9560,2657,10011,3107,10186,3280,10186,3280,10037,3203,9959,3162,9898,3133,9801,3084,9573,2970,9421,2894,9397,2883,9378,2874,9366,2870,9356,2867,9347,2867,9338,2867,9330,2867,9316,2874,9309,2879,9263,2925,9260,2935,9261,2947,9264,2957,9269,2967,9277,2978,9287,2990,10010,3713,10013,3715,10016,3716,10020,3718,10024,3718,10028,3717,10032,3717,10042,3711,10052,3704,10065,3691,10073,3680,10076,3675,10078,3671,10078,3666,10080,3662,10080,3659,10078,3654,10077,3651,10075,3648,9533,3107,9421,2997,9422,2997,9468,3022,9565,3073,9686,3134,10057,3318,10204,3392,10233,3406,10272,3422,10285,3425,10295,3426,10305,3427,10314,3426,10321,3423,10329,3421,10336,3416,10367,3384,10370,3380,10373,3370,10374,3365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2.2:</w:t>
        <w:tab/>
        <w:t>Exchange</w:t>
      </w:r>
      <w:r>
        <w:rPr>
          <w:spacing w:val="-2"/>
        </w:rPr>
        <w:t> </w:t>
      </w:r>
      <w:r>
        <w:rPr/>
        <w:t>Rates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 for</w:t>
      </w:r>
      <w:r>
        <w:rPr>
          <w:spacing w:val="-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Years</w:t>
      </w:r>
      <w:r>
        <w:rPr>
          <w:spacing w:val="-57"/>
        </w:rPr>
        <w:t> </w:t>
      </w:r>
      <w:r>
        <w:rPr/>
        <w:t>1997-2010</w:t>
      </w:r>
      <w:r>
        <w:rPr>
          <w:spacing w:val="-1"/>
        </w:rPr>
        <w:t> </w:t>
      </w:r>
      <w:r>
        <w:rPr/>
        <w:t>(Amount in USD’million)</w:t>
      </w: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985"/>
        <w:gridCol w:w="987"/>
        <w:gridCol w:w="987"/>
        <w:gridCol w:w="987"/>
        <w:gridCol w:w="987"/>
        <w:gridCol w:w="988"/>
        <w:gridCol w:w="1098"/>
      </w:tblGrid>
      <w:tr>
        <w:trPr>
          <w:trHeight w:val="505" w:hRule="atLeast"/>
        </w:trPr>
        <w:tc>
          <w:tcPr>
            <w:tcW w:w="1356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Year</w:t>
            </w:r>
          </w:p>
        </w:tc>
        <w:tc>
          <w:tcPr>
            <w:tcW w:w="985" w:type="dxa"/>
          </w:tcPr>
          <w:p>
            <w:pPr>
              <w:pStyle w:val="TableParagraph"/>
              <w:spacing w:before="1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1980</w:t>
            </w:r>
          </w:p>
        </w:tc>
        <w:tc>
          <w:tcPr>
            <w:tcW w:w="987" w:type="dxa"/>
          </w:tcPr>
          <w:p>
            <w:pPr>
              <w:pStyle w:val="TableParagraph"/>
              <w:spacing w:before="1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1985</w:t>
            </w:r>
          </w:p>
        </w:tc>
        <w:tc>
          <w:tcPr>
            <w:tcW w:w="987" w:type="dxa"/>
          </w:tcPr>
          <w:p>
            <w:pPr>
              <w:pStyle w:val="TableParagraph"/>
              <w:spacing w:before="1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1990</w:t>
            </w:r>
          </w:p>
        </w:tc>
        <w:tc>
          <w:tcPr>
            <w:tcW w:w="987" w:type="dxa"/>
          </w:tcPr>
          <w:p>
            <w:pPr>
              <w:pStyle w:val="TableParagraph"/>
              <w:spacing w:before="1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1995</w:t>
            </w:r>
          </w:p>
        </w:tc>
        <w:tc>
          <w:tcPr>
            <w:tcW w:w="987" w:type="dxa"/>
          </w:tcPr>
          <w:p>
            <w:pPr>
              <w:pStyle w:val="TableParagraph"/>
              <w:spacing w:before="1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2000</w:t>
            </w:r>
          </w:p>
        </w:tc>
        <w:tc>
          <w:tcPr>
            <w:tcW w:w="988" w:type="dxa"/>
          </w:tcPr>
          <w:p>
            <w:pPr>
              <w:pStyle w:val="TableParagraph"/>
              <w:spacing w:before="1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2005</w:t>
            </w:r>
          </w:p>
        </w:tc>
        <w:tc>
          <w:tcPr>
            <w:tcW w:w="1098" w:type="dxa"/>
          </w:tcPr>
          <w:p>
            <w:pPr>
              <w:pStyle w:val="TableParagraph"/>
              <w:spacing w:before="1"/>
              <w:ind w:right="10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2010</w:t>
            </w:r>
          </w:p>
        </w:tc>
      </w:tr>
      <w:tr>
        <w:trPr>
          <w:trHeight w:val="506" w:hRule="atLeast"/>
        </w:trPr>
        <w:tc>
          <w:tcPr>
            <w:tcW w:w="135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NER</w:t>
            </w:r>
          </w:p>
        </w:tc>
        <w:tc>
          <w:tcPr>
            <w:tcW w:w="985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1.05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5.09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151.45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755.22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2,092.12</w:t>
            </w:r>
          </w:p>
        </w:tc>
        <w:tc>
          <w:tcPr>
            <w:tcW w:w="988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2,889.59</w:t>
            </w:r>
          </w:p>
        </w:tc>
        <w:tc>
          <w:tcPr>
            <w:tcW w:w="1098" w:type="dxa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3,978.09</w:t>
            </w:r>
          </w:p>
        </w:tc>
      </w:tr>
      <w:tr>
        <w:trPr>
          <w:trHeight w:val="505" w:hRule="atLeast"/>
        </w:trPr>
        <w:tc>
          <w:tcPr>
            <w:tcW w:w="135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RER</w:t>
            </w:r>
          </w:p>
        </w:tc>
        <w:tc>
          <w:tcPr>
            <w:tcW w:w="985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1,842.04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1,428.31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2,251.12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2,032.62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2,505.55</w:t>
            </w:r>
          </w:p>
        </w:tc>
        <w:tc>
          <w:tcPr>
            <w:tcW w:w="988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2,894.65</w:t>
            </w:r>
          </w:p>
        </w:tc>
        <w:tc>
          <w:tcPr>
            <w:tcW w:w="1098" w:type="dxa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5,864.10</w:t>
            </w:r>
          </w:p>
        </w:tc>
      </w:tr>
      <w:tr>
        <w:trPr>
          <w:trHeight w:val="505" w:hRule="atLeast"/>
        </w:trPr>
        <w:tc>
          <w:tcPr>
            <w:tcW w:w="135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REER</w:t>
            </w:r>
          </w:p>
        </w:tc>
        <w:tc>
          <w:tcPr>
            <w:tcW w:w="985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220.46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396.01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124.72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134.97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142.51</w:t>
            </w:r>
          </w:p>
        </w:tc>
        <w:tc>
          <w:tcPr>
            <w:tcW w:w="988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098" w:type="dxa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110.20</w:t>
            </w:r>
          </w:p>
        </w:tc>
      </w:tr>
      <w:tr>
        <w:trPr>
          <w:trHeight w:val="506" w:hRule="atLeast"/>
        </w:trPr>
        <w:tc>
          <w:tcPr>
            <w:tcW w:w="135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GDP</w:t>
            </w:r>
          </w:p>
        </w:tc>
        <w:tc>
          <w:tcPr>
            <w:tcW w:w="985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1,100.69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856.89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649.64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870.77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635.88</w:t>
            </w:r>
          </w:p>
        </w:tc>
        <w:tc>
          <w:tcPr>
            <w:tcW w:w="988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1,627.85</w:t>
            </w:r>
          </w:p>
        </w:tc>
        <w:tc>
          <w:tcPr>
            <w:tcW w:w="1098" w:type="dxa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2,575.47</w:t>
            </w:r>
          </w:p>
        </w:tc>
      </w:tr>
      <w:tr>
        <w:trPr>
          <w:trHeight w:val="506" w:hRule="atLeast"/>
        </w:trPr>
        <w:tc>
          <w:tcPr>
            <w:tcW w:w="135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CAB</w:t>
            </w:r>
          </w:p>
        </w:tc>
        <w:tc>
          <w:tcPr>
            <w:tcW w:w="985" w:type="dxa"/>
          </w:tcPr>
          <w:p>
            <w:pPr>
              <w:pStyle w:val="TableParagraph"/>
              <w:spacing w:line="250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-165.16</w:t>
            </w:r>
          </w:p>
        </w:tc>
        <w:tc>
          <w:tcPr>
            <w:tcW w:w="987" w:type="dxa"/>
          </w:tcPr>
          <w:p>
            <w:pPr>
              <w:pStyle w:val="TableParagraph"/>
              <w:spacing w:line="250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2.80</w:t>
            </w:r>
          </w:p>
        </w:tc>
        <w:tc>
          <w:tcPr>
            <w:tcW w:w="987" w:type="dxa"/>
          </w:tcPr>
          <w:p>
            <w:pPr>
              <w:pStyle w:val="TableParagraph"/>
              <w:spacing w:line="250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-69.41</w:t>
            </w:r>
          </w:p>
        </w:tc>
        <w:tc>
          <w:tcPr>
            <w:tcW w:w="987" w:type="dxa"/>
          </w:tcPr>
          <w:p>
            <w:pPr>
              <w:pStyle w:val="TableParagraph"/>
              <w:spacing w:line="250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-118.07</w:t>
            </w:r>
          </w:p>
        </w:tc>
        <w:tc>
          <w:tcPr>
            <w:tcW w:w="987" w:type="dxa"/>
          </w:tcPr>
          <w:p>
            <w:pPr>
              <w:pStyle w:val="TableParagraph"/>
              <w:spacing w:line="250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-112.28</w:t>
            </w:r>
          </w:p>
        </w:tc>
        <w:tc>
          <w:tcPr>
            <w:tcW w:w="988" w:type="dxa"/>
          </w:tcPr>
          <w:p>
            <w:pPr>
              <w:pStyle w:val="TableParagraph"/>
              <w:spacing w:line="250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-104.94</w:t>
            </w:r>
          </w:p>
        </w:tc>
        <w:tc>
          <w:tcPr>
            <w:tcW w:w="1098" w:type="dxa"/>
          </w:tcPr>
          <w:p>
            <w:pPr>
              <w:pStyle w:val="TableParagraph"/>
              <w:spacing w:line="250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-585.3</w:t>
            </w:r>
          </w:p>
        </w:tc>
      </w:tr>
      <w:tr>
        <w:trPr>
          <w:trHeight w:val="506" w:hRule="atLeast"/>
        </w:trPr>
        <w:tc>
          <w:tcPr>
            <w:tcW w:w="135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FAB</w:t>
            </w:r>
          </w:p>
        </w:tc>
        <w:tc>
          <w:tcPr>
            <w:tcW w:w="985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111.49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-67.64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-0.78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97.91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124.57</w:t>
            </w:r>
          </w:p>
        </w:tc>
        <w:tc>
          <w:tcPr>
            <w:tcW w:w="988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62.75</w:t>
            </w:r>
          </w:p>
        </w:tc>
        <w:tc>
          <w:tcPr>
            <w:tcW w:w="1098" w:type="dxa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61.62</w:t>
            </w:r>
          </w:p>
        </w:tc>
      </w:tr>
      <w:tr>
        <w:trPr>
          <w:trHeight w:val="506" w:hRule="atLeast"/>
        </w:trPr>
        <w:tc>
          <w:tcPr>
            <w:tcW w:w="135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KAB</w:t>
            </w:r>
          </w:p>
        </w:tc>
        <w:tc>
          <w:tcPr>
            <w:tcW w:w="985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987" w:type="dxa"/>
          </w:tcPr>
          <w:p>
            <w:pPr>
              <w:pStyle w:val="TableParagraph"/>
              <w:spacing w:line="249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88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67.81</w:t>
            </w:r>
          </w:p>
        </w:tc>
        <w:tc>
          <w:tcPr>
            <w:tcW w:w="1098" w:type="dxa"/>
          </w:tcPr>
          <w:p>
            <w:pPr>
              <w:pStyle w:val="TableParagraph"/>
              <w:spacing w:line="249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304.11</w:t>
            </w:r>
          </w:p>
        </w:tc>
      </w:tr>
      <w:tr>
        <w:trPr>
          <w:trHeight w:val="505" w:hRule="atLeast"/>
        </w:trPr>
        <w:tc>
          <w:tcPr>
            <w:tcW w:w="135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BoP</w:t>
            </w:r>
          </w:p>
        </w:tc>
        <w:tc>
          <w:tcPr>
            <w:tcW w:w="985" w:type="dxa"/>
          </w:tcPr>
          <w:p>
            <w:pPr>
              <w:pStyle w:val="TableParagraph"/>
              <w:spacing w:line="247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-75.86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-74.05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-20.91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1.35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9.76</w:t>
            </w:r>
          </w:p>
        </w:tc>
        <w:tc>
          <w:tcPr>
            <w:tcW w:w="988" w:type="dxa"/>
          </w:tcPr>
          <w:p>
            <w:pPr>
              <w:pStyle w:val="TableParagraph"/>
              <w:spacing w:line="247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-129.57</w:t>
            </w:r>
          </w:p>
        </w:tc>
        <w:tc>
          <w:tcPr>
            <w:tcW w:w="1098" w:type="dxa"/>
          </w:tcPr>
          <w:p>
            <w:pPr>
              <w:pStyle w:val="TableParagraph"/>
              <w:spacing w:line="247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-70.86</w:t>
            </w:r>
          </w:p>
        </w:tc>
      </w:tr>
      <w:tr>
        <w:trPr>
          <w:trHeight w:val="506" w:hRule="atLeast"/>
        </w:trPr>
        <w:tc>
          <w:tcPr>
            <w:tcW w:w="8375" w:type="dxa"/>
            <w:gridSpan w:val="8"/>
          </w:tcPr>
          <w:p>
            <w:pPr>
              <w:pStyle w:val="TableParagraph"/>
              <w:spacing w:line="251" w:lineRule="exact"/>
              <w:ind w:left="2861" w:right="28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Memo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Items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GDP)</w:t>
            </w:r>
          </w:p>
        </w:tc>
      </w:tr>
      <w:tr>
        <w:trPr>
          <w:trHeight w:val="505" w:hRule="atLeast"/>
        </w:trPr>
        <w:tc>
          <w:tcPr>
            <w:tcW w:w="135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CAB/GDP</w:t>
            </w:r>
          </w:p>
        </w:tc>
        <w:tc>
          <w:tcPr>
            <w:tcW w:w="985" w:type="dxa"/>
          </w:tcPr>
          <w:p>
            <w:pPr>
              <w:pStyle w:val="TableParagraph"/>
              <w:spacing w:line="247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-15.01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-1.45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-10.68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-13.56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-17.66</w:t>
            </w:r>
          </w:p>
        </w:tc>
        <w:tc>
          <w:tcPr>
            <w:tcW w:w="988" w:type="dxa"/>
          </w:tcPr>
          <w:p>
            <w:pPr>
              <w:pStyle w:val="TableParagraph"/>
              <w:spacing w:line="247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-13.77</w:t>
            </w:r>
          </w:p>
        </w:tc>
        <w:tc>
          <w:tcPr>
            <w:tcW w:w="1098" w:type="dxa"/>
          </w:tcPr>
          <w:p>
            <w:pPr>
              <w:pStyle w:val="TableParagraph"/>
              <w:spacing w:line="247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-27.21</w:t>
            </w:r>
          </w:p>
        </w:tc>
      </w:tr>
      <w:tr>
        <w:trPr>
          <w:trHeight w:val="506" w:hRule="atLeast"/>
        </w:trPr>
        <w:tc>
          <w:tcPr>
            <w:tcW w:w="135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FAB/GDP</w:t>
            </w:r>
          </w:p>
        </w:tc>
        <w:tc>
          <w:tcPr>
            <w:tcW w:w="985" w:type="dxa"/>
          </w:tcPr>
          <w:p>
            <w:pPr>
              <w:pStyle w:val="TableParagraph"/>
              <w:spacing w:line="247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10.13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-7.89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-0.12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11.24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19.59</w:t>
            </w:r>
          </w:p>
        </w:tc>
        <w:tc>
          <w:tcPr>
            <w:tcW w:w="988" w:type="dxa"/>
          </w:tcPr>
          <w:p>
            <w:pPr>
              <w:pStyle w:val="TableParagraph"/>
              <w:spacing w:line="24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3.85</w:t>
            </w:r>
          </w:p>
        </w:tc>
        <w:tc>
          <w:tcPr>
            <w:tcW w:w="1098" w:type="dxa"/>
          </w:tcPr>
          <w:p>
            <w:pPr>
              <w:pStyle w:val="TableParagraph"/>
              <w:spacing w:line="247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2.39</w:t>
            </w:r>
          </w:p>
        </w:tc>
      </w:tr>
      <w:tr>
        <w:trPr>
          <w:trHeight w:val="505" w:hRule="atLeast"/>
        </w:trPr>
        <w:tc>
          <w:tcPr>
            <w:tcW w:w="135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KAB/GDP</w:t>
            </w:r>
          </w:p>
        </w:tc>
        <w:tc>
          <w:tcPr>
            <w:tcW w:w="985" w:type="dxa"/>
          </w:tcPr>
          <w:p>
            <w:pPr>
              <w:pStyle w:val="TableParagraph"/>
              <w:spacing w:line="247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88" w:type="dxa"/>
          </w:tcPr>
          <w:p>
            <w:pPr>
              <w:pStyle w:val="TableParagraph"/>
              <w:spacing w:line="247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4.17</w:t>
            </w:r>
          </w:p>
        </w:tc>
        <w:tc>
          <w:tcPr>
            <w:tcW w:w="1098" w:type="dxa"/>
          </w:tcPr>
          <w:p>
            <w:pPr>
              <w:pStyle w:val="TableParagraph"/>
              <w:spacing w:line="247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11.81</w:t>
            </w:r>
          </w:p>
        </w:tc>
      </w:tr>
      <w:tr>
        <w:trPr>
          <w:trHeight w:val="506" w:hRule="atLeast"/>
        </w:trPr>
        <w:tc>
          <w:tcPr>
            <w:tcW w:w="135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BoP/GDP</w:t>
            </w:r>
          </w:p>
        </w:tc>
        <w:tc>
          <w:tcPr>
            <w:tcW w:w="985" w:type="dxa"/>
          </w:tcPr>
          <w:p>
            <w:pPr>
              <w:pStyle w:val="TableParagraph"/>
              <w:spacing w:line="247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-6.89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-8.64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-3.22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0.15</w:t>
            </w:r>
          </w:p>
        </w:tc>
        <w:tc>
          <w:tcPr>
            <w:tcW w:w="987" w:type="dxa"/>
          </w:tcPr>
          <w:p>
            <w:pPr>
              <w:pStyle w:val="TableParagraph"/>
              <w:spacing w:line="247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1.53</w:t>
            </w:r>
          </w:p>
        </w:tc>
        <w:tc>
          <w:tcPr>
            <w:tcW w:w="988" w:type="dxa"/>
          </w:tcPr>
          <w:p>
            <w:pPr>
              <w:pStyle w:val="TableParagraph"/>
              <w:spacing w:line="247" w:lineRule="exact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-7.96</w:t>
            </w:r>
          </w:p>
        </w:tc>
        <w:tc>
          <w:tcPr>
            <w:tcW w:w="1098" w:type="dxa"/>
          </w:tcPr>
          <w:p>
            <w:pPr>
              <w:pStyle w:val="TableParagraph"/>
              <w:spacing w:line="247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-2.75</w:t>
            </w:r>
          </w:p>
        </w:tc>
      </w:tr>
    </w:tbl>
    <w:p>
      <w:pPr>
        <w:pStyle w:val="BodyText"/>
        <w:ind w:left="811"/>
      </w:pPr>
      <w:r>
        <w:rPr/>
        <w:pict>
          <v:shape style="position:absolute;margin-left:116.940002pt;margin-top:-34.245884pt;width:154.6pt;height:143.85pt;mso-position-horizontal-relative:page;mso-position-vertical-relative:paragraph;z-index:-25403392" coordorigin="2339,-685" coordsize="3092,2877" path="m3369,1975l3367,1945,3362,1914,3353,1882,3340,1849,3324,1816,3304,1782,3281,1748,3255,1713,3224,1678,3191,1642,2711,1163,2708,1161,2701,1158,2697,1158,2693,1159,2689,1160,2680,1165,2669,1173,2657,1185,2649,1196,2644,1206,2642,1209,2641,1214,2642,1217,2644,1224,2647,1228,3127,1708,3152,1734,3174,1759,3194,1783,3210,1807,3225,1830,3236,1853,3246,1875,3253,1896,3257,1916,3259,1936,3258,1955,3255,1973,3250,1991,3242,2007,3231,2022,3218,2037,3204,2049,3189,2059,3172,2067,3155,2072,3137,2075,3118,2076,3098,2074,3077,2069,3056,2063,3033,2054,3010,2041,2986,2027,2961,2009,2936,1989,2910,1966,2883,1940,2409,1466,2405,1463,2398,1461,2395,1460,2391,1461,2387,1462,2377,1467,2366,1475,2354,1488,2346,1499,2343,1504,2340,1512,2339,1516,2339,1520,2342,1527,2344,1530,2831,2017,2867,2051,2902,2081,2937,2108,2971,2131,3004,2150,3037,2166,3068,2178,3098,2186,3128,2191,3157,2192,3184,2190,3211,2184,3236,2176,3260,2163,3282,2148,3303,2129,3323,2107,3340,2083,3352,2058,3361,2031,3367,2003,3369,1975xm3958,1441l3956,1429,3954,1422,3946,1407,3940,1399,3932,1391,3209,669,3207,667,3200,664,3195,664,3187,665,3182,667,3167,679,3155,691,3143,706,3141,711,3139,720,3140,723,3143,731,3145,733,3571,1160,3770,1357,3770,1357,3696,1318,3543,1239,3482,1210,3385,1161,3081,1009,2993,965,2972,955,2951,947,2940,944,2931,943,2923,943,2914,944,2901,951,2893,956,2847,1002,2845,1012,2846,1024,2848,1034,2853,1044,2861,1055,2872,1067,3591,1787,3597,1792,3605,1795,3608,1795,3612,1794,3616,1793,3626,1788,3631,1785,3636,1780,3649,1768,3654,1762,3657,1757,3662,1747,3663,1743,3664,1739,3664,1735,3662,1731,3661,1728,3659,1725,3141,1206,3005,1074,3006,1073,3076,1112,3150,1150,3344,1248,3567,1358,3804,1476,3818,1482,3842,1493,3857,1498,3869,1501,3879,1502,3890,1504,3899,1503,3906,1500,3913,1498,3920,1493,3952,1461,3954,1457,3958,1447,3958,1441xm4162,1241l4162,1238,4159,1231,4157,1227,4154,1224,3402,473,3399,470,3391,467,3388,467,3384,468,3376,471,3370,474,3360,482,3348,494,3340,505,3335,515,3333,518,3332,523,3332,527,3335,534,3337,537,4092,1292,4095,1295,4102,1297,4106,1298,4109,1296,4114,1295,4124,1290,4135,1282,4147,1270,4155,1259,4160,1249,4161,1245,4162,1241xm4485,916l4483,906,4481,901,4477,896,4434,828,3899,-7,3889,-19,3884,-22,3880,-23,3875,-24,3870,-23,3864,-20,3853,-11,3831,11,3823,21,3821,26,3820,35,3820,38,3824,46,3873,121,4349,847,4349,847,4283,804,3553,330,3544,325,3540,323,3536,322,3524,323,3520,324,3511,331,3489,353,3474,371,3472,377,3474,387,3476,392,3482,397,3488,403,3507,416,3575,460,4391,981,4398,986,4401,986,4404,988,4407,989,4414,989,4417,989,4420,987,4427,985,4430,983,4443,973,4471,946,4480,935,4482,930,4485,920,4485,916xm4997,407l4996,400,4991,391,4987,385,4971,367,4964,360,4956,352,4937,335,4923,327,4916,326,4912,326,4909,328,4715,522,4435,243,4601,78,4602,76,4602,69,4601,65,4598,57,4594,52,4578,34,4563,19,4545,3,4539,-1,4531,-5,4526,-7,4519,-7,4517,-6,4352,159,4107,-85,4299,-278,4300,-280,4300,-287,4299,-291,4295,-299,4291,-305,4286,-311,4275,-323,4260,-339,4247,-350,4236,-359,4226,-364,4223,-365,4215,-365,4213,-364,3974,-125,3972,-116,3973,-106,3975,-96,3980,-86,3988,-76,3998,-64,4694,631,4705,642,4716,649,4725,654,4734,656,4746,658,4754,655,4996,414,4997,411,4997,407xm5431,-27l5430,-31,5429,-34,5427,-37,5424,-40,5421,-43,5418,-47,5413,-51,5406,-56,5369,-79,5185,-189,5167,-199,5135,-218,5118,-228,5085,-245,5070,-253,5056,-260,5042,-266,5028,-271,5015,-275,5002,-279,4990,-282,4981,-283,4978,-284,4967,-285,4956,-285,4946,-285,4935,-283,4940,-300,4942,-317,4944,-334,4945,-352,4944,-369,4942,-387,4938,-405,4933,-423,4926,-441,4918,-459,4909,-478,4897,-497,4884,-516,4869,-535,4852,-554,4848,-558,4848,-346,4846,-332,4843,-317,4837,-303,4830,-289,4820,-275,4809,-263,4745,-199,4483,-462,4537,-517,4546,-526,4555,-534,4563,-540,4570,-546,4579,-553,4588,-558,4597,-561,4619,-567,4641,-569,4663,-566,4685,-559,4708,-548,4730,-533,4753,-515,4776,-494,4789,-480,4802,-465,4813,-451,4823,-436,4831,-421,4838,-406,4843,-391,4846,-376,4848,-361,4848,-346,4848,-558,4838,-569,4834,-573,4813,-593,4793,-610,4773,-626,4752,-640,4732,-652,4712,-662,4691,-670,4671,-677,4651,-682,4631,-684,4611,-685,4592,-684,4573,-680,4554,-675,4536,-668,4517,-658,4510,-653,4501,-647,4492,-640,4485,-634,4477,-627,4469,-619,4460,-610,4408,-559,4356,-507,4351,-502,4348,-493,4349,-482,4352,-473,4357,-463,4364,-452,4375,-441,5100,284,5103,287,5107,288,5110,290,5113,290,5117,288,5122,288,5126,285,5132,283,5136,279,5142,275,5155,262,5159,256,5163,251,5166,246,5168,242,5168,237,5169,234,5170,230,5168,227,5167,223,5164,220,4931,-14,4829,-116,4851,-137,4872,-159,4884,-169,4896,-177,4908,-183,4921,-187,4934,-188,4948,-189,4963,-187,4978,-185,4993,-180,5010,-175,5026,-168,5043,-160,5061,-150,5079,-140,5098,-129,5117,-118,5289,-14,5346,21,5352,25,5357,28,5362,29,5366,31,5370,32,5375,31,5380,31,5384,29,5389,25,5394,22,5400,17,5414,3,5419,-4,5423,-9,5427,-14,5429,-18,5431,-2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40.320007pt;margin-top:-87.266884pt;width:71.05pt;height:80.4pt;mso-position-horizontal-relative:page;mso-position-vertical-relative:paragraph;z-index:-25402880" coordorigin="4806,-1745" coordsize="1421,1608" path="m5698,-359l5696,-384,5691,-410,5683,-437,5672,-464,5659,-492,5642,-519,5622,-547,5600,-574,5574,-602,5551,-624,5528,-643,5505,-659,5483,-673,5462,-684,5441,-693,5420,-701,5399,-707,5379,-711,5359,-713,5339,-714,5320,-715,5301,-714,5282,-712,5246,-708,5192,-700,5157,-695,5140,-694,5123,-694,5106,-695,5089,-697,5073,-700,5056,-705,5039,-711,5023,-720,5007,-730,4990,-743,4974,-758,4963,-770,4953,-781,4945,-793,4937,-805,4930,-818,4924,-830,4920,-842,4917,-854,4915,-866,4915,-878,4916,-890,4918,-903,4922,-914,4928,-925,4936,-936,4945,-946,4957,-957,4968,-965,4980,-972,4993,-978,5006,-981,5019,-984,5031,-987,5043,-988,5065,-990,5095,-991,5102,-993,5107,-997,5107,-1003,5105,-1010,5094,-1024,5084,-1036,5057,-1064,5046,-1073,5034,-1082,5027,-1086,5014,-1091,5008,-1092,4998,-1092,4984,-1091,4973,-1089,4963,-1087,4941,-1082,4930,-1078,4919,-1074,4909,-1069,4898,-1063,4888,-1057,4878,-1050,4870,-1043,4861,-1035,4846,-1019,4834,-1001,4824,-983,4816,-963,4810,-942,4807,-921,4806,-899,4808,-876,4813,-853,4820,-829,4829,-805,4842,-781,4857,-756,4874,-732,4895,-707,4918,-683,4941,-660,4964,-641,4987,-624,5009,-611,5031,-600,5052,-590,5073,-582,5093,-576,5113,-572,5133,-569,5153,-567,5172,-567,5191,-568,5210,-569,5246,-574,5317,-584,5335,-586,5352,-587,5368,-587,5385,-587,5401,-584,5418,-581,5435,-576,5451,-570,5468,-562,5484,-551,5501,-538,5517,-523,5532,-507,5545,-492,5556,-477,5565,-461,5573,-446,5579,-431,5584,-416,5587,-401,5588,-387,5588,-372,5586,-359,5582,-345,5577,-332,5571,-320,5562,-308,5553,-298,5538,-285,5524,-274,5509,-266,5493,-260,5477,-254,5462,-250,5448,-247,5434,-245,5421,-244,5409,-243,5397,-243,5374,-244,5365,-242,5360,-237,5359,-234,5359,-228,5360,-224,5365,-215,5369,-209,5387,-190,5405,-172,5413,-164,5421,-158,5428,-153,5436,-146,5445,-143,5453,-141,5460,-139,5471,-138,5496,-140,5508,-141,5520,-144,5533,-147,5546,-150,5559,-155,5573,-161,5586,-167,5600,-175,5613,-184,5626,-194,5638,-206,5654,-224,5668,-243,5680,-264,5689,-286,5695,-310,5698,-334,5698,-359xm5942,-539l5942,-543,5940,-550,5937,-553,5934,-556,5182,-1308,5179,-1310,5172,-1313,5168,-1313,5164,-1312,5156,-1309,5151,-1306,5140,-1298,5128,-1286,5124,-1280,5120,-1276,5115,-1266,5114,-1262,5113,-1258,5113,-1254,5115,-1247,5117,-1243,5872,-488,5876,-486,5883,-483,5886,-483,5890,-484,5894,-485,5904,-490,5915,-498,5927,-511,5935,-521,5938,-527,5940,-531,5942,-539xm6227,-824l6227,-827,6224,-834,6222,-838,5542,-1517,5681,-1656,5683,-1659,5683,-1662,5682,-1670,5679,-1674,5677,-1678,5673,-1684,5657,-1703,5649,-1710,5641,-1718,5622,-1735,5616,-1739,5607,-1744,5603,-1745,5596,-1745,5593,-1744,5251,-1402,5250,-1399,5250,-1396,5250,-1392,5251,-1389,5256,-1379,5260,-1373,5265,-1368,5271,-1361,5277,-1354,5292,-1338,5299,-1332,5306,-1327,5311,-1322,5317,-1318,5326,-1314,5329,-1313,5336,-1312,5339,-1314,5478,-1453,6157,-773,6161,-771,6168,-768,6171,-768,6175,-769,6179,-770,6189,-775,6200,-783,6212,-796,6217,-801,6220,-806,6225,-816,6226,-820,6227,-824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</w:rPr>
        <w:t>Source:</w:t>
      </w:r>
      <w:r>
        <w:rPr>
          <w:i/>
          <w:spacing w:val="-3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IMF/IFS</w:t>
      </w:r>
      <w:r>
        <w:rPr>
          <w:spacing w:val="2"/>
        </w:rPr>
        <w:t> </w:t>
      </w:r>
      <w:r>
        <w:rPr/>
        <w:t>Yearly</w:t>
      </w:r>
      <w:r>
        <w:rPr>
          <w:spacing w:val="-6"/>
        </w:rPr>
        <w:t> </w:t>
      </w:r>
      <w:r>
        <w:rPr/>
        <w:t>CD/ROM</w:t>
      </w:r>
    </w:p>
    <w:p>
      <w:pPr>
        <w:spacing w:after="0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2"/>
          <w:numId w:val="9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56" w:id="18"/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bookmarkEnd w:id="18"/>
      <w:r>
        <w:rPr/>
        <w:t>Balance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14624">
            <wp:simplePos x="0" y="0"/>
            <wp:positionH relativeFrom="page">
              <wp:posOffset>1485138</wp:posOffset>
            </wp:positionH>
            <wp:positionV relativeFrom="paragraph">
              <wp:posOffset>1241591</wp:posOffset>
            </wp:positionV>
            <wp:extent cx="5102225" cy="5044439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current account balance which, is made up of the balance of trade, remains the most</w:t>
      </w:r>
      <w:r>
        <w:rPr>
          <w:spacing w:val="1"/>
        </w:rPr>
        <w:t> </w:t>
      </w:r>
      <w:r>
        <w:rPr/>
        <w:t>dominant component of the Sierra Leone‘s balance of payments.</w:t>
      </w:r>
      <w:r>
        <w:rPr>
          <w:spacing w:val="1"/>
        </w:rPr>
        <w:t> </w:t>
      </w:r>
      <w:r>
        <w:rPr/>
        <w:t>It has a trade openness</w:t>
      </w:r>
      <w:r>
        <w:rPr>
          <w:vertAlign w:val="superscript"/>
        </w:rPr>
        <w:t>9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30%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GDP.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policies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imply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responses of the current account position. For instance, with all these policies, trade</w:t>
      </w:r>
      <w:r>
        <w:rPr>
          <w:spacing w:val="1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remained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prolonged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years.</w:t>
      </w:r>
      <w:r>
        <w:rPr>
          <w:spacing w:val="61"/>
          <w:vertAlign w:val="baseline"/>
        </w:rPr>
        <w:t> </w:t>
      </w:r>
      <w:r>
        <w:rPr>
          <w:vertAlign w:val="baseline"/>
        </w:rPr>
        <w:t>Export</w:t>
      </w:r>
      <w:r>
        <w:rPr>
          <w:spacing w:val="60"/>
          <w:vertAlign w:val="baseline"/>
        </w:rPr>
        <w:t> </w:t>
      </w:r>
      <w:r>
        <w:rPr>
          <w:vertAlign w:val="baseline"/>
        </w:rPr>
        <w:t>earnings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 to be exogenously affected by economic events such as the global financial</w:t>
      </w:r>
      <w:r>
        <w:rPr>
          <w:spacing w:val="1"/>
          <w:vertAlign w:val="baseline"/>
        </w:rPr>
        <w:t> </w:t>
      </w:r>
      <w:r>
        <w:rPr>
          <w:vertAlign w:val="baseline"/>
        </w:rPr>
        <w:t>crisis in 2008.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country continues to rely on exports of primary commodities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minerals for foreign currency earnings</w:t>
      </w:r>
      <w:r>
        <w:rPr>
          <w:spacing w:val="60"/>
          <w:vertAlign w:val="baseline"/>
        </w:rPr>
        <w:t> </w:t>
      </w:r>
      <w:r>
        <w:rPr>
          <w:vertAlign w:val="baseline"/>
        </w:rPr>
        <w:t>but any decline in the prices of these exports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 further exacerbate the negative performance in the current account.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 2.6</w:t>
      </w:r>
      <w:r>
        <w:rPr>
          <w:spacing w:val="1"/>
          <w:vertAlign w:val="baseline"/>
        </w:rPr>
        <w:t> </w:t>
      </w:r>
      <w:r>
        <w:rPr>
          <w:vertAlign w:val="baseline"/>
        </w:rPr>
        <w:t>shows the behaviour of exports and imports to exchnage rate movements from 1970-</w:t>
      </w:r>
      <w:r>
        <w:rPr>
          <w:spacing w:val="1"/>
          <w:vertAlign w:val="baseline"/>
        </w:rPr>
        <w:t> </w:t>
      </w:r>
      <w:r>
        <w:rPr>
          <w:vertAlign w:val="baseline"/>
        </w:rPr>
        <w:t>2010.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811" w:right="994"/>
        <w:jc w:val="both"/>
      </w:pPr>
      <w:r>
        <w:rPr/>
        <w:t>From Figure 2.5, it is observed that there are significant differences when comparing the</w:t>
      </w:r>
      <w:r>
        <w:rPr>
          <w:spacing w:val="1"/>
        </w:rPr>
        <w:t> </w:t>
      </w:r>
      <w:r>
        <w:rPr/>
        <w:t>country‘s current account behaviour during the period 1980 to 2010.</w:t>
      </w:r>
      <w:r>
        <w:rPr>
          <w:spacing w:val="1"/>
        </w:rPr>
        <w:t> </w:t>
      </w:r>
      <w:r>
        <w:rPr/>
        <w:t>Prior to 1991, it was</w:t>
      </w:r>
      <w:r>
        <w:rPr>
          <w:spacing w:val="-57"/>
        </w:rPr>
        <w:t> </w:t>
      </w:r>
      <w:r>
        <w:rPr/>
        <w:t>a period that can be described as period of peace but characterized by neglect of socio-</w:t>
      </w:r>
      <w:r>
        <w:rPr>
          <w:spacing w:val="1"/>
        </w:rPr>
        <w:t> </w:t>
      </w:r>
      <w:r>
        <w:rPr/>
        <w:t>economic responsibilities in high government places.</w:t>
      </w:r>
      <w:r>
        <w:rPr>
          <w:spacing w:val="1"/>
        </w:rPr>
        <w:t> </w:t>
      </w:r>
      <w:r>
        <w:rPr/>
        <w:t>This argument is supported by the</w:t>
      </w:r>
      <w:r>
        <w:rPr>
          <w:spacing w:val="1"/>
        </w:rPr>
        <w:t> </w:t>
      </w:r>
      <w:r>
        <w:rPr/>
        <w:t>fluctuation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GDP,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with the exception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1986</w:t>
      </w:r>
      <w:r>
        <w:rPr>
          <w:spacing w:val="-1"/>
        </w:rPr>
        <w:t> </w:t>
      </w:r>
      <w:r>
        <w:rPr/>
        <w:t>when it</w:t>
      </w:r>
      <w:r>
        <w:rPr>
          <w:spacing w:val="-1"/>
        </w:rPr>
        <w:t> </w:t>
      </w:r>
      <w:r>
        <w:rPr/>
        <w:t>attained a</w:t>
      </w:r>
      <w:r>
        <w:rPr>
          <w:spacing w:val="-2"/>
        </w:rPr>
        <w:t> </w:t>
      </w:r>
      <w:r>
        <w:rPr/>
        <w:t>substantial surplus.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811" w:right="991"/>
        <w:jc w:val="both"/>
      </w:pPr>
      <w:r>
        <w:rPr/>
        <w:t>Major development that occurred during the 1986 was the discovering of diamonds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 of high commercial value, which were exported and the government earned a huge</w:t>
      </w:r>
      <w:r>
        <w:rPr>
          <w:spacing w:val="1"/>
        </w:rPr>
        <w:t> </w:t>
      </w:r>
      <w:r>
        <w:rPr/>
        <w:t>foreign exchange reserve.</w:t>
      </w:r>
      <w:r>
        <w:rPr>
          <w:spacing w:val="61"/>
        </w:rPr>
        <w:t> </w:t>
      </w:r>
      <w:r>
        <w:rPr/>
        <w:t>After wards, all the other years have been characterised by</w:t>
      </w:r>
      <w:r>
        <w:rPr>
          <w:spacing w:val="1"/>
        </w:rPr>
        <w:t> </w:t>
      </w:r>
      <w:r>
        <w:rPr/>
        <w:t>huge current account deficits.</w:t>
      </w:r>
      <w:r>
        <w:rPr>
          <w:spacing w:val="1"/>
        </w:rPr>
        <w:t> </w:t>
      </w:r>
      <w:r>
        <w:rPr/>
        <w:t>Additional problems intensified with the closure of three</w:t>
      </w:r>
      <w:r>
        <w:rPr>
          <w:spacing w:val="1"/>
        </w:rPr>
        <w:t> </w:t>
      </w:r>
      <w:r>
        <w:rPr/>
        <w:t>major mining companies</w:t>
      </w:r>
      <w:r>
        <w:rPr>
          <w:vertAlign w:val="superscript"/>
        </w:rPr>
        <w:t>10</w:t>
      </w:r>
      <w:r>
        <w:rPr>
          <w:vertAlign w:val="baseline"/>
        </w:rPr>
        <w:t> in the country.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companies were the main sources of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 exchange earning, job creation, payments of taxes (income, corporate) and</w:t>
      </w:r>
      <w:r>
        <w:rPr>
          <w:spacing w:val="1"/>
          <w:vertAlign w:val="baseline"/>
        </w:rPr>
        <w:t> </w:t>
      </w:r>
      <w:r>
        <w:rPr>
          <w:vertAlign w:val="baseline"/>
        </w:rPr>
        <w:t>non-</w:t>
      </w:r>
      <w:r>
        <w:rPr>
          <w:spacing w:val="1"/>
          <w:vertAlign w:val="baseline"/>
        </w:rPr>
        <w:t> </w:t>
      </w:r>
      <w:r>
        <w:rPr>
          <w:vertAlign w:val="baseline"/>
        </w:rPr>
        <w:t>tax</w:t>
      </w:r>
      <w:r>
        <w:rPr>
          <w:spacing w:val="1"/>
          <w:vertAlign w:val="baseline"/>
        </w:rPr>
        <w:t> </w:t>
      </w:r>
      <w:r>
        <w:rPr>
          <w:vertAlign w:val="baseline"/>
        </w:rPr>
        <w:t>revenues</w:t>
      </w:r>
      <w:r>
        <w:rPr>
          <w:spacing w:val="1"/>
          <w:vertAlign w:val="baseline"/>
        </w:rPr>
        <w:t> </w:t>
      </w:r>
      <w:r>
        <w:rPr>
          <w:vertAlign w:val="baseline"/>
        </w:rPr>
        <w:t>(royalties,</w:t>
      </w:r>
      <w:r>
        <w:rPr>
          <w:spacing w:val="1"/>
          <w:vertAlign w:val="baseline"/>
        </w:rPr>
        <w:t> </w:t>
      </w:r>
      <w:r>
        <w:rPr>
          <w:vertAlign w:val="baseline"/>
        </w:rPr>
        <w:t>licenses,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funds,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contribution</w:t>
      </w:r>
      <w:r>
        <w:rPr>
          <w:spacing w:val="6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in the form of scholarships especially to dependants of employees), among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others.</w:t>
      </w:r>
    </w:p>
    <w:p>
      <w:pPr>
        <w:pStyle w:val="BodyText"/>
        <w:spacing w:before="6"/>
        <w:rPr>
          <w:sz w:val="29"/>
        </w:rPr>
      </w:pPr>
    </w:p>
    <w:p>
      <w:pPr>
        <w:spacing w:line="229" w:lineRule="exact" w:before="120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.459909pt;width:144.020pt;height:.72003pt;mso-position-horizontal-relative:page;mso-position-vertical-relative:paragraph;z-index:-2540134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Total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exports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 imports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percentage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GDP</w:t>
      </w:r>
    </w:p>
    <w:p>
      <w:pPr>
        <w:spacing w:before="0"/>
        <w:ind w:left="811" w:right="993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Diamond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Mining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Company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(NDMC);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Sierra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Leone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Ore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Mining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Company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(SIEROMCO)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and the Sierra Rutile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Mining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Company.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0" w:lineRule="exact"/>
        <w:ind w:left="811"/>
        <w:rPr>
          <w:sz w:val="2"/>
        </w:rPr>
      </w:pPr>
      <w:r>
        <w:rPr>
          <w:sz w:val="2"/>
        </w:rPr>
        <w:pict>
          <v:group style="width:426.35pt;height:.5pt;mso-position-horizontal-relative:char;mso-position-vertical-relative:line" coordorigin="0,0" coordsize="8527,10">
            <v:shape style="position:absolute;left:0;top:0;width:8527;height:10" coordorigin="0,0" coordsize="8527,10" path="m8517,0l10,0,0,0,0,10,10,10,8517,10,8517,0xm8526,0l8517,0,8517,10,8526,10,852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5"/>
        </w:rPr>
      </w:pPr>
    </w:p>
    <w:p>
      <w:pPr>
        <w:pStyle w:val="Heading2"/>
        <w:tabs>
          <w:tab w:pos="2251" w:val="left" w:leader="none"/>
        </w:tabs>
        <w:spacing w:before="90"/>
      </w:pPr>
      <w:r>
        <w:rPr/>
        <w:pict>
          <v:group style="position:absolute;margin-left:106.580002pt;margin-top:-395.486877pt;width:426.35pt;height:522.5500pt;mso-position-horizontal-relative:page;mso-position-vertical-relative:paragraph;z-index:-25400320" coordorigin="2132,-7910" coordsize="8527,10451">
            <v:shape style="position:absolute;left:2338;top:-5403;width:8035;height:7944" type="#_x0000_t75" stroked="false">
              <v:imagedata r:id="rId6" o:title=""/>
            </v:shape>
            <v:shape style="position:absolute;left:2141;top:-7900;width:8505;height:7591" type="#_x0000_t75" stroked="false">
              <v:imagedata r:id="rId13" o:title=""/>
            </v:shape>
            <v:shape style="position:absolute;left:2131;top:-7910;width:8527;height:7603" coordorigin="2132,-7910" coordsize="8527,7603" path="m10648,-7910l2141,-7910,2132,-7910,2132,-7900,2132,-308,2141,-308,2141,-7900,10648,-7900,10648,-7910xm10658,-7910l10648,-7910,10648,-7900,10648,-308,10658,-308,10658,-7900,10658,-79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2.5:</w:t>
        <w:tab/>
        <w:t>Trends</w:t>
      </w:r>
      <w:r>
        <w:rPr>
          <w:spacing w:val="-1"/>
        </w:rPr>
        <w:t> </w:t>
      </w:r>
      <w:r>
        <w:rPr/>
        <w:t>in the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</w:r>
    </w:p>
    <w:p>
      <w:pPr>
        <w:spacing w:after="0"/>
        <w:sectPr>
          <w:pgSz w:w="12240" w:h="15840"/>
          <w:pgMar w:header="0" w:footer="1015" w:top="1440" w:bottom="1200" w:left="1320" w:right="440"/>
        </w:sectPr>
      </w:pPr>
    </w:p>
    <w:p>
      <w:pPr>
        <w:tabs>
          <w:tab w:pos="2251" w:val="left" w:leader="none"/>
        </w:tabs>
        <w:spacing w:line="379" w:lineRule="auto" w:before="79"/>
        <w:ind w:left="2732" w:right="3000" w:hanging="1921"/>
        <w:jc w:val="left"/>
        <w:rPr>
          <w:b/>
          <w:sz w:val="24"/>
        </w:rPr>
      </w:pPr>
      <w:r>
        <w:rPr/>
        <w:pict>
          <v:shape style="position:absolute;margin-left:105.620003pt;margin-top:41.693153pt;width:411.8pt;height:560.6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6"/>
                    <w:gridCol w:w="1760"/>
                    <w:gridCol w:w="1496"/>
                    <w:gridCol w:w="1644"/>
                    <w:gridCol w:w="1957"/>
                  </w:tblGrid>
                  <w:tr>
                    <w:trPr>
                      <w:trHeight w:val="55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exact"/>
                          <w:ind w:right="9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Year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exact"/>
                          <w:ind w:right="9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Exports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Imports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721" w:right="79" w:firstLine="1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Trade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Balance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121" w:right="85" w:firstLine="8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Current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Account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Balance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1980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226.62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385.88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-159.26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-165.16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1981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165.91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282.03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-116.12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-132.09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1982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122.55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260.28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-137.73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-169.87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1983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115.1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132.97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-17.87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-17.61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1984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139.21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149.72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-10.51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-23.03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1985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135.84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141.22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-5.38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1986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131.72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111.42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20.3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140.74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1987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141.98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114.83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27.15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-30.35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1988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107.9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138.21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-30.31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-2.84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1989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142.03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160.36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-18.33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-59.74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1990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148.52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140.44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8.08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-69.41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1991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149.51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138.55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10.96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15.34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1992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150.38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139.02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11.36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-5.48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1993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118.27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187.11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-68.84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-57.77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1994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115.99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188.74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-72.75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-89.12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1995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41.47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168.13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-126.66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-118.07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1996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46.78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226.5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-179.72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-150.5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1997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15.72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71.94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-56.22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-54.87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1998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31.64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88.8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-57.16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-33.24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1999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6.29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86.8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-80.51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-99.31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2000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12.8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136.92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-124.12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-112.28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2001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29.15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165.13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-135.98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-97.87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2002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59.84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254.94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-195.1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-124.61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2003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110.79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310.7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-199.91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-99.1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2004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154.07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274.32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-120.25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-140.68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2005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183.63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361.67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-178.04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-104.99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2006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261.88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351.19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-89.31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-95.02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2007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288.88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395.45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-106.57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-160.13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3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2008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3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273.53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3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471.21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3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-197.68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3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-225.44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2009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267.65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617.5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-349.85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0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-326.98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360.17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880.75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-520.58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line="264" w:lineRule="exact" w:before="32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-585.29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4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Annual</w:t>
                        </w:r>
                      </w:p>
                      <w:p>
                        <w:pPr>
                          <w:pStyle w:val="TableParagraph"/>
                          <w:spacing w:line="259" w:lineRule="exact"/>
                          <w:ind w:left="4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</w:p>
                    </w:tc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exact"/>
                          <w:ind w:right="9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137.28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242.99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-105.71</w:t>
                        </w:r>
                      </w:p>
                    </w:tc>
                    <w:tc>
                      <w:tcPr>
                        <w:tcW w:w="195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exact"/>
                          <w:ind w:right="9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-102.97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2.3:</w:t>
        <w:tab/>
        <w:t>Main Components of the Current Account Balance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(Amount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US$’million)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  <w:r>
        <w:rPr/>
        <w:pict>
          <v:shape style="position:absolute;margin-left:281.300018pt;margin-top:9.791534pt;width:237.4pt;height:230.5pt;mso-position-horizontal-relative:page;mso-position-vertical-relative:paragraph;z-index:-15696896;mso-wrap-distance-left:0;mso-wrap-distance-right:0" coordorigin="5626,196" coordsize="4748,4610" path="m6603,4749l6602,4745,6600,4738,6597,4735,6306,4444,6268,4372,6080,4011,6004,3867,5993,3846,5983,3834,5979,3832,5969,3829,5964,3831,5957,3835,5944,3846,5928,3862,5923,3868,5916,3877,5914,3882,5912,3890,5912,3893,5917,3906,5921,3911,6079,4204,6115,4269,6178,4377,6177,4377,6002,4278,5929,4238,5783,4160,5705,4118,5696,4114,5692,4113,5684,4115,5680,4116,5675,4119,5670,4122,5658,4132,5642,4148,5632,4160,5628,4166,5626,4171,5628,4181,5631,4185,5637,4190,5643,4195,5664,4207,5736,4245,6098,4433,6242,4509,6532,4800,6536,4802,6542,4805,6546,4805,6550,4804,6554,4803,6564,4798,6569,4794,6575,4790,6587,4778,6592,4772,6595,4767,6600,4757,6601,4753,6603,4749xm7274,4017l7274,3979,7268,3941,7258,3901,7242,3860,7223,3818,7199,3775,7170,3730,7161,3718,7161,3989,7157,4015,7148,4040,7133,4064,7115,4086,7093,4105,7070,4119,7045,4129,7020,4133,6994,4135,6967,4132,6939,4125,6909,4114,6880,4100,6849,4083,6818,4062,6786,4038,6753,4012,6720,3983,6687,3952,6652,3919,6622,3887,6594,3856,6567,3824,6541,3793,6518,3761,6499,3730,6482,3699,6469,3669,6458,3639,6451,3610,6447,3582,6447,3555,6451,3529,6460,3504,6474,3481,6493,3459,6515,3440,6537,3426,6562,3416,6587,3412,6614,3411,6641,3414,6669,3420,6698,3431,6728,3445,6759,3462,6790,3482,6821,3505,6854,3531,6886,3559,6919,3590,6952,3622,6983,3653,7012,3685,7039,3717,7064,3749,7088,3781,7108,3812,7125,3843,7139,3874,7150,3904,7157,3933,7161,3962,7161,3989,7161,3718,7137,3685,7100,3639,7059,3593,7013,3546,6966,3500,6921,3460,6876,3423,6860,3411,6832,3390,6790,3363,6749,3340,6709,3321,6670,3307,6633,3298,6596,3293,6562,3294,6528,3298,6496,3308,6465,3322,6436,3342,6408,3366,6383,3395,6363,3425,6348,3458,6339,3492,6335,3528,6336,3565,6341,3603,6351,3643,6366,3684,6386,3726,6409,3769,6438,3813,6470,3858,6507,3903,6547,3949,6591,3994,6639,4041,6685,4082,6731,4119,6775,4152,6817,4181,6859,4204,6899,4223,6938,4237,6975,4247,7011,4252,7046,4252,7080,4247,7113,4238,7144,4224,7173,4204,7201,4179,7227,4150,7237,4135,7247,4119,7261,4087,7270,4052,7274,4017xm7572,3779l7572,3776,7569,3768,7567,3765,7239,3437,7409,3267,7410,3264,7410,3257,7409,3253,7404,3244,7400,3238,7385,3220,7369,3204,7361,3197,7355,3192,7349,3187,7344,3184,7336,3180,7332,3179,7328,3179,7325,3180,7323,3181,7153,3351,6887,3086,7068,2905,7069,2903,7069,2900,7068,2892,7063,2884,7059,2878,7043,2859,7035,2851,7027,2843,7008,2826,6993,2818,6989,2817,6982,2817,6980,2817,6753,3044,6750,3053,6752,3064,6754,3073,6759,3083,6767,3093,6777,3105,7502,3830,7505,3832,7513,3835,7516,3835,7520,3834,7524,3833,7534,3828,7539,3825,7545,3820,7557,3807,7565,3797,7570,3787,7571,3783,7572,3779xm8101,3251l8100,3247,8098,3240,8095,3237,8092,3234,7340,2482,7337,2479,7330,2477,7327,2477,7322,2477,7318,2479,7309,2484,7298,2492,7286,2504,7278,2514,7273,2524,7272,2528,7271,2532,7271,2536,7274,2543,7276,2547,8031,3302,8034,3304,8041,3307,8044,3307,8048,3306,8053,3305,8063,3300,8073,3291,8086,3279,8090,3273,8094,3268,8099,3259,8099,3254,8101,3251xm8456,2823l8456,2807,8454,2790,8451,2773,8448,2756,8442,2739,8436,2721,8428,2703,8419,2685,8409,2667,8397,2648,8383,2630,8369,2612,8352,2594,8346,2587,8346,2789,8345,2803,8343,2817,8340,2829,8335,2841,8328,2853,8320,2865,8310,2876,8216,2970,7941,2695,8018,2618,8024,2613,8034,2604,8049,2592,8063,2583,8078,2576,8093,2572,8108,2570,8124,2569,8139,2570,8155,2574,8171,2579,8188,2586,8204,2595,8221,2606,8238,2618,8255,2633,8273,2649,8288,2666,8301,2682,8313,2698,8323,2714,8331,2729,8337,2745,8341,2760,8344,2774,8346,2789,8346,2587,8335,2575,8328,2569,8315,2556,8295,2539,8275,2524,8254,2510,8234,2498,8214,2488,8195,2479,8190,2477,8176,2472,8158,2467,8139,2464,8122,2462,8105,2462,8089,2464,8073,2467,8059,2471,8046,2477,8048,2464,8048,2450,8048,2436,8046,2421,8043,2407,8039,2392,8034,2377,8028,2362,8021,2348,8013,2333,8004,2319,7993,2304,7982,2290,7971,2275,7964,2267,7964,2461,7964,2475,7962,2488,7958,2501,7952,2514,7943,2526,7932,2539,7859,2613,7606,2360,7673,2293,7686,2281,7700,2270,7713,2263,7726,2257,7739,2254,7751,2252,7765,2252,7777,2254,7791,2257,7805,2263,7818,2269,7832,2277,7846,2287,7860,2298,7874,2310,7888,2324,7900,2337,7912,2350,7923,2363,7933,2377,7941,2392,7949,2406,7955,2420,7959,2434,7962,2448,7964,2461,7964,2267,7958,2261,7950,2252,7945,2247,7921,2225,7898,2205,7875,2188,7852,2173,7829,2161,7806,2151,7784,2144,7762,2139,7740,2137,7719,2138,7698,2141,7677,2147,7656,2156,7635,2169,7614,2185,7592,2205,7481,2316,7476,2321,7473,2330,7474,2341,7477,2350,7482,2360,7489,2371,7500,2382,8195,3078,8206,3088,8217,3096,8227,3100,8236,3102,8247,3104,8256,3102,8387,2970,8389,2969,8402,2955,8413,2941,8423,2927,8431,2913,8438,2899,8444,2885,8449,2870,8452,2855,8454,2839,8456,2823xm9020,2338l9019,2333,9017,2328,9014,2322,9009,2317,9003,2312,8995,2307,8984,2299,8889,2239,8609,2062,8609,2173,8440,2342,8179,1937,8135,1870,8135,1869,8135,1869,8609,2173,8609,2062,8304,1869,8097,1738,8091,1735,8086,1732,8081,1731,8076,1730,8072,1730,8062,1733,8056,1736,8050,1741,8044,1745,8038,1752,8030,1760,8022,1768,8016,1774,8012,1779,8008,1785,8005,1790,8004,1795,8002,1800,8001,1804,8003,1809,8004,1813,8007,1818,8010,1824,8053,1892,8370,2394,8571,2711,8578,2722,8584,2730,8589,2736,8594,2741,8600,2744,8604,2746,8609,2747,8614,2746,8620,2742,8625,2738,8632,2733,8646,2718,8651,2712,8655,2707,8659,2702,8661,2698,8661,2693,8662,2689,8662,2685,8660,2681,8659,2677,8657,2673,8654,2669,8617,2612,8506,2441,8605,2342,8709,2239,8940,2387,8945,2389,8949,2391,8953,2393,8956,2394,8960,2394,8963,2393,8968,2392,8972,2390,8978,2386,8983,2382,9005,2360,9010,2353,9014,2348,9018,2343,9020,2338xm9323,1922l9321,1884,9314,1844,9302,1803,9285,1761,9263,1717,9236,1672,9213,1638,9213,1886,9212,1913,9207,1939,9198,1965,9186,1989,9168,2013,9147,2037,9080,2103,8473,1496,8539,1430,8565,1408,8590,1390,8617,1377,8644,1370,8672,1367,8700,1368,8729,1372,8759,1379,8790,1391,8821,1405,8852,1422,8884,1443,8916,1467,8948,1493,8980,1521,9012,1551,9049,1590,9083,1628,9113,1664,9138,1699,9160,1733,9178,1766,9193,1798,9203,1829,9210,1858,9213,1886,9213,1638,9204,1625,9166,1578,9124,1529,9076,1479,9032,1437,8988,1399,8947,1367,8945,1366,8902,1336,8860,1311,8819,1290,8778,1274,8738,1261,8700,1254,8662,1251,8625,1253,8590,1260,8555,1271,8522,1288,8489,1312,8457,1340,8341,1456,8338,1465,8339,1476,8342,1485,8347,1495,8354,1506,8365,1517,9060,2213,9072,2223,9082,2230,9092,2235,9101,2237,9112,2239,9121,2236,9230,2128,9252,2103,9258,2096,9282,2063,9300,2030,9313,1995,9320,1960,9323,1922xm9940,1418l9939,1413,9937,1408,9934,1402,9929,1397,9923,1392,9916,1386,9905,1379,9810,1319,9529,1142,9529,1253,9360,1422,9099,1017,9055,950,9055,949,9529,1253,9529,1142,9224,949,9017,818,9011,815,9006,812,8996,809,8992,810,8987,812,8982,813,8976,816,8971,821,8965,825,8958,832,8950,840,8936,854,8928,865,8925,870,8924,875,8922,880,8922,884,8923,888,8924,893,8927,898,8930,903,9017,1040,9289,1473,9318,1518,9491,1791,9498,1802,9504,1810,9509,1815,9514,1821,9520,1824,9529,1827,9534,1825,9540,1822,9545,1818,9552,1812,9566,1798,9571,1792,9575,1787,9579,1782,9581,1777,9581,1772,9582,1768,9582,1765,9580,1760,9579,1757,9577,1753,9574,1748,9426,1521,9525,1422,9629,1319,9860,1467,9865,1469,9869,1471,9873,1472,9876,1474,9880,1474,9883,1473,9888,1472,9892,1470,9898,1466,9903,1462,9925,1440,9930,1433,9934,1428,9938,1423,9940,1418xm10374,974l10372,961,10369,954,10362,940,10356,932,10348,924,9625,201,9622,199,9615,196,9611,196,9602,197,9598,199,9593,203,9582,211,9570,223,9559,239,9556,243,9555,252,9556,256,9557,259,9558,263,9560,266,10011,716,10186,889,10186,890,10037,812,9959,772,9898,742,9801,693,9573,580,9421,503,9397,492,9378,483,9366,479,9356,477,9347,476,9338,476,9330,477,9316,483,9309,488,9263,534,9260,544,9261,556,9264,566,9269,576,9277,587,9287,599,10010,1322,10013,1324,10016,1325,10020,1327,10024,1328,10028,1326,10032,1326,10042,1321,10052,1313,10065,1300,10073,1289,10076,1284,10078,1280,10078,1275,10080,1271,10080,1268,10078,1264,10077,1260,10075,1257,9533,716,9421,607,9422,606,9468,631,9565,682,9686,743,10057,927,10204,1001,10233,1015,10272,1031,10285,1034,10295,1035,10305,1036,10314,1036,10321,1033,10329,1030,10336,1025,10367,994,10370,990,10373,979,10374,974xe" filled="true" fillcolor="#ffc000" stroked="false">
            <v:path arrowok="t"/>
            <v:fill opacity="32896f"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3"/>
        </w:rPr>
      </w:pPr>
    </w:p>
    <w:p>
      <w:pPr>
        <w:pStyle w:val="BodyText"/>
        <w:ind w:left="811"/>
      </w:pPr>
      <w:r>
        <w:rPr/>
        <w:pict>
          <v:shape style="position:absolute;margin-left:116.940002pt;margin-top:-275.336884pt;width:194.45pt;height:196.9pt;mso-position-horizontal-relative:page;mso-position-vertical-relative:paragraph;z-index:-25399296" coordorigin="2339,-5507" coordsize="3889,3938" path="m3369,-1787l3367,-1817,3362,-1848,3353,-1879,3340,-1912,3324,-1945,3304,-1980,3281,-2014,3255,-2048,3224,-2083,3191,-2119,2711,-2598,2708,-2601,2701,-2603,2697,-2603,2693,-2603,2689,-2602,2680,-2597,2669,-2589,2657,-2576,2649,-2566,2644,-2556,2642,-2552,2641,-2548,2642,-2544,2644,-2537,2647,-2534,3127,-2054,3152,-2028,3174,-2003,3194,-1978,3210,-1954,3225,-1931,3236,-1908,3246,-1886,3253,-1865,3257,-1845,3259,-1825,3258,-1806,3255,-1788,3250,-1771,3242,-1755,3231,-1739,3218,-1725,3204,-1712,3189,-1702,3172,-1694,3155,-1689,3137,-1686,3118,-1685,3098,-1687,3077,-1692,3056,-1699,3033,-1708,3010,-1720,2986,-1735,2961,-1752,2936,-1772,2910,-1795,2883,-1821,2409,-2296,2405,-2298,2398,-2301,2395,-2301,2391,-2301,2387,-2299,2377,-2294,2366,-2286,2354,-2273,2346,-2263,2343,-2257,2340,-2249,2339,-2245,2339,-2242,2342,-2235,2344,-2231,2831,-1744,2867,-1710,2902,-1680,2937,-1653,2971,-1630,3004,-1611,3037,-1596,3068,-1584,3098,-1576,3128,-1571,3157,-1570,3184,-1572,3211,-1577,3236,-1586,3260,-1598,3282,-1613,3303,-1632,3323,-1655,3340,-1678,3352,-1704,3361,-1730,3367,-1758,3369,-1787xm3958,-2320l3956,-2332,3954,-2339,3946,-2354,3940,-2362,3932,-2370,3209,-3093,3207,-3095,3200,-3097,3195,-3098,3187,-3097,3182,-3094,3167,-3083,3155,-3071,3143,-3055,3141,-3051,3139,-3042,3140,-3038,3143,-3031,3145,-3028,3571,-2602,3770,-2405,3770,-2404,3696,-2443,3543,-2522,3482,-2552,3385,-2600,3081,-2752,2993,-2797,2972,-2806,2951,-2814,2940,-2817,2931,-2818,2923,-2818,2914,-2817,2901,-2811,2893,-2805,2847,-2760,2845,-2750,2846,-2738,2848,-2728,2853,-2717,2861,-2706,2872,-2695,3591,-1975,3597,-1970,3605,-1967,3608,-1966,3612,-1968,3616,-1968,3626,-1973,3631,-1977,3636,-1981,3649,-1994,3654,-2000,3657,-2005,3662,-2014,3663,-2018,3664,-2022,3664,-2026,3662,-2030,3661,-2034,3659,-2036,3141,-2555,3005,-2687,3006,-2688,3076,-2650,3150,-2611,3344,-2514,3567,-2404,3804,-2285,3818,-2279,3842,-2269,3857,-2263,3869,-2260,3879,-2259,3890,-2257,3899,-2258,3906,-2261,3913,-2264,3920,-2268,3952,-2300,3954,-2304,3958,-2315,3958,-2320xm4162,-2520l4162,-2524,4159,-2531,4157,-2534,4154,-2537,3402,-3289,3399,-3291,3391,-3294,3388,-3294,3384,-3293,3376,-3290,3370,-3287,3360,-3279,3348,-3267,3340,-3257,3335,-3247,3333,-3243,3332,-3239,3332,-3235,3335,-3228,3337,-3224,4092,-2469,4095,-2467,4102,-2464,4106,-2464,4109,-2465,4114,-2466,4124,-2471,4135,-2479,4147,-2492,4155,-2502,4160,-2512,4161,-2516,4162,-2520xm4485,-2846l4483,-2856,4481,-2860,4477,-2866,4434,-2933,3899,-3769,3889,-3780,3884,-3783,3880,-3785,3875,-3786,3870,-3785,3864,-3781,3853,-3772,3831,-3751,3823,-3740,3821,-3736,3820,-3727,3820,-3723,3824,-3715,3873,-3640,4349,-2915,4349,-2914,4283,-2958,3553,-3431,3544,-3437,3540,-3439,3536,-3440,3524,-3439,3520,-3437,3511,-3430,3489,-3409,3474,-3390,3472,-3385,3474,-3374,3476,-3369,3482,-3364,3488,-3359,3507,-3345,3575,-3302,4391,-2780,4398,-2776,4401,-2775,4404,-2773,4407,-2773,4414,-2772,4417,-2773,4420,-2774,4427,-2776,4430,-2779,4443,-2788,4471,-2816,4480,-2827,4482,-2832,4485,-2842,4485,-2846xm4997,-3354l4996,-3361,4991,-3371,4987,-3376,4971,-3395,4964,-3402,4956,-3410,4937,-3427,4923,-3434,4916,-3435,4912,-3435,4909,-3434,4715,-3239,4435,-3518,4601,-3683,4602,-3686,4602,-3692,4601,-3696,4598,-3704,4594,-3709,4578,-3727,4563,-3742,4545,-3759,4539,-3763,4531,-3767,4526,-3768,4519,-3768,4517,-3767,4352,-3602,4107,-3847,4299,-4039,4300,-4041,4300,-4048,4299,-4052,4295,-4061,4291,-4067,4286,-4073,4275,-4085,4260,-4100,4247,-4112,4236,-4120,4226,-4125,4223,-4126,4215,-4126,4213,-4125,3974,-3887,3972,-3878,3973,-3867,3975,-3858,3980,-3848,3988,-3837,3998,-3826,4694,-3130,4705,-3120,4716,-3112,4725,-3108,4734,-3106,4746,-3104,4754,-3106,4996,-3348,4997,-3350,4997,-3354xm5431,-3789l5430,-3792,5429,-3795,5427,-3798,5424,-3802,5421,-3805,5418,-3808,5413,-3812,5406,-3817,5369,-3841,5185,-3950,5167,-3961,5135,-3979,5118,-3989,5085,-4007,5070,-4014,5056,-4021,5042,-4027,5028,-4033,5015,-4037,5002,-4040,4990,-4043,4981,-4045,4978,-4045,4967,-4046,4956,-4047,4946,-4046,4935,-4045,4940,-4061,4942,-4079,4944,-4096,4945,-4113,4944,-4130,4942,-4148,4938,-4166,4933,-4184,4926,-4202,4918,-4221,4909,-4239,4897,-4258,4884,-4277,4869,-4296,4852,-4315,4848,-4320,4848,-4107,4846,-4093,4843,-4078,4837,-4064,4830,-4050,4820,-4037,4809,-4024,4745,-3961,4483,-4224,4537,-4278,4546,-4287,4555,-4295,4563,-4302,4570,-4308,4579,-4314,4588,-4319,4597,-4323,4619,-4328,4641,-4330,4663,-4327,4685,-4320,4708,-4309,4730,-4295,4753,-4277,4776,-4255,4789,-4241,4802,-4227,4813,-4212,4823,-4197,4831,-4182,4838,-4167,4843,-4152,4846,-4137,4848,-4122,4848,-4107,4848,-4320,4838,-4330,4834,-4335,4813,-4354,4793,-4372,4773,-4388,4752,-4402,4732,-4414,4712,-4424,4691,-4432,4671,-4439,4651,-4443,4631,-4446,4611,-4446,4592,-4445,4573,-4442,4554,-4436,4536,-4429,4517,-4420,4510,-4415,4501,-4408,4492,-4402,4485,-4395,4477,-4389,4469,-4381,4460,-4372,4408,-4320,4356,-4269,4351,-4263,4348,-4254,4349,-4243,4352,-4234,4357,-4224,4364,-4214,4375,-4202,5100,-3477,5103,-3474,5107,-3473,5110,-3472,5113,-3472,5117,-3473,5122,-3474,5126,-3476,5132,-3479,5136,-3482,5142,-3487,5155,-3500,5159,-3505,5163,-3510,5166,-3516,5168,-3520,5168,-3524,5169,-3528,5170,-3531,5168,-3535,5167,-3538,5164,-3542,4931,-3775,4829,-3877,4851,-3899,4872,-3920,4884,-3930,4896,-3938,4908,-3944,4921,-3948,4934,-3950,4948,-3950,4963,-3949,4978,-3946,4993,-3942,5010,-3936,5026,-3929,5043,-3921,5061,-3912,5079,-3902,5098,-3891,5117,-3879,5289,-3775,5346,-3740,5352,-3736,5357,-3734,5362,-3732,5366,-3730,5370,-3730,5375,-3730,5380,-3731,5384,-3733,5389,-3736,5394,-3740,5400,-3745,5414,-3758,5419,-3765,5423,-3770,5427,-3775,5429,-3780,5431,-3789xm5698,-4120l5696,-4146,5691,-4172,5683,-4199,5672,-4226,5659,-4253,5642,-4281,5622,-4308,5600,-4336,5574,-4363,5551,-4385,5528,-4404,5505,-4421,5483,-4435,5462,-4446,5441,-4455,5420,-4462,5399,-4469,5379,-4472,5359,-4475,5339,-4476,5320,-4476,5301,-4475,5282,-4474,5246,-4469,5192,-4461,5157,-4457,5140,-4456,5123,-4455,5106,-4456,5089,-4458,5073,-4462,5056,-4466,5039,-4473,5023,-4481,5007,-4491,4990,-4504,4974,-4520,4963,-4531,4953,-4542,4945,-4554,4937,-4567,4930,-4579,4924,-4591,4920,-4604,4917,-4616,4915,-4628,4915,-4640,4916,-4652,4918,-4664,4922,-4676,4928,-4687,4936,-4697,4945,-4708,4957,-4718,4968,-4727,4980,-4734,4993,-4739,5006,-4743,5019,-4746,5031,-4748,5043,-4750,5065,-4751,5095,-4752,5102,-4754,5107,-4759,5107,-4764,5105,-4771,5094,-4786,5084,-4798,5057,-4825,5046,-4834,5034,-4844,5027,-4848,5014,-4852,5008,-4853,4998,-4853,4984,-4852,4973,-4851,4963,-4849,4941,-4844,4930,-4840,4919,-4835,4909,-4830,4898,-4825,4888,-4819,4878,-4812,4870,-4804,4861,-4796,4846,-4780,4834,-4762,4824,-4744,4816,-4724,4810,-4703,4807,-4682,4806,-4660,4808,-4638,4813,-4614,4820,-4591,4829,-4567,4842,-4543,4857,-4518,4874,-4493,4895,-4468,4918,-4444,4941,-4421,4964,-4402,4987,-4386,5009,-4373,5031,-4361,5052,-4351,5073,-4344,5093,-4338,5113,-4333,5133,-4330,5153,-4329,5172,-4329,5191,-4329,5210,-4331,5246,-4335,5317,-4346,5335,-4347,5352,-4348,5368,-4349,5385,-4348,5401,-4346,5418,-4342,5435,-4338,5451,-4331,5468,-4323,5484,-4312,5501,-4300,5517,-4284,5532,-4269,5545,-4253,5556,-4238,5565,-4223,5573,-4207,5579,-4192,5584,-4177,5587,-4163,5588,-4148,5588,-4134,5586,-4120,5582,-4107,5577,-4094,5571,-4081,5562,-4070,5553,-4059,5538,-4046,5524,-4035,5509,-4027,5493,-4021,5477,-4016,5462,-4012,5448,-4009,5434,-4007,5421,-4005,5409,-4005,5397,-4004,5374,-4005,5365,-4003,5360,-3998,5359,-3995,5359,-3989,5360,-3986,5365,-3976,5369,-3971,5387,-3951,5405,-3933,5413,-3926,5421,-3920,5428,-3915,5436,-3908,5445,-3904,5453,-3902,5460,-3900,5471,-3900,5496,-3901,5508,-3903,5520,-3905,5533,-3908,5546,-3912,5559,-3916,5573,-3922,5586,-3929,5600,-3937,5613,-3946,5626,-3956,5638,-3967,5654,-3985,5668,-4005,5680,-4026,5689,-4048,5695,-4071,5698,-4095,5698,-4120xm5942,-4301l5942,-4304,5940,-4311,5937,-4314,5934,-4317,5182,-5069,5179,-5072,5172,-5074,5168,-5075,5164,-5074,5156,-5071,5151,-5068,5140,-5060,5128,-5047,5124,-5042,5120,-5037,5115,-5027,5114,-5023,5113,-5019,5113,-5015,5115,-5008,5117,-5004,5872,-4250,5876,-4247,5883,-4244,5886,-4244,5890,-4246,5894,-4246,5904,-4252,5915,-4260,5927,-4272,5935,-4283,5938,-4288,5940,-4292,5942,-4301xm6227,-4585l6227,-4589,6224,-4596,6222,-4599,5542,-5279,5681,-5417,5683,-5420,5683,-5424,5682,-5431,5679,-5436,5677,-5440,5673,-5445,5657,-5464,5649,-5472,5641,-5480,5622,-5497,5616,-5501,5607,-5506,5603,-5507,5596,-5507,5593,-5506,5251,-5163,5250,-5161,5250,-5157,5250,-5154,5251,-5150,5256,-5141,5260,-5135,5265,-5129,5271,-5122,5277,-5115,5292,-5100,5299,-5094,5306,-5089,5311,-5084,5317,-5080,5326,-5075,5329,-5074,5336,-5074,5339,-5075,5478,-5214,6157,-4534,6161,-4532,6168,-4529,6171,-4529,6175,-4530,6179,-4531,6189,-4536,6200,-4545,6212,-4557,6217,-4563,6220,-4568,6225,-4577,6226,-4582,6227,-4585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</w:rPr>
        <w:t>Source:</w:t>
      </w:r>
      <w:r>
        <w:rPr>
          <w:i/>
          <w:spacing w:val="-2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from</w:t>
      </w:r>
      <w:r>
        <w:rPr>
          <w:spacing w:val="4"/>
        </w:rPr>
        <w:t> </w:t>
      </w:r>
      <w:r>
        <w:rPr/>
        <w:t>Data</w:t>
      </w:r>
      <w:r>
        <w:rPr>
          <w:spacing w:val="-1"/>
        </w:rPr>
        <w:t> </w:t>
      </w:r>
      <w:r>
        <w:rPr/>
        <w:t>provided by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IFS/IMF</w:t>
      </w:r>
      <w:r>
        <w:rPr>
          <w:spacing w:val="-3"/>
        </w:rPr>
        <w:t> </w:t>
      </w:r>
      <w:r>
        <w:rPr/>
        <w:t>Yearly</w:t>
      </w:r>
      <w:r>
        <w:rPr>
          <w:spacing w:val="-5"/>
        </w:rPr>
        <w:t> </w:t>
      </w:r>
      <w:r>
        <w:rPr/>
        <w:t>CD/ROM</w:t>
      </w:r>
    </w:p>
    <w:p>
      <w:pPr>
        <w:spacing w:after="0"/>
        <w:sectPr>
          <w:pgSz w:w="12240" w:h="15840"/>
          <w:pgMar w:header="0" w:footer="1015" w:top="142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18208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figure depicts that at some point when exchange rate depreciated both the exports and</w:t>
      </w:r>
      <w:r>
        <w:rPr>
          <w:spacing w:val="-57"/>
        </w:rPr>
        <w:t> </w:t>
      </w:r>
      <w:r>
        <w:rPr/>
        <w:t>imports improved appreciably but at the same time, there was deficit in the trade balance.</w:t>
      </w:r>
      <w:r>
        <w:rPr>
          <w:spacing w:val="1"/>
        </w:rPr>
        <w:t> </w:t>
      </w:r>
      <w:r>
        <w:rPr/>
        <w:t>The performance was, however, mixed with surpluses attained at certain period.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showed an indication of the J-Curve phenomenon, which postulates that a depreciation or</w:t>
      </w:r>
      <w:r>
        <w:rPr>
          <w:spacing w:val="1"/>
        </w:rPr>
        <w:t> </w:t>
      </w:r>
      <w:r>
        <w:rPr/>
        <w:t>devaluation of the exchange rate would immediately worsen the current account balance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improving.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9"/>
        </w:numPr>
        <w:tabs>
          <w:tab w:pos="1531" w:val="left" w:leader="none"/>
          <w:tab w:pos="1532" w:val="left" w:leader="none"/>
        </w:tabs>
        <w:spacing w:line="240" w:lineRule="auto" w:before="184" w:after="0"/>
        <w:ind w:left="1531" w:right="0" w:hanging="721"/>
        <w:jc w:val="left"/>
      </w:pPr>
      <w:bookmarkStart w:name="_TOC_250055" w:id="19"/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bookmarkEnd w:id="19"/>
      <w:r>
        <w:rPr/>
        <w:t>Balance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 w:before="1"/>
        <w:ind w:left="811" w:right="995"/>
        <w:jc w:val="both"/>
      </w:pPr>
      <w:r>
        <w:rPr/>
        <w:t>Unlike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KAB,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</w:t>
      </w:r>
      <w:r>
        <w:rPr>
          <w:spacing w:val="-57"/>
        </w:rPr>
        <w:t> </w:t>
      </w:r>
      <w:r>
        <w:rPr/>
        <w:t>Balance (FAB) does not demonstrate specific trend path. Although net FDI inflows as a</w:t>
      </w:r>
      <w:r>
        <w:rPr>
          <w:spacing w:val="1"/>
        </w:rPr>
        <w:t> </w:t>
      </w:r>
      <w:r>
        <w:rPr/>
        <w:t>percentage of GDP fluctuated during the research period, it remains the key driver of the</w:t>
      </w:r>
      <w:r>
        <w:rPr>
          <w:spacing w:val="1"/>
        </w:rPr>
        <w:t> </w:t>
      </w:r>
      <w:r>
        <w:rPr/>
        <w:t>FAB.</w:t>
      </w:r>
      <w:r>
        <w:rPr>
          <w:spacing w:val="1"/>
        </w:rPr>
        <w:t> </w:t>
      </w:r>
      <w:r>
        <w:rPr/>
        <w:t>Its highest value was US$238.40 million (9.41% of GDP) in 2010, while its lowest</w:t>
      </w:r>
      <w:r>
        <w:rPr>
          <w:spacing w:val="1"/>
        </w:rPr>
        <w:t> </w:t>
      </w:r>
      <w:r>
        <w:rPr/>
        <w:t>value was negative US$140.31 million (-28.62% of GDP) in 1986.</w:t>
      </w:r>
      <w:r>
        <w:rPr>
          <w:spacing w:val="1"/>
        </w:rPr>
        <w:t> </w:t>
      </w:r>
      <w:r>
        <w:rPr/>
        <w:t>Figure 2.7 shows the</w:t>
      </w:r>
      <w:r>
        <w:rPr>
          <w:spacing w:val="1"/>
        </w:rPr>
        <w:t> </w:t>
      </w:r>
      <w:r>
        <w:rPr/>
        <w:t>trends</w:t>
      </w:r>
      <w:r>
        <w:rPr>
          <w:spacing w:val="-1"/>
        </w:rPr>
        <w:t> </w:t>
      </w:r>
      <w:r>
        <w:rPr/>
        <w:t>of 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 and the</w:t>
      </w:r>
      <w:r>
        <w:rPr>
          <w:spacing w:val="-2"/>
        </w:rPr>
        <w:t> </w:t>
      </w:r>
      <w:r>
        <w:rPr/>
        <w:t>FAB over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period.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It can be discerned in the figure that while exchange rate showed a stable upward trend,</w:t>
      </w:r>
      <w:r>
        <w:rPr>
          <w:spacing w:val="1"/>
        </w:rPr>
        <w:t> </w:t>
      </w:r>
      <w:r>
        <w:rPr/>
        <w:t>the FAB, fluatuated but maintained a positive trend for the period 2000-2010.</w:t>
      </w:r>
      <w:r>
        <w:rPr>
          <w:spacing w:val="61"/>
        </w:rPr>
        <w:t> </w:t>
      </w:r>
      <w:r>
        <w:rPr/>
        <w:t>This</w:t>
      </w:r>
      <w:r>
        <w:rPr>
          <w:spacing w:val="1"/>
        </w:rPr>
        <w:t> </w:t>
      </w:r>
      <w:r>
        <w:rPr/>
        <w:t>growth was as a result of the positive net FDI inflows from US$39.00 million in 2000 to</w:t>
      </w:r>
      <w:r>
        <w:rPr>
          <w:spacing w:val="1"/>
        </w:rPr>
        <w:t> </w:t>
      </w:r>
      <w:r>
        <w:rPr/>
        <w:t>US$238.40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investment opportunities after the country‘s crisis contributed immensely to FDI inflows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period.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2"/>
        <w:tabs>
          <w:tab w:pos="2251" w:val="left" w:leader="none"/>
        </w:tabs>
        <w:spacing w:before="90"/>
      </w:pPr>
      <w:r>
        <w:rPr/>
        <w:pict>
          <v:group style="position:absolute;margin-left:106.550003pt;margin-top:-387.196869pt;width:422.9pt;height:501.9pt;mso-position-horizontal-relative:page;mso-position-vertical-relative:paragraph;z-index:-25397760" coordorigin="2131,-7744" coordsize="8458,10038">
            <v:shape style="position:absolute;left:2338;top:-5651;width:8035;height:7944" type="#_x0000_t75" stroked="false">
              <v:imagedata r:id="rId6" o:title=""/>
            </v:shape>
            <v:shape style="position:absolute;left:2131;top:-7744;width:8458;height:7694" type="#_x0000_t75" stroked="false">
              <v:imagedata r:id="rId14" o:title="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2.6:</w:t>
        <w:tab/>
        <w:t>Trends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Account</w:t>
      </w:r>
      <w:r>
        <w:rPr>
          <w:spacing w:val="-2"/>
        </w:rPr>
        <w:t> </w:t>
      </w:r>
      <w:r>
        <w:rPr/>
        <w:t>Balance</w:t>
      </w:r>
    </w:p>
    <w:p>
      <w:pPr>
        <w:spacing w:after="0"/>
        <w:sectPr>
          <w:pgSz w:w="12240" w:h="15840"/>
          <w:pgMar w:header="0" w:footer="1015" w:top="1500" w:bottom="1200" w:left="1320" w:right="440"/>
        </w:sectPr>
      </w:pPr>
    </w:p>
    <w:p>
      <w:pPr>
        <w:pStyle w:val="ListParagraph"/>
        <w:numPr>
          <w:ilvl w:val="2"/>
          <w:numId w:val="9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  <w:rPr>
          <w:b/>
          <w:sz w:val="24"/>
        </w:rPr>
      </w:pPr>
      <w:bookmarkStart w:name="_TOC_250054" w:id="20"/>
      <w:r>
        <w:rPr>
          <w:b/>
          <w:sz w:val="24"/>
        </w:rPr>
        <w:t>Exchange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Capital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-1"/>
          <w:sz w:val="24"/>
        </w:rPr>
        <w:t> </w:t>
      </w:r>
      <w:bookmarkEnd w:id="20"/>
      <w:r>
        <w:rPr>
          <w:b/>
          <w:sz w:val="24"/>
        </w:rPr>
        <w:t>Balance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19232">
            <wp:simplePos x="0" y="0"/>
            <wp:positionH relativeFrom="page">
              <wp:posOffset>1485138</wp:posOffset>
            </wp:positionH>
            <wp:positionV relativeFrom="paragraph">
              <wp:posOffset>1180631</wp:posOffset>
            </wp:positionV>
            <wp:extent cx="5102225" cy="5044439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Based on the nature of the country‘s economic activities in the extractive industries of</w:t>
      </w:r>
      <w:r>
        <w:rPr>
          <w:spacing w:val="1"/>
        </w:rPr>
        <w:t> </w:t>
      </w:r>
      <w:r>
        <w:rPr/>
        <w:t>diamonds, bauxite and rutile, the capital account balance (KAB) has continued to be an</w:t>
      </w:r>
      <w:r>
        <w:rPr>
          <w:spacing w:val="1"/>
        </w:rPr>
        <w:t> </w:t>
      </w:r>
      <w:r>
        <w:rPr/>
        <w:t>important component of the country‘s BoP.</w:t>
      </w:r>
      <w:r>
        <w:rPr>
          <w:spacing w:val="1"/>
        </w:rPr>
        <w:t> </w:t>
      </w:r>
      <w:r>
        <w:rPr/>
        <w:t>Grants to poor countries, war efforts and debt</w:t>
      </w:r>
      <w:r>
        <w:rPr>
          <w:spacing w:val="-57"/>
        </w:rPr>
        <w:t> </w:t>
      </w:r>
      <w:r>
        <w:rPr/>
        <w:t>forgiveness became renowned in the KAB during the post-civil strife era.   Specifically,</w:t>
      </w:r>
      <w:r>
        <w:rPr>
          <w:spacing w:val="1"/>
        </w:rPr>
        <w:t> </w:t>
      </w:r>
      <w:r>
        <w:rPr/>
        <w:t>the country was slated for debt relief under the heavily indebted poor countries (HIPC)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US$918.56</w:t>
      </w:r>
      <w:r>
        <w:rPr>
          <w:spacing w:val="1"/>
        </w:rPr>
        <w:t> </w:t>
      </w:r>
      <w:r>
        <w:rPr/>
        <w:t>million</w:t>
      </w:r>
      <w:r>
        <w:rPr>
          <w:vertAlign w:val="super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2000,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disbursement</w:t>
      </w:r>
      <w:r>
        <w:rPr>
          <w:spacing w:val="1"/>
          <w:vertAlign w:val="baseline"/>
        </w:rPr>
        <w:t> </w:t>
      </w:r>
      <w:r>
        <w:rPr>
          <w:vertAlign w:val="baseline"/>
        </w:rPr>
        <w:t>commenced with the preparation of the first poverty reduction strategy paper (PRSP-I) in</w:t>
      </w:r>
      <w:r>
        <w:rPr>
          <w:spacing w:val="1"/>
          <w:vertAlign w:val="baseline"/>
        </w:rPr>
        <w:t> </w:t>
      </w:r>
      <w:r>
        <w:rPr>
          <w:vertAlign w:val="baseline"/>
        </w:rPr>
        <w:t>2005.</w:t>
      </w:r>
      <w:r>
        <w:rPr>
          <w:spacing w:val="1"/>
          <w:vertAlign w:val="baseline"/>
        </w:rPr>
        <w:t> </w:t>
      </w:r>
      <w:r>
        <w:rPr>
          <w:vertAlign w:val="baseline"/>
        </w:rPr>
        <w:t>A graphical representation of the relationship between exchange rate and the KAB</w:t>
      </w:r>
      <w:r>
        <w:rPr>
          <w:spacing w:val="1"/>
          <w:vertAlign w:val="baseline"/>
        </w:rPr>
        <w:t> </w:t>
      </w:r>
      <w:r>
        <w:rPr>
          <w:vertAlign w:val="baseline"/>
        </w:rPr>
        <w:t>is shown as figure 2.3.</w:t>
      </w:r>
      <w:r>
        <w:rPr>
          <w:spacing w:val="61"/>
          <w:vertAlign w:val="baseline"/>
        </w:rPr>
        <w:t> </w:t>
      </w:r>
      <w:r>
        <w:rPr>
          <w:vertAlign w:val="baseline"/>
        </w:rPr>
        <w:t>It is apparent that most of the discussions on this 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</w:t>
      </w:r>
      <w:r>
        <w:rPr>
          <w:spacing w:val="9"/>
          <w:vertAlign w:val="baseline"/>
        </w:rPr>
        <w:t> </w:t>
      </w:r>
      <w:r>
        <w:rPr>
          <w:vertAlign w:val="baseline"/>
        </w:rPr>
        <w:t>on</w:t>
      </w:r>
      <w:r>
        <w:rPr>
          <w:spacing w:val="10"/>
          <w:vertAlign w:val="baseline"/>
        </w:rPr>
        <w:t> </w:t>
      </w:r>
      <w:r>
        <w:rPr>
          <w:vertAlign w:val="baseline"/>
        </w:rPr>
        <w:t>this</w:t>
      </w:r>
      <w:r>
        <w:rPr>
          <w:spacing w:val="11"/>
          <w:vertAlign w:val="baseline"/>
        </w:rPr>
        <w:t> </w:t>
      </w:r>
      <w:r>
        <w:rPr>
          <w:vertAlign w:val="baseline"/>
        </w:rPr>
        <w:t>era</w:t>
      </w:r>
      <w:r>
        <w:rPr>
          <w:spacing w:val="9"/>
          <w:vertAlign w:val="baseline"/>
        </w:rPr>
        <w:t> </w:t>
      </w:r>
      <w:r>
        <w:rPr>
          <w:vertAlign w:val="baseline"/>
        </w:rPr>
        <w:t>as</w:t>
      </w:r>
      <w:r>
        <w:rPr>
          <w:spacing w:val="1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1"/>
          <w:vertAlign w:val="baseline"/>
        </w:rPr>
        <w:t> </w:t>
      </w:r>
      <w:r>
        <w:rPr>
          <w:vertAlign w:val="baseline"/>
        </w:rPr>
        <w:t>are</w:t>
      </w:r>
      <w:r>
        <w:rPr>
          <w:spacing w:val="9"/>
          <w:vertAlign w:val="baseline"/>
        </w:rPr>
        <w:t> </w:t>
      </w:r>
      <w:r>
        <w:rPr>
          <w:vertAlign w:val="baseline"/>
        </w:rPr>
        <w:t>manifested</w:t>
      </w:r>
      <w:r>
        <w:rPr>
          <w:spacing w:val="10"/>
          <w:vertAlign w:val="baseline"/>
        </w:rPr>
        <w:t> </w:t>
      </w:r>
      <w:r>
        <w:rPr>
          <w:vertAlign w:val="baseline"/>
        </w:rPr>
        <w:t>during</w:t>
      </w:r>
      <w:r>
        <w:rPr>
          <w:spacing w:val="8"/>
          <w:vertAlign w:val="baseline"/>
        </w:rPr>
        <w:t> </w:t>
      </w:r>
      <w:r>
        <w:rPr>
          <w:vertAlign w:val="baseline"/>
        </w:rPr>
        <w:t>this</w:t>
      </w:r>
      <w:r>
        <w:rPr>
          <w:spacing w:val="11"/>
          <w:vertAlign w:val="baseline"/>
        </w:rPr>
        <w:t> </w:t>
      </w:r>
      <w:r>
        <w:rPr>
          <w:vertAlign w:val="baseline"/>
        </w:rPr>
        <w:t>period.</w:t>
      </w:r>
      <w:r>
        <w:rPr>
          <w:spacing w:val="-58"/>
          <w:vertAlign w:val="baseline"/>
        </w:rPr>
        <w:t> </w:t>
      </w:r>
      <w:r>
        <w:rPr>
          <w:vertAlign w:val="baseline"/>
        </w:rPr>
        <w:t>It can be figured out from the graph that exchange rate depreciation became prominent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1990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much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2000.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KAB</w:t>
      </w:r>
      <w:r>
        <w:rPr>
          <w:spacing w:val="60"/>
          <w:vertAlign w:val="baseline"/>
        </w:rPr>
        <w:t> </w:t>
      </w:r>
      <w:r>
        <w:rPr>
          <w:vertAlign w:val="baseline"/>
        </w:rPr>
        <w:t>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noticeable after the delivering of the interim HIPC debt relief by multilateral and bilateral</w:t>
      </w:r>
      <w:r>
        <w:rPr>
          <w:spacing w:val="1"/>
          <w:vertAlign w:val="baseline"/>
        </w:rPr>
        <w:t> </w:t>
      </w:r>
      <w:r>
        <w:rPr>
          <w:vertAlign w:val="baseline"/>
        </w:rPr>
        <w:t>creditors</w:t>
      </w:r>
      <w:r>
        <w:rPr>
          <w:spacing w:val="-1"/>
          <w:vertAlign w:val="baseline"/>
        </w:rPr>
        <w:t> </w:t>
      </w:r>
      <w:r>
        <w:rPr>
          <w:vertAlign w:val="baseline"/>
        </w:rPr>
        <w:t>in 2002-2006,</w:t>
      </w:r>
      <w:r>
        <w:rPr>
          <w:spacing w:val="2"/>
          <w:vertAlign w:val="baseline"/>
        </w:rPr>
        <w:t> </w:t>
      </w:r>
      <w:r>
        <w:rPr>
          <w:vertAlign w:val="baseline"/>
        </w:rPr>
        <w:t>which amounted to over US$205.4 million</w:t>
      </w:r>
      <w:r>
        <w:rPr>
          <w:vertAlign w:val="superscript"/>
        </w:rPr>
        <w:t>12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line="229" w:lineRule="exact" w:before="120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.459909pt;width:144.020pt;height:.72003pt;mso-position-horizontal-relative:page;mso-position-vertical-relative:paragraph;z-index:-2539673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Sierra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Leone: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Poverty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Reduction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Strategy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Paper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June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2005: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IMF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Country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Report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No.05/191 2005.</w:t>
      </w:r>
    </w:p>
    <w:p>
      <w:pPr>
        <w:spacing w:before="0"/>
        <w:ind w:left="811" w:right="993" w:firstLine="0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total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debt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relief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under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enhanced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HIPC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Initiative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amounted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US$867.2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million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(36.18%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Bilateral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Creditors)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2"/>
        <w:tabs>
          <w:tab w:pos="2251" w:val="left" w:leader="none"/>
        </w:tabs>
        <w:spacing w:before="90"/>
      </w:pPr>
      <w:r>
        <w:rPr/>
        <w:pict>
          <v:group style="position:absolute;margin-left:106.550003pt;margin-top:-343.646881pt;width:420.6pt;height:481.15pt;mso-position-horizontal-relative:page;mso-position-vertical-relative:paragraph;z-index:-25396224" coordorigin="2131,-6873" coordsize="8412,9623">
            <v:shape style="position:absolute;left:2338;top:-5195;width:8035;height:7944" type="#_x0000_t75" stroked="false">
              <v:imagedata r:id="rId6" o:title=""/>
            </v:shape>
            <v:shape style="position:absolute;left:2131;top:-6873;width:8412;height:6823" type="#_x0000_t75" stroked="false">
              <v:imagedata r:id="rId15" o:title="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2.7:</w:t>
        <w:tab/>
        <w:t>Trends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Capital</w:t>
      </w:r>
      <w:r>
        <w:rPr>
          <w:spacing w:val="-2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Balance.</w:t>
      </w:r>
    </w:p>
    <w:p>
      <w:pPr>
        <w:spacing w:after="0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2"/>
          <w:numId w:val="9"/>
        </w:numPr>
        <w:tabs>
          <w:tab w:pos="1531" w:val="left" w:leader="none"/>
          <w:tab w:pos="1532" w:val="left" w:leader="none"/>
        </w:tabs>
        <w:spacing w:line="240" w:lineRule="auto" w:before="90" w:after="0"/>
        <w:ind w:left="1531" w:right="0" w:hanging="721"/>
        <w:jc w:val="left"/>
        <w:rPr>
          <w:b/>
          <w:sz w:val="24"/>
        </w:rPr>
      </w:pPr>
      <w:bookmarkStart w:name="_TOC_250053" w:id="21"/>
      <w:r>
        <w:rPr>
          <w:b/>
          <w:sz w:val="24"/>
        </w:rPr>
        <w:t>Exchange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Consumer Price</w:t>
      </w:r>
      <w:r>
        <w:rPr>
          <w:b/>
          <w:spacing w:val="-3"/>
          <w:sz w:val="24"/>
        </w:rPr>
        <w:t> </w:t>
      </w:r>
      <w:bookmarkEnd w:id="21"/>
      <w:r>
        <w:rPr>
          <w:b/>
          <w:sz w:val="24"/>
        </w:rPr>
        <w:t>Index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2"/>
        <w:jc w:val="both"/>
      </w:pPr>
      <w:r>
        <w:rPr/>
        <w:drawing>
          <wp:anchor distT="0" distB="0" distL="0" distR="0" allowOverlap="1" layoutInCell="1" locked="0" behindDoc="1" simplePos="0" relativeHeight="477920768">
            <wp:simplePos x="0" y="0"/>
            <wp:positionH relativeFrom="page">
              <wp:posOffset>1485138</wp:posOffset>
            </wp:positionH>
            <wp:positionV relativeFrom="paragraph">
              <wp:posOffset>936791</wp:posOffset>
            </wp:positionV>
            <wp:extent cx="5102225" cy="5044439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Domestically, the consumer price index remains one of the main channels through which</w:t>
      </w:r>
      <w:r>
        <w:rPr>
          <w:spacing w:val="1"/>
        </w:rPr>
        <w:t> </w:t>
      </w:r>
      <w:r>
        <w:rPr/>
        <w:t>exchange rate behaviour influences the BOP position.</w:t>
      </w:r>
      <w:r>
        <w:rPr>
          <w:spacing w:val="61"/>
        </w:rPr>
        <w:t> </w:t>
      </w:r>
      <w:r>
        <w:rPr/>
        <w:t>This implies that Sierra Leone</w:t>
      </w:r>
      <w:r>
        <w:rPr>
          <w:spacing w:val="1"/>
        </w:rPr>
        <w:t> </w:t>
      </w:r>
      <w:r>
        <w:rPr/>
        <w:t>being a net importer of goods and services</w:t>
      </w:r>
      <w:r>
        <w:rPr>
          <w:vertAlign w:val="superscript"/>
        </w:rPr>
        <w:t>13</w:t>
      </w:r>
      <w:r>
        <w:rPr>
          <w:vertAlign w:val="baseline"/>
        </w:rPr>
        <w:t>, any change in the international prices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goods would tend to have an immediate effect on the country‘s general price level.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2.8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1"/>
          <w:vertAlign w:val="baseline"/>
        </w:rPr>
        <w:t> </w:t>
      </w:r>
      <w:r>
        <w:rPr>
          <w:vertAlign w:val="baseline"/>
        </w:rPr>
        <w:t>trend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co-movements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consumer price index in Sierra Leone.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implies that as exchange rate trends upwards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spacing w:val="-1"/>
          <w:vertAlign w:val="baseline"/>
        </w:rPr>
        <w:t> </w:t>
      </w:r>
      <w:r>
        <w:rPr>
          <w:vertAlign w:val="baseline"/>
        </w:rPr>
        <w:t>also the general price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1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-5.494089pt;width:144.020pt;height:.72003pt;mso-position-horizontal-relative:page;mso-position-vertical-relative:paragraph;z-index:-2539520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country‘s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persistent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deficit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figures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study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period.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tabs>
          <w:tab w:pos="2251" w:val="left" w:leader="none"/>
        </w:tabs>
        <w:spacing w:before="90"/>
      </w:pPr>
      <w:r>
        <w:rPr/>
        <w:pict>
          <v:group style="position:absolute;margin-left:106.550003pt;margin-top:-378.316895pt;width:429.6pt;height:501.9pt;mso-position-horizontal-relative:page;mso-position-vertical-relative:paragraph;z-index:-25394688" coordorigin="2131,-7566" coordsize="8592,10038">
            <v:shape style="position:absolute;left:2338;top:-5473;width:8035;height:7944" type="#_x0000_t75" stroked="false">
              <v:imagedata r:id="rId6" o:title=""/>
            </v:shape>
            <v:shape style="position:absolute;left:2131;top:-7567;width:8592;height:7517" type="#_x0000_t75" stroked="false">
              <v:imagedata r:id="rId16" o:title="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2.8:</w:t>
        <w:tab/>
        <w:t>Trends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Price</w:t>
      </w:r>
      <w:r>
        <w:rPr>
          <w:spacing w:val="-3"/>
        </w:rPr>
        <w:t> </w:t>
      </w:r>
      <w:r>
        <w:rPr/>
        <w:t>Index</w:t>
      </w:r>
    </w:p>
    <w:p>
      <w:pPr>
        <w:spacing w:after="0"/>
        <w:sectPr>
          <w:pgSz w:w="12240" w:h="15840"/>
          <w:pgMar w:header="0" w:footer="1015" w:top="1500" w:bottom="1200" w:left="1320" w:right="440"/>
        </w:sectPr>
      </w:pPr>
    </w:p>
    <w:p>
      <w:pPr>
        <w:pStyle w:val="ListParagraph"/>
        <w:numPr>
          <w:ilvl w:val="2"/>
          <w:numId w:val="9"/>
        </w:numPr>
        <w:tabs>
          <w:tab w:pos="1532" w:val="left" w:leader="none"/>
        </w:tabs>
        <w:spacing w:line="240" w:lineRule="auto" w:before="79" w:after="0"/>
        <w:ind w:left="1531" w:right="0" w:hanging="721"/>
        <w:jc w:val="both"/>
        <w:rPr>
          <w:b/>
          <w:sz w:val="24"/>
        </w:rPr>
      </w:pPr>
      <w:bookmarkStart w:name="_TOC_250052" w:id="22"/>
      <w:r>
        <w:rPr>
          <w:b/>
          <w:sz w:val="24"/>
        </w:rPr>
        <w:t>Selected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Macroeconomic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Indicators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Sierra Leone:</w:t>
      </w:r>
      <w:r>
        <w:rPr>
          <w:b/>
          <w:spacing w:val="-1"/>
          <w:sz w:val="24"/>
        </w:rPr>
        <w:t> </w:t>
      </w:r>
      <w:bookmarkEnd w:id="22"/>
      <w:r>
        <w:rPr>
          <w:b/>
          <w:sz w:val="24"/>
        </w:rPr>
        <w:t>1980-2010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Understanding the interaction between exchange rate and the balance of payments 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macroeocnomic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operations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general</w:t>
      </w:r>
      <w:r>
        <w:rPr>
          <w:spacing w:val="6"/>
        </w:rPr>
        <w:t> </w:t>
      </w:r>
      <w:r>
        <w:rPr/>
        <w:t>economic</w:t>
      </w:r>
      <w:r>
        <w:rPr>
          <w:spacing w:val="5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are</w:t>
      </w:r>
      <w:r>
        <w:rPr>
          <w:spacing w:val="3"/>
        </w:rPr>
        <w:t> </w:t>
      </w:r>
      <w:r>
        <w:rPr/>
        <w:t>also</w:t>
      </w:r>
      <w:r>
        <w:rPr>
          <w:spacing w:val="6"/>
        </w:rPr>
        <w:t> </w:t>
      </w:r>
      <w:r>
        <w:rPr/>
        <w:t>considered.</w:t>
      </w:r>
      <w:r>
        <w:rPr>
          <w:spacing w:val="11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Table</w:t>
      </w:r>
    </w:p>
    <w:p>
      <w:pPr>
        <w:pStyle w:val="BodyText"/>
        <w:spacing w:line="360" w:lineRule="auto" w:before="2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22304">
            <wp:simplePos x="0" y="0"/>
            <wp:positionH relativeFrom="page">
              <wp:posOffset>1485138</wp:posOffset>
            </wp:positionH>
            <wp:positionV relativeFrom="paragraph">
              <wp:posOffset>453429</wp:posOffset>
            </wp:positionV>
            <wp:extent cx="5102225" cy="5044439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2.4 are the country‘s balance of payments figures and selected macroeconomic indicators</w:t>
      </w:r>
      <w:r>
        <w:rPr>
          <w:spacing w:val="1"/>
        </w:rPr>
        <w:t> </w:t>
      </w:r>
      <w:r>
        <w:rPr/>
        <w:t>taken on five yearly intervals for the period 1980-2010.</w:t>
      </w:r>
      <w:r>
        <w:rPr>
          <w:spacing w:val="1"/>
        </w:rPr>
        <w:t> </w:t>
      </w:r>
      <w:r>
        <w:rPr/>
        <w:t>The table shows that while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depreciated</w:t>
      </w:r>
      <w:r>
        <w:rPr>
          <w:spacing w:val="1"/>
        </w:rPr>
        <w:t> </w:t>
      </w:r>
      <w:r>
        <w:rPr/>
        <w:t>progressively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Le1.05/US$1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Le3,378.09/US$1 in 2010, government revenue as a percentage of GDP ranged between</w:t>
      </w:r>
      <w:r>
        <w:rPr>
          <w:spacing w:val="1"/>
        </w:rPr>
        <w:t> </w:t>
      </w:r>
      <w:r>
        <w:rPr/>
        <w:t>17.06% and 27.99%. This relationship operated mainly through international trade taxes</w:t>
      </w:r>
      <w:r>
        <w:rPr>
          <w:spacing w:val="1"/>
        </w:rPr>
        <w:t> </w:t>
      </w:r>
      <w:r>
        <w:rPr/>
        <w:t>(import duties and import sales tax). As exchange rate increases so also will the nominal</w:t>
      </w:r>
      <w:r>
        <w:rPr>
          <w:spacing w:val="1"/>
        </w:rPr>
        <w:t> </w:t>
      </w:r>
      <w:r>
        <w:rPr/>
        <w:t>value in local currency of the imported goods on which duties are levied.</w:t>
      </w:r>
      <w:r>
        <w:rPr>
          <w:spacing w:val="1"/>
        </w:rPr>
        <w:t> </w:t>
      </w:r>
      <w:r>
        <w:rPr/>
        <w:t>This makes</w:t>
      </w:r>
      <w:r>
        <w:rPr>
          <w:spacing w:val="1"/>
        </w:rPr>
        <w:t> </w:t>
      </w:r>
      <w:r>
        <w:rPr/>
        <w:t>government revenue to grow almost in proportion with exchange rate depreciation. For</w:t>
      </w:r>
      <w:r>
        <w:rPr>
          <w:spacing w:val="1"/>
        </w:rPr>
        <w:t> </w:t>
      </w:r>
      <w:r>
        <w:rPr/>
        <w:t>government expenditure, it fluctuated between 29.88% and 30.02% (of GDP) during the</w:t>
      </w:r>
      <w:r>
        <w:rPr>
          <w:spacing w:val="1"/>
        </w:rPr>
        <w:t> </w:t>
      </w:r>
      <w:r>
        <w:rPr/>
        <w:t>same period.</w:t>
      </w:r>
      <w:r>
        <w:rPr>
          <w:spacing w:val="1"/>
        </w:rPr>
        <w:t> </w:t>
      </w:r>
      <w:r>
        <w:rPr/>
        <w:t>Conversely, overall deficit financing as percentage of GDP fell reasonably</w:t>
      </w:r>
      <w:r>
        <w:rPr>
          <w:spacing w:val="1"/>
        </w:rPr>
        <w:t> </w:t>
      </w:r>
      <w:r>
        <w:rPr/>
        <w:t>from 12.82% in 1980 to 2.21% in 2010.</w:t>
      </w:r>
      <w:r>
        <w:rPr>
          <w:spacing w:val="61"/>
        </w:rPr>
        <w:t> </w:t>
      </w:r>
      <w:r>
        <w:rPr/>
        <w:t>These were on account of the taking over of</w:t>
      </w:r>
      <w:r>
        <w:rPr>
          <w:spacing w:val="1"/>
        </w:rPr>
        <w:t> </w:t>
      </w:r>
      <w:r>
        <w:rPr/>
        <w:t>some of the government‘s expenditure items by its development partners during the post-</w:t>
      </w:r>
      <w:r>
        <w:rPr>
          <w:spacing w:val="1"/>
        </w:rPr>
        <w:t> </w:t>
      </w:r>
      <w:r>
        <w:rPr/>
        <w:t>war</w:t>
      </w:r>
      <w:r>
        <w:rPr>
          <w:spacing w:val="-1"/>
        </w:rPr>
        <w:t> </w:t>
      </w:r>
      <w:r>
        <w:rPr/>
        <w:t>period.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496" w:val="left" w:leader="none"/>
        </w:tabs>
        <w:spacing w:line="276" w:lineRule="auto"/>
        <w:ind w:left="4028" w:right="1247" w:hanging="2972"/>
      </w:pPr>
      <w:r>
        <w:rPr/>
        <w:pict>
          <v:shape style="position:absolute;margin-left:281.300018pt;margin-top:129.333130pt;width:237.4pt;height:230.5pt;mso-position-horizontal-relative:page;mso-position-vertical-relative:paragraph;z-index:-25392640" coordorigin="5626,2587" coordsize="4748,4610" path="m6603,7139l6602,7136,6600,7129,6597,7126,6306,6835,6268,6763,6080,6402,6004,6257,5993,6237,5983,6225,5979,6222,5969,6220,5964,6222,5957,6226,5944,6237,5928,6252,5923,6259,5916,6268,5914,6273,5912,6281,5912,6284,5917,6297,5921,6302,6079,6595,6115,6659,6178,6767,6177,6768,6002,6668,5929,6629,5783,6551,5705,6508,5696,6505,5692,6504,5684,6505,5680,6507,5675,6509,5670,6513,5658,6523,5642,6539,5632,6551,5628,6557,5626,6562,5628,6572,5631,6576,5637,6581,5643,6586,5664,6598,5736,6636,6098,6824,6242,6900,6532,7190,6536,7193,6542,7196,6546,7196,6550,7195,6554,7194,6564,7189,6569,7185,6575,7181,6587,7168,6592,7163,6595,7158,6600,7148,6601,7143,6603,7139xm7274,6407l7274,6370,7268,6332,7258,6292,7242,6251,7223,6209,7199,6165,7170,6121,7161,6109,7161,6380,7157,6406,7148,6431,7133,6455,7115,6477,7093,6496,7070,6510,7045,6520,7020,6524,6994,6525,6967,6523,6939,6516,6909,6505,6880,6491,6849,6473,6818,6453,6786,6429,6753,6403,6720,6374,6687,6343,6652,6309,6622,6278,6594,6247,6567,6215,6541,6183,6518,6152,6499,6121,6482,6090,6469,6059,6458,6030,6451,6001,6447,5973,6447,5946,6451,5919,6460,5895,6474,5871,6493,5850,6515,5831,6537,5817,6562,5807,6587,5802,6614,5802,6641,5805,6669,5811,6698,5822,6728,5836,6759,5853,6790,5873,6821,5896,6854,5922,6886,5950,6919,5980,6952,6012,6983,6044,7012,6076,7039,6108,7064,6140,7088,6172,7108,6203,7125,6234,7139,6264,7150,6295,7157,6324,7161,6352,7161,6380,7161,6109,7137,6076,7100,6030,7059,5984,7013,5937,6966,5891,6921,5850,6876,5814,6860,5802,6832,5781,6790,5753,6749,5730,6709,5712,6670,5698,6633,5689,6596,5684,6562,5685,6528,5689,6496,5698,6465,5713,6436,5732,6408,5757,6383,5786,6363,5816,6348,5849,6339,5883,6335,5919,6336,5956,6341,5994,6351,6034,6366,6075,6386,6117,6409,6160,6438,6204,6470,6249,6507,6294,6547,6339,6591,6385,6639,6431,6685,6473,6731,6510,6775,6543,6817,6572,6859,6595,6899,6614,6938,6628,6975,6638,7011,6643,7046,6642,7080,6638,7113,6629,7144,6614,7173,6595,7201,6570,7227,6541,7237,6525,7247,6510,7261,6478,7270,6443,7274,6407xm7572,6170l7572,6166,7569,6159,7567,6156,7239,5828,7409,5658,7410,5655,7410,5648,7409,5644,7404,5635,7400,5629,7385,5611,7369,5595,7361,5588,7355,5583,7349,5578,7344,5575,7336,5571,7332,5570,7328,5570,7325,5570,7323,5571,7153,5742,6887,5477,7068,5296,7069,5294,7069,5291,7068,5283,7063,5274,7059,5268,7043,5250,7035,5242,7027,5234,7008,5217,6993,5208,6989,5208,6982,5207,6980,5208,6753,5435,6750,5444,6752,5454,6754,5464,6759,5474,6767,5484,6777,5495,7502,6221,7505,6223,7513,6226,7516,6226,7520,6225,7524,6224,7534,6219,7539,6215,7545,6211,7557,6198,7565,6188,7570,6178,7571,6174,7572,6170xm8101,5641l8100,5638,8098,5631,8095,5628,8092,5625,7340,4873,7337,4870,7330,4868,7327,4867,7322,4868,7318,4869,7309,4874,7298,4882,7286,4895,7278,4905,7273,4915,7272,4919,7271,4923,7271,4927,7274,4934,7276,4938,8031,5692,8034,5695,8041,5698,8044,5698,8048,5696,8053,5696,8063,5690,8073,5682,8086,5670,8090,5664,8094,5659,8099,5650,8099,5645,8101,5641xm8456,5214l8456,5197,8454,5181,8451,5164,8448,5147,8442,5129,8436,5112,8428,5094,8419,5076,8409,5058,8397,5039,8383,5021,8369,5003,8352,4985,8346,4977,8346,5180,8345,5194,8343,5207,8340,5220,8335,5232,8328,5244,8320,5256,8310,5267,8216,5361,7941,5086,8018,5009,8024,5003,8034,4995,8049,4983,8063,4974,8078,4967,8093,4963,8108,4961,8124,4960,8139,4961,8155,4965,8171,4970,8188,4977,8204,4986,8221,4996,8238,5009,8255,5024,8273,5040,8288,5057,8301,5073,8313,5089,8323,5105,8331,5120,8337,5136,8341,5151,8344,5165,8346,5180,8346,4977,8335,4966,8328,4960,8315,4947,8295,4930,8275,4915,8254,4901,8234,4889,8214,4878,8195,4870,8190,4868,8176,4863,8158,4858,8139,4855,8122,4853,8105,4853,8089,4854,8073,4858,8059,4862,8046,4868,8048,4855,8048,4841,8048,4827,8046,4812,8043,4798,8039,4783,8034,4768,8028,4753,8021,4739,8013,4724,8004,4710,7993,4695,7982,4680,7971,4666,7964,4658,7964,4852,7964,4866,7962,4879,7958,4892,7952,4905,7943,4917,7932,4930,7859,5003,7606,4751,7673,4684,7686,4671,7700,4661,7713,4653,7726,4648,7739,4645,7751,4643,7765,4643,7777,4644,7791,4648,7805,4653,7818,4660,7832,4668,7846,4678,7860,4689,7874,4701,7888,4714,7900,4727,7912,4741,7923,4754,7933,4768,7941,4783,7949,4797,7955,4811,7959,4824,7962,4838,7964,4852,7964,4658,7958,4652,7950,4643,7945,4638,7921,4616,7898,4596,7875,4579,7852,4564,7829,4552,7806,4542,7784,4534,7762,4530,7740,4528,7719,4529,7698,4532,7677,4538,7656,4547,7635,4560,7614,4576,7592,4596,7481,4707,7476,4712,7473,4721,7474,4732,7477,4741,7482,4751,7489,4762,7500,4773,8195,5469,8206,5479,8217,5487,8227,5491,8236,5493,8247,5495,8256,5492,8387,5361,8389,5360,8402,5346,8413,5332,8423,5318,8431,5304,8438,5290,8444,5276,8449,5261,8452,5245,8454,5230,8456,5214xm9020,4728l9019,4724,9017,4719,9014,4713,9009,4708,9003,4703,8995,4697,8984,4690,8889,4629,8609,4453,8609,4564,8440,4733,8179,4328,8135,4261,8135,4260,8135,4260,8609,4564,8609,4453,8304,4260,8097,4129,8091,4126,8086,4123,8081,4121,8076,4120,8072,4121,8062,4124,8056,4127,8050,4132,8044,4136,8038,4143,8030,4151,8022,4158,8016,4164,8012,4170,8008,4175,8005,4181,8004,4186,8002,4191,8001,4195,8003,4199,8004,4204,8007,4209,8010,4214,8053,4283,8370,4785,8571,5102,8578,5113,8584,5121,8589,5126,8594,5132,8600,5135,8604,5137,8609,5138,8614,5136,8620,5133,8625,5129,8632,5123,8646,5109,8651,5103,8655,5098,8659,5093,8661,5088,8661,5083,8662,5079,8662,5076,8660,5071,8659,5068,8657,5064,8654,5059,8617,5003,8506,4832,8605,4733,8709,4629,8940,4778,8945,4780,8949,4782,8953,4783,8956,4785,8960,4785,8963,4783,8968,4783,8972,4781,8978,4777,8983,4773,9005,4751,9010,4744,9014,4739,9018,4734,9020,4728xm9323,4313l9321,4275,9314,4235,9302,4194,9285,4152,9263,4108,9236,4062,9213,4029,9213,4277,9212,4304,9207,4330,9198,4355,9186,4380,9168,4404,9147,4427,9080,4494,8473,3887,8539,3821,8565,3798,8590,3781,8617,3768,8644,3761,8672,3758,8700,3759,8729,3763,8759,3770,8790,3781,8821,3796,8852,3813,8884,3834,8916,3858,8948,3884,8980,3912,9012,3942,9049,3981,9083,4019,9113,4055,9138,4090,9160,4124,9178,4157,9193,4189,9203,4219,9210,4249,9213,4277,9213,4029,9204,4016,9166,3969,9124,3920,9076,3870,9032,3828,8988,3790,8947,3758,8945,3756,8902,3727,8860,3702,8819,3681,8778,3665,8738,3652,8700,3645,8662,3642,8625,3644,8590,3650,8555,3662,8522,3679,8489,3702,8457,3731,8341,3847,8338,3856,8339,3867,8342,3876,8347,3886,8354,3896,8365,3908,9060,4603,9072,4614,9082,4621,9092,4626,9101,4628,9112,4630,9121,4627,9230,4518,9252,4494,9258,4487,9282,4454,9300,4420,9313,4386,9320,4350,9323,4313xm9940,3808l9939,3803,9937,3798,9934,3793,9929,3788,9923,3783,9916,3777,9905,3770,9810,3709,9529,3533,9529,3644,9360,3813,9099,3408,9055,3340,9055,3340,9529,3644,9529,3533,9224,3340,9017,3209,9011,3206,9006,3203,8996,3200,8992,3201,8987,3202,8982,3204,8976,3207,8971,3212,8965,3216,8958,3223,8950,3231,8936,3244,8928,3255,8925,3261,8924,3266,8922,3271,8922,3275,8923,3279,8924,3284,8927,3289,8930,3294,9017,3431,9289,3863,9318,3909,9491,4182,9498,4193,9504,4201,9509,4206,9514,4212,9520,4215,9529,4218,9534,4216,9540,4213,9545,4209,9552,4203,9566,4189,9571,4183,9575,4178,9579,4173,9581,4168,9581,4163,9582,4159,9582,4155,9580,4151,9579,4148,9577,4144,9574,4139,9426,3912,9525,3813,9629,3709,9860,3857,9865,3860,9869,3862,9873,3863,9876,3864,9880,3865,9883,3863,9888,3863,9892,3861,9898,3856,9903,3853,9925,3831,9930,3824,9934,3819,9938,3814,9940,3808xm10374,3365l10372,3352,10369,3345,10362,3330,10356,3322,10348,3315,9625,2592,9622,2590,9615,2587,9611,2587,9602,2588,9598,2590,9593,2594,9582,2602,9570,2614,9559,2629,9556,2634,9555,2643,9556,2647,9557,2650,9558,2654,9560,2657,10011,3107,10186,3280,10186,3280,10037,3203,9959,3162,9898,3133,9801,3084,9573,2970,9421,2894,9397,2883,9378,2874,9366,2870,9356,2867,9347,2867,9338,2867,9330,2867,9316,2874,9309,2879,9263,2925,9260,2935,9261,2947,9264,2957,9269,2967,9277,2978,9287,2990,10010,3713,10013,3715,10016,3716,10020,3718,10024,3718,10028,3717,10032,3717,10042,3711,10052,3704,10065,3691,10073,3680,10076,3675,10078,3671,10078,3666,10080,3662,10080,3659,10078,3654,10077,3651,10075,3648,9533,3107,9421,2997,9422,2997,9468,3022,9565,3073,9686,3134,10057,3318,10204,3392,10233,3406,10272,3422,10285,3425,10295,3426,10305,3427,10314,3426,10321,3423,10329,3421,10336,3416,10367,3384,10370,3380,10373,3370,10374,3365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2.4:</w:t>
        <w:tab/>
        <w:t>Sierra</w:t>
      </w:r>
      <w:r>
        <w:rPr>
          <w:spacing w:val="-2"/>
        </w:rPr>
        <w:t> </w:t>
      </w:r>
      <w:r>
        <w:rPr/>
        <w:t>Leone’s</w:t>
      </w:r>
      <w:r>
        <w:rPr>
          <w:spacing w:val="-3"/>
        </w:rPr>
        <w:t> </w:t>
      </w:r>
      <w:r>
        <w:rPr/>
        <w:t>Balance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Payments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Macroeconomic</w:t>
      </w:r>
      <w:r>
        <w:rPr>
          <w:spacing w:val="-57"/>
        </w:rPr>
        <w:t> </w:t>
      </w:r>
      <w:r>
        <w:rPr/>
        <w:t>Indicators:</w:t>
      </w:r>
      <w:r>
        <w:rPr>
          <w:spacing w:val="-1"/>
        </w:rPr>
        <w:t> </w:t>
      </w:r>
      <w:r>
        <w:rPr/>
        <w:t>1980-2010</w:t>
      </w:r>
    </w:p>
    <w:tbl>
      <w:tblPr>
        <w:tblW w:w="0" w:type="auto"/>
        <w:jc w:val="left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984"/>
        <w:gridCol w:w="960"/>
        <w:gridCol w:w="960"/>
        <w:gridCol w:w="960"/>
        <w:gridCol w:w="987"/>
        <w:gridCol w:w="986"/>
        <w:gridCol w:w="986"/>
      </w:tblGrid>
      <w:tr>
        <w:trPr>
          <w:trHeight w:val="465" w:hRule="atLeast"/>
        </w:trPr>
        <w:tc>
          <w:tcPr>
            <w:tcW w:w="2446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Year</w:t>
            </w:r>
          </w:p>
        </w:tc>
        <w:tc>
          <w:tcPr>
            <w:tcW w:w="984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1985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1990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1995</w:t>
            </w:r>
          </w:p>
        </w:tc>
        <w:tc>
          <w:tcPr>
            <w:tcW w:w="987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986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86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504" w:hRule="atLeast"/>
        </w:trPr>
        <w:tc>
          <w:tcPr>
            <w:tcW w:w="244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Nominal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Exchange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Rate</w:t>
            </w:r>
          </w:p>
          <w:p>
            <w:pPr>
              <w:pStyle w:val="TableParagraph"/>
              <w:spacing w:line="237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Le/US$)</w:t>
            </w:r>
          </w:p>
        </w:tc>
        <w:tc>
          <w:tcPr>
            <w:tcW w:w="984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1.05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5.09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151.45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755.22</w:t>
            </w:r>
          </w:p>
        </w:tc>
        <w:tc>
          <w:tcPr>
            <w:tcW w:w="987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left="108"/>
              <w:rPr>
                <w:sz w:val="22"/>
              </w:rPr>
            </w:pPr>
            <w:r>
              <w:rPr>
                <w:sz w:val="22"/>
              </w:rPr>
              <w:t>2,092.12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left="108"/>
              <w:rPr>
                <w:sz w:val="22"/>
              </w:rPr>
            </w:pPr>
            <w:r>
              <w:rPr>
                <w:sz w:val="22"/>
              </w:rPr>
              <w:t>2,889.59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left="108"/>
              <w:rPr>
                <w:sz w:val="22"/>
              </w:rPr>
            </w:pPr>
            <w:r>
              <w:rPr>
                <w:sz w:val="22"/>
              </w:rPr>
              <w:t>3,978.09</w:t>
            </w:r>
          </w:p>
        </w:tc>
      </w:tr>
      <w:tr>
        <w:trPr>
          <w:trHeight w:val="506" w:hRule="atLeast"/>
        </w:trPr>
        <w:tc>
          <w:tcPr>
            <w:tcW w:w="24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Real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Effective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Exchange</w:t>
            </w:r>
          </w:p>
          <w:p>
            <w:pPr>
              <w:pStyle w:val="TableParagraph"/>
              <w:spacing w:line="237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Rate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156.16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278.19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88.34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94.72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70.88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55.57</w:t>
            </w:r>
          </w:p>
        </w:tc>
      </w:tr>
      <w:tr>
        <w:trPr>
          <w:trHeight w:val="300" w:hRule="atLeast"/>
        </w:trPr>
        <w:tc>
          <w:tcPr>
            <w:tcW w:w="24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43"/>
              <w:ind w:left="107"/>
              <w:rPr>
                <w:sz w:val="22"/>
              </w:rPr>
            </w:pPr>
            <w:r>
              <w:rPr>
                <w:sz w:val="22"/>
              </w:rPr>
              <w:t>GDP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US$'mn)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43"/>
              <w:ind w:left="105"/>
              <w:rPr>
                <w:sz w:val="22"/>
              </w:rPr>
            </w:pPr>
            <w:r>
              <w:rPr>
                <w:sz w:val="22"/>
              </w:rPr>
              <w:t>1,100.69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43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856.89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43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649.64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43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870.77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43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635.88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43"/>
              <w:ind w:left="108"/>
              <w:rPr>
                <w:sz w:val="22"/>
              </w:rPr>
            </w:pPr>
            <w:r>
              <w:rPr>
                <w:sz w:val="22"/>
              </w:rPr>
              <w:t>1,239.40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1,909.76</w:t>
            </w:r>
          </w:p>
        </w:tc>
      </w:tr>
      <w:tr>
        <w:trPr>
          <w:trHeight w:val="505" w:hRule="atLeast"/>
        </w:trPr>
        <w:tc>
          <w:tcPr>
            <w:tcW w:w="24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Foreign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Reserves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(US$'mn)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30.60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10.82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5.43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34.62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49.21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170.51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265.56</w:t>
            </w:r>
          </w:p>
        </w:tc>
      </w:tr>
      <w:tr>
        <w:trPr>
          <w:trHeight w:val="300" w:hRule="atLeast"/>
        </w:trPr>
        <w:tc>
          <w:tcPr>
            <w:tcW w:w="24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left="107"/>
              <w:rPr>
                <w:sz w:val="22"/>
              </w:rPr>
            </w:pPr>
            <w:r>
              <w:rPr>
                <w:sz w:val="22"/>
              </w:rPr>
              <w:t>Real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GDP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Growth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Rate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4.62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-5.65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3.24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-8.69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3.29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4.50</w:t>
            </w:r>
          </w:p>
        </w:tc>
      </w:tr>
      <w:tr>
        <w:trPr>
          <w:trHeight w:val="302" w:hRule="atLeast"/>
        </w:trPr>
        <w:tc>
          <w:tcPr>
            <w:tcW w:w="2446" w:type="dxa"/>
            <w:tcBorders>
              <w:top w:val="nil"/>
            </w:tcBorders>
          </w:tcPr>
          <w:p>
            <w:pPr>
              <w:pStyle w:val="TableParagraph"/>
              <w:spacing w:line="240" w:lineRule="exact" w:before="42"/>
              <w:ind w:left="107"/>
              <w:rPr>
                <w:sz w:val="22"/>
              </w:rPr>
            </w:pPr>
            <w:r>
              <w:rPr>
                <w:sz w:val="22"/>
              </w:rPr>
              <w:t>Inflation</w:t>
            </w: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spacing w:line="240" w:lineRule="exact" w:before="42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12.90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40" w:lineRule="exact" w:before="42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76.58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40" w:lineRule="exact" w:before="42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110.95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40" w:lineRule="exact" w:before="42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25.99</w:t>
            </w:r>
          </w:p>
        </w:tc>
        <w:tc>
          <w:tcPr>
            <w:tcW w:w="987" w:type="dxa"/>
            <w:tcBorders>
              <w:top w:val="nil"/>
            </w:tcBorders>
          </w:tcPr>
          <w:p>
            <w:pPr>
              <w:pStyle w:val="TableParagraph"/>
              <w:spacing w:line="240" w:lineRule="exact" w:before="42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-0.84</w:t>
            </w: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line="240" w:lineRule="exact" w:before="42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12.05</w:t>
            </w: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16.50</w:t>
            </w:r>
          </w:p>
        </w:tc>
      </w:tr>
      <w:tr>
        <w:trPr>
          <w:trHeight w:val="288" w:hRule="atLeast"/>
        </w:trPr>
        <w:tc>
          <w:tcPr>
            <w:tcW w:w="9269" w:type="dxa"/>
            <w:gridSpan w:val="8"/>
          </w:tcPr>
          <w:p>
            <w:pPr>
              <w:pStyle w:val="TableParagraph"/>
              <w:spacing w:line="240" w:lineRule="exact" w:before="28"/>
              <w:ind w:left="3092" w:right="3084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Domestic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Operation: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(%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of GDP)</w:t>
            </w:r>
          </w:p>
        </w:tc>
      </w:tr>
      <w:tr>
        <w:trPr>
          <w:trHeight w:val="320" w:hRule="atLeast"/>
        </w:trPr>
        <w:tc>
          <w:tcPr>
            <w:tcW w:w="2446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Gov_Revenue</w:t>
            </w:r>
          </w:p>
        </w:tc>
        <w:tc>
          <w:tcPr>
            <w:tcW w:w="984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17.06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7.49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5.92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10.26</w:t>
            </w:r>
          </w:p>
        </w:tc>
        <w:tc>
          <w:tcPr>
            <w:tcW w:w="987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19.41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22.88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27.99</w:t>
            </w:r>
          </w:p>
        </w:tc>
      </w:tr>
      <w:tr>
        <w:trPr>
          <w:trHeight w:val="300" w:hRule="atLeast"/>
        </w:trPr>
        <w:tc>
          <w:tcPr>
            <w:tcW w:w="24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7"/>
              <w:rPr>
                <w:sz w:val="22"/>
              </w:rPr>
            </w:pPr>
            <w:r>
              <w:rPr>
                <w:sz w:val="22"/>
              </w:rPr>
              <w:t>Gov_Expenditure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29.88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16.09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8.37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16.32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28.74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24.78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30.02</w:t>
            </w:r>
          </w:p>
        </w:tc>
      </w:tr>
      <w:tr>
        <w:trPr>
          <w:trHeight w:val="277" w:hRule="atLeast"/>
        </w:trPr>
        <w:tc>
          <w:tcPr>
            <w:tcW w:w="24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left="107"/>
              <w:rPr>
                <w:sz w:val="22"/>
              </w:rPr>
            </w:pPr>
            <w:r>
              <w:rPr>
                <w:sz w:val="22"/>
              </w:rPr>
              <w:t>Budget Balance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-12.83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-8.60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-2.45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-6.06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-9.33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-1.91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-2.21</w:t>
            </w:r>
          </w:p>
        </w:tc>
      </w:tr>
      <w:tr>
        <w:trPr>
          <w:trHeight w:val="506" w:hRule="atLeast"/>
        </w:trPr>
        <w:tc>
          <w:tcPr>
            <w:tcW w:w="24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left="107" w:right="702"/>
              <w:rPr>
                <w:sz w:val="22"/>
              </w:rPr>
            </w:pPr>
            <w:r>
              <w:rPr>
                <w:sz w:val="22"/>
              </w:rPr>
              <w:t>Deficit Financing: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Domestic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9.04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7.37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1.96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0.37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0.88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0.46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1.31</w:t>
            </w:r>
          </w:p>
        </w:tc>
      </w:tr>
      <w:tr>
        <w:trPr>
          <w:trHeight w:val="506" w:hRule="atLeast"/>
        </w:trPr>
        <w:tc>
          <w:tcPr>
            <w:tcW w:w="2446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 w:right="702"/>
              <w:rPr>
                <w:sz w:val="22"/>
              </w:rPr>
            </w:pPr>
            <w:r>
              <w:rPr>
                <w:sz w:val="22"/>
              </w:rPr>
              <w:t>Deficit Financing: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Foreign</w:t>
            </w: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3.78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1.23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0.49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5.69</w:t>
            </w:r>
          </w:p>
        </w:tc>
        <w:tc>
          <w:tcPr>
            <w:tcW w:w="987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8.45</w:t>
            </w: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1.45</w:t>
            </w: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0.90</w:t>
            </w:r>
          </w:p>
        </w:tc>
      </w:tr>
      <w:tr>
        <w:trPr>
          <w:trHeight w:val="301" w:hRule="atLeast"/>
        </w:trPr>
        <w:tc>
          <w:tcPr>
            <w:tcW w:w="9269" w:type="dxa"/>
            <w:gridSpan w:val="8"/>
          </w:tcPr>
          <w:p>
            <w:pPr>
              <w:pStyle w:val="TableParagraph"/>
              <w:spacing w:line="240" w:lineRule="exact" w:before="41"/>
              <w:ind w:left="3095" w:right="3084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Balance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Payments: (%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GDP)</w:t>
            </w:r>
          </w:p>
        </w:tc>
      </w:tr>
      <w:tr>
        <w:trPr>
          <w:trHeight w:val="320" w:hRule="atLeast"/>
        </w:trPr>
        <w:tc>
          <w:tcPr>
            <w:tcW w:w="2446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Export</w:t>
            </w:r>
          </w:p>
        </w:tc>
        <w:tc>
          <w:tcPr>
            <w:tcW w:w="984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20.28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14.87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21.37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4.58</w:t>
            </w:r>
          </w:p>
        </w:tc>
        <w:tc>
          <w:tcPr>
            <w:tcW w:w="987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2.01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13.63</w:t>
            </w:r>
          </w:p>
        </w:tc>
        <w:tc>
          <w:tcPr>
            <w:tcW w:w="986" w:type="dxa"/>
            <w:tcBorders>
              <w:bottom w:val="nil"/>
            </w:tcBorders>
          </w:tcPr>
          <w:p>
            <w:pPr>
              <w:pStyle w:val="TableParagraph"/>
              <w:spacing w:before="39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23.48</w:t>
            </w:r>
          </w:p>
        </w:tc>
      </w:tr>
      <w:tr>
        <w:trPr>
          <w:trHeight w:val="277" w:hRule="atLeast"/>
        </w:trPr>
        <w:tc>
          <w:tcPr>
            <w:tcW w:w="24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left="107"/>
              <w:rPr>
                <w:sz w:val="22"/>
              </w:rPr>
            </w:pPr>
            <w:r>
              <w:rPr>
                <w:sz w:val="22"/>
              </w:rPr>
              <w:t>Import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38.73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18.07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22.94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15.59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23.65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29.67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9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43.47</w:t>
            </w:r>
          </w:p>
        </w:tc>
      </w:tr>
      <w:tr>
        <w:trPr>
          <w:trHeight w:val="300" w:hRule="atLeast"/>
        </w:trPr>
        <w:tc>
          <w:tcPr>
            <w:tcW w:w="24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left="107"/>
              <w:rPr>
                <w:sz w:val="22"/>
              </w:rPr>
            </w:pPr>
            <w:r>
              <w:rPr>
                <w:sz w:val="22"/>
              </w:rPr>
              <w:t>Trade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Balance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-18.45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-3.20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-1.57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-11.00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-21.64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42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-16.04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-22.45</w:t>
            </w:r>
          </w:p>
        </w:tc>
      </w:tr>
      <w:tr>
        <w:trPr>
          <w:trHeight w:val="509" w:hRule="atLeast"/>
        </w:trPr>
        <w:tc>
          <w:tcPr>
            <w:tcW w:w="2446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Current Account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Balance</w:t>
            </w: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-15.01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-1.45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-10.68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-13.56</w:t>
            </w:r>
          </w:p>
        </w:tc>
        <w:tc>
          <w:tcPr>
            <w:tcW w:w="987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-17.66</w:t>
            </w: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-13.77</w:t>
            </w:r>
          </w:p>
        </w:tc>
        <w:tc>
          <w:tcPr>
            <w:tcW w:w="986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-27.21</w:t>
            </w:r>
          </w:p>
        </w:tc>
      </w:tr>
    </w:tbl>
    <w:p>
      <w:pPr>
        <w:spacing w:line="276" w:lineRule="auto" w:before="0"/>
        <w:ind w:left="811" w:right="1004" w:firstLine="0"/>
        <w:jc w:val="left"/>
        <w:rPr>
          <w:sz w:val="22"/>
        </w:rPr>
      </w:pPr>
      <w:r>
        <w:rPr/>
        <w:pict>
          <v:shape style="position:absolute;margin-left:116.940002pt;margin-top:-27.1105pt;width:180.2pt;height:175.25pt;mso-position-horizontal-relative:page;mso-position-vertical-relative:paragraph;z-index:-25393664" coordorigin="2339,-542" coordsize="3604,3505" path="m3369,2745l3367,2716,3362,2685,3353,2653,3340,2620,3324,2587,3304,2553,3281,2519,3255,2484,3224,2449,3191,2413,2711,1934,2708,1932,2701,1929,2697,1929,2693,1930,2689,1931,2680,1936,2669,1944,2657,1956,2649,1967,2644,1977,2642,1980,2641,1985,2642,1988,2644,1995,2647,1999,3127,2479,3152,2504,3174,2530,3194,2554,3210,2578,3225,2601,3236,2624,3246,2646,3253,2667,3257,2687,3259,2707,3258,2726,3255,2744,3250,2761,3242,2778,3231,2793,3218,2808,3204,2820,3189,2830,3172,2838,3155,2843,3137,2846,3118,2847,3098,2845,3077,2840,3056,2834,3033,2824,3010,2812,2986,2798,2961,2780,2936,2760,2910,2737,2883,2711,2409,2237,2405,2234,2398,2232,2395,2231,2391,2232,2387,2233,2377,2238,2366,2246,2354,2259,2346,2270,2343,2275,2340,2283,2339,2287,2339,2291,2342,2298,2344,2301,2831,2788,2867,2822,2902,2852,2937,2879,2971,2902,3004,2921,3037,2937,3068,2948,3098,2957,3128,2962,3157,2963,3184,2961,3211,2955,3236,2947,3260,2934,3282,2919,3303,2900,3323,2878,3340,2854,3352,2829,3361,2802,3367,2774,3369,2745xm3958,2212l3956,2200,3954,2193,3946,2178,3940,2170,3932,2162,3209,1440,3207,1438,3200,1435,3195,1435,3187,1436,3182,1438,3167,1450,3155,1462,3143,1477,3141,1482,3139,1491,3140,1494,3143,1502,3145,1504,3571,1931,3770,2128,3770,2128,3696,2089,3543,2010,3482,1981,3385,1932,3081,1780,2993,1736,2972,1726,2951,1718,2940,1715,2931,1714,2923,1714,2914,1715,2901,1722,2893,1727,2847,1773,2845,1783,2846,1795,2848,1804,2853,1815,2861,1826,2872,1838,3591,2558,3597,2563,3605,2566,3608,2566,3612,2565,3616,2564,3626,2559,3631,2556,3636,2551,3649,2539,3654,2533,3657,2528,3662,2518,3663,2514,3664,2510,3664,2506,3662,2502,3661,2499,3659,2496,3141,1977,3005,1845,3006,1844,3076,1883,3150,1921,3344,2019,3567,2129,3804,2247,3818,2253,3842,2264,3857,2269,3869,2272,3879,2273,3890,2275,3899,2274,3906,2271,3913,2269,3920,2264,3952,2232,3954,2228,3958,2218,3958,2212xm4162,2012l4162,2009,4159,2002,4157,1998,4154,1995,3402,1244,3399,1241,3391,1238,3388,1238,3384,1239,3376,1242,3370,1245,3360,1253,3348,1265,3340,1276,3335,1286,3333,1289,3332,1294,3332,1298,3335,1305,3337,1308,4092,2063,4095,2066,4102,2068,4106,2069,4109,2067,4114,2066,4124,2061,4135,2053,4147,2041,4155,2030,4160,2020,4161,2016,4162,2012xm4485,1687l4483,1677,4481,1672,4477,1667,4434,1599,3899,764,3889,752,3884,749,3880,748,3875,747,3870,748,3864,751,3853,760,3831,782,3823,792,3821,797,3820,806,3820,809,3824,817,3873,892,4349,1618,4349,1618,4283,1575,3553,1101,3544,1096,3540,1094,3536,1093,3524,1094,3520,1095,3511,1102,3489,1124,3474,1142,3472,1148,3474,1158,3476,1163,3482,1168,3488,1174,3507,1187,3575,1231,4391,1752,4398,1757,4401,1757,4404,1759,4407,1760,4414,1760,4417,1760,4420,1758,4427,1756,4430,1754,4443,1744,4471,1717,4480,1706,4482,1701,4485,1691,4485,1687xm4997,1178l4996,1171,4991,1162,4987,1156,4971,1138,4964,1131,4956,1123,4937,1106,4923,1098,4916,1097,4912,1097,4909,1099,4715,1293,4435,1014,4601,849,4602,847,4602,840,4601,836,4598,828,4594,823,4578,805,4563,790,4545,774,4539,770,4531,766,4526,764,4519,764,4517,765,4352,930,4107,686,4299,493,4300,491,4300,484,4299,480,4295,472,4291,466,4286,460,4275,448,4260,432,4247,421,4236,412,4226,407,4223,406,4215,406,4213,407,3974,646,3972,655,3973,665,3975,675,3980,685,3988,695,3998,707,4694,1402,4705,1413,4716,1420,4725,1425,4734,1427,4746,1429,4754,1426,4996,1185,4997,1182,4997,1178xm5431,744l5430,740,5429,737,5427,734,5424,731,5421,728,5418,724,5413,720,5406,715,5369,692,5185,582,5167,572,5135,553,5118,543,5085,526,5070,518,5056,511,5042,505,5028,500,5015,495,5002,492,4990,489,4981,488,4978,487,4967,486,4956,486,4946,486,4935,488,4940,471,4942,454,4944,437,4945,419,4944,402,4942,384,4938,366,4933,348,4926,330,4918,312,4909,293,4897,274,4884,255,4869,236,4852,217,4848,213,4848,425,4846,439,4843,454,4837,468,4830,482,4820,495,4809,508,4745,572,4483,309,4537,254,4546,245,4555,237,4563,230,4570,225,4579,218,4588,213,4597,210,4619,204,4641,202,4663,205,4685,212,4708,223,4730,238,4753,256,4776,277,4789,291,4802,306,4813,320,4823,335,4831,350,4838,365,4843,380,4846,395,4848,410,4848,425,4848,213,4838,202,4834,198,4813,178,4793,161,4773,145,4752,131,4732,119,4712,109,4691,100,4671,94,4651,89,4631,87,4611,86,4592,87,4573,91,4554,96,4536,103,4517,113,4510,118,4501,124,4492,131,4485,137,4477,144,4469,152,4460,161,4408,212,4356,264,4351,269,4348,278,4349,289,4352,298,4357,308,4364,319,4375,330,5100,1055,5103,1058,5107,1059,5110,1061,5113,1061,5117,1059,5122,1059,5126,1056,5132,1054,5136,1050,5142,1046,5155,1033,5159,1027,5163,1022,5166,1017,5168,1013,5168,1008,5169,1005,5170,1001,5168,998,5167,994,5164,991,4931,757,4829,655,4851,634,4872,612,4884,602,4896,594,4908,588,4921,584,4934,583,4948,582,4963,584,4978,586,4993,591,5010,596,5026,603,5043,611,5061,621,5079,631,5098,642,5117,653,5289,757,5346,792,5352,796,5357,799,5362,800,5366,802,5370,803,5375,802,5380,802,5384,800,5389,796,5394,793,5400,788,5414,774,5419,767,5423,762,5427,757,5429,753,5431,744xm5698,412l5696,387,5691,360,5683,334,5672,307,5659,279,5642,252,5622,224,5600,197,5574,169,5551,147,5528,128,5505,112,5483,98,5462,87,5441,77,5420,70,5399,64,5379,60,5359,58,5339,56,5320,56,5301,57,5282,59,5246,63,5192,71,5157,75,5140,77,5123,77,5106,76,5089,74,5073,71,5056,66,5039,60,5023,51,5007,41,4990,28,4974,13,4963,1,4953,-10,4945,-22,4937,-34,4930,-47,4924,-59,4920,-71,4917,-83,4915,-95,4915,-107,4916,-120,4918,-132,4922,-143,4928,-154,4936,-165,4945,-175,4957,-186,4968,-194,4980,-201,4993,-207,5006,-210,5019,-213,5031,-216,5043,-217,5065,-219,5095,-220,5102,-222,5107,-226,5107,-232,5105,-239,5094,-253,5084,-265,5057,-293,5046,-302,5034,-311,5027,-315,5014,-320,5008,-321,4998,-321,4984,-320,4973,-319,4963,-316,4941,-311,4930,-307,4919,-303,4909,-298,4898,-292,4888,-286,4878,-279,4870,-272,4861,-264,4846,-248,4834,-230,4824,-212,4816,-192,4810,-171,4807,-150,4806,-128,4808,-105,4813,-82,4820,-58,4829,-34,4842,-10,4857,15,4874,39,4895,64,4918,88,4941,111,4964,130,4987,146,5009,160,5031,171,5052,181,5073,189,5093,195,5113,199,5133,202,5153,203,5172,204,5191,203,5210,202,5246,197,5317,187,5335,185,5352,184,5368,184,5385,184,5401,187,5418,190,5435,195,5451,201,5468,209,5484,220,5501,233,5517,248,5532,264,5545,279,5556,294,5565,310,5573,325,5579,340,5584,355,5587,370,5588,384,5588,398,5586,412,5582,426,5577,439,5571,451,5562,462,5553,473,5538,486,5524,497,5509,505,5493,511,5477,517,5462,521,5448,524,5434,526,5421,527,5409,528,5397,528,5374,527,5365,529,5360,534,5359,537,5359,543,5360,547,5365,556,5369,562,5387,581,5405,599,5413,607,5421,613,5428,618,5436,625,5445,628,5453,630,5460,632,5471,633,5496,631,5508,630,5520,627,5533,624,5546,621,5559,616,5573,610,5586,604,5600,596,5613,587,5626,577,5638,565,5654,547,5668,528,5680,507,5689,485,5695,461,5698,437,5698,412xm5942,232l5942,228,5940,221,5937,218,5934,215,5182,-537,5179,-539,5172,-542,5168,-542,5164,-541,5156,-538,5151,-535,5140,-527,5128,-515,5124,-509,5120,-505,5115,-495,5114,-491,5113,-487,5113,-483,5115,-476,5117,-472,5872,283,5876,285,5883,288,5886,288,5890,287,5894,286,5904,281,5915,273,5927,260,5935,250,5938,244,5940,240,5942,2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2.480011pt;margin-top:-48.720482pt;width:48.9pt;height:48.9pt;mso-position-horizontal-relative:page;mso-position-vertical-relative:paragraph;z-index:-25393152" coordorigin="5250,-974" coordsize="978,978" path="m5603,-974l5596,-974,5593,-973,5251,-631,5250,-628,5250,-625,5250,-621,5251,-618,5256,-608,5260,-602,5265,-597,5271,-590,5277,-583,5292,-567,5299,-561,5306,-556,5311,-551,5317,-547,5326,-543,5329,-542,5336,-541,5339,-543,5478,-682,6157,-2,6161,0,6168,3,6171,3,6175,2,6179,1,6225,-45,6226,-49,6227,-53,6227,-56,6224,-63,6222,-67,5542,-746,5681,-885,5683,-888,5683,-891,5682,-899,5679,-903,5677,-907,5673,-913,5657,-932,5649,-939,5641,-947,5622,-964,5616,-968,5607,-973,5603,-974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2"/>
        </w:rPr>
        <w:t>Sources:</w:t>
      </w:r>
      <w:r>
        <w:rPr>
          <w:i/>
          <w:spacing w:val="14"/>
          <w:sz w:val="22"/>
        </w:rPr>
        <w:t> </w:t>
      </w:r>
      <w:r>
        <w:rPr>
          <w:sz w:val="22"/>
        </w:rPr>
        <w:t>Computed</w:t>
      </w:r>
      <w:r>
        <w:rPr>
          <w:spacing w:val="15"/>
          <w:sz w:val="22"/>
        </w:rPr>
        <w:t> </w:t>
      </w:r>
      <w:r>
        <w:rPr>
          <w:sz w:val="22"/>
        </w:rPr>
        <w:t>from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IMF,</w:t>
      </w:r>
      <w:r>
        <w:rPr>
          <w:spacing w:val="14"/>
          <w:sz w:val="22"/>
        </w:rPr>
        <w:t> </w:t>
      </w:r>
      <w:r>
        <w:rPr>
          <w:sz w:val="22"/>
        </w:rPr>
        <w:t>International</w:t>
      </w:r>
      <w:r>
        <w:rPr>
          <w:spacing w:val="15"/>
          <w:sz w:val="22"/>
        </w:rPr>
        <w:t> </w:t>
      </w:r>
      <w:r>
        <w:rPr>
          <w:sz w:val="22"/>
        </w:rPr>
        <w:t>Financial</w:t>
      </w:r>
      <w:r>
        <w:rPr>
          <w:spacing w:val="15"/>
          <w:sz w:val="22"/>
        </w:rPr>
        <w:t> </w:t>
      </w:r>
      <w:r>
        <w:rPr>
          <w:sz w:val="22"/>
        </w:rPr>
        <w:t>Statistics</w:t>
      </w:r>
      <w:r>
        <w:rPr>
          <w:spacing w:val="13"/>
          <w:sz w:val="22"/>
        </w:rPr>
        <w:t> </w:t>
      </w:r>
      <w:r>
        <w:rPr>
          <w:sz w:val="22"/>
        </w:rPr>
        <w:t>(IFS)</w:t>
      </w:r>
      <w:r>
        <w:rPr>
          <w:spacing w:val="15"/>
          <w:sz w:val="22"/>
        </w:rPr>
        <w:t> </w:t>
      </w:r>
      <w:r>
        <w:rPr>
          <w:sz w:val="22"/>
        </w:rPr>
        <w:t>yearly</w:t>
      </w:r>
      <w:r>
        <w:rPr>
          <w:spacing w:val="12"/>
          <w:sz w:val="22"/>
        </w:rPr>
        <w:t> </w:t>
      </w:r>
      <w:r>
        <w:rPr>
          <w:sz w:val="22"/>
        </w:rPr>
        <w:t>books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IMF</w:t>
      </w:r>
      <w:r>
        <w:rPr>
          <w:spacing w:val="-52"/>
          <w:sz w:val="22"/>
        </w:rPr>
        <w:t> </w:t>
      </w:r>
      <w:r>
        <w:rPr>
          <w:sz w:val="22"/>
        </w:rPr>
        <w:t>CD-ROM (2010).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636" w:lineRule="auto"/>
        <w:ind w:left="3601" w:right="3786"/>
      </w:pPr>
      <w:r>
        <w:rPr/>
        <w:drawing>
          <wp:anchor distT="0" distB="0" distL="0" distR="0" allowOverlap="1" layoutInCell="1" locked="0" behindDoc="1" simplePos="0" relativeHeight="477924352">
            <wp:simplePos x="0" y="0"/>
            <wp:positionH relativeFrom="page">
              <wp:posOffset>1485138</wp:posOffset>
            </wp:positionH>
            <wp:positionV relativeFrom="paragraph">
              <wp:posOffset>805183</wp:posOffset>
            </wp:positionV>
            <wp:extent cx="5102225" cy="5044439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 THREE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r>
        <w:rPr/>
        <w:t>REVIEW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t>Studying exchange rate dynamics and the balance of payments is appropriate for many</w:t>
      </w:r>
      <w:r>
        <w:rPr>
          <w:spacing w:val="1"/>
        </w:rPr>
        <w:t> </w:t>
      </w:r>
      <w:r>
        <w:rPr/>
        <w:t>developing economies where, especially trade and foreign investment inflows continue to</w:t>
      </w:r>
      <w:r>
        <w:rPr>
          <w:spacing w:val="1"/>
        </w:rPr>
        <w:t> </w:t>
      </w:r>
      <w:r>
        <w:rPr/>
        <w:t>drive balance</w:t>
      </w:r>
      <w:r>
        <w:rPr>
          <w:spacing w:val="1"/>
        </w:rPr>
        <w:t> </w:t>
      </w:r>
      <w:r>
        <w:rPr/>
        <w:t>of payments account.</w:t>
      </w:r>
      <w:r>
        <w:rPr>
          <w:spacing w:val="1"/>
        </w:rPr>
        <w:t> </w:t>
      </w:r>
      <w:r>
        <w:rPr/>
        <w:t>These interrelationships among exchange</w:t>
      </w:r>
      <w:r>
        <w:rPr>
          <w:spacing w:val="60"/>
        </w:rPr>
        <w:t> </w:t>
      </w:r>
      <w:r>
        <w:rPr/>
        <w:t>rate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the foreign sectors have direct bearing on the domestic economy through consumer price</w:t>
      </w:r>
      <w:r>
        <w:rPr>
          <w:spacing w:val="1"/>
        </w:rPr>
        <w:t> </w:t>
      </w:r>
      <w:r>
        <w:rPr/>
        <w:t>responses.</w:t>
      </w:r>
      <w:r>
        <w:rPr>
          <w:spacing w:val="60"/>
        </w:rPr>
        <w:t> </w:t>
      </w:r>
      <w:r>
        <w:rPr/>
        <w:t>This chapter is a review of related studies in these areas.   It is divided into</w:t>
      </w:r>
      <w:r>
        <w:rPr>
          <w:spacing w:val="1"/>
        </w:rPr>
        <w:t> </w:t>
      </w:r>
      <w:r>
        <w:rPr/>
        <w:t>four sub-sections.</w:t>
      </w:r>
      <w:r>
        <w:rPr>
          <w:spacing w:val="1"/>
        </w:rPr>
        <w:t> </w:t>
      </w:r>
      <w:r>
        <w:rPr/>
        <w:t>Sub-section one is a general view on exchange rate movements and the</w:t>
      </w:r>
      <w:r>
        <w:rPr>
          <w:spacing w:val="-57"/>
        </w:rPr>
        <w:t> </w:t>
      </w:r>
      <w:r>
        <w:rPr/>
        <w:t>balance of payments, while evidence on the relationship between exchange rate and the</w:t>
      </w:r>
      <w:r>
        <w:rPr>
          <w:spacing w:val="1"/>
        </w:rPr>
        <w:t> </w:t>
      </w:r>
      <w:r>
        <w:rPr/>
        <w:t>current account is contained in sub-section two.</w:t>
      </w:r>
      <w:r>
        <w:rPr>
          <w:spacing w:val="1"/>
        </w:rPr>
        <w:t> </w:t>
      </w:r>
      <w:r>
        <w:rPr/>
        <w:t>Exchange rate and the financial account;</w:t>
      </w:r>
      <w:r>
        <w:rPr>
          <w:spacing w:val="1"/>
        </w:rPr>
        <w:t> </w:t>
      </w:r>
      <w:r>
        <w:rPr/>
        <w:t>and exchange rate pass-through to consumer prices are in sub-sections three and four,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51" w:id="23"/>
      <w:r>
        <w:rPr/>
        <w:t>Exchange</w:t>
      </w:r>
      <w:r>
        <w:rPr>
          <w:spacing w:val="-3"/>
        </w:rPr>
        <w:t> </w:t>
      </w:r>
      <w:r>
        <w:rPr/>
        <w:t>Rates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23"/>
      <w:r>
        <w:rPr/>
        <w:t>Payments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t>As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(IMF),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balance of payments</w:t>
      </w:r>
      <w:r>
        <w:rPr>
          <w:vertAlign w:val="superscript"/>
        </w:rPr>
        <w:t>14</w:t>
      </w:r>
      <w:r>
        <w:rPr>
          <w:vertAlign w:val="baseline"/>
        </w:rPr>
        <w:t> is a statistical statement that systematically summarizes, for a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 time period, the economic transactions of a country with the rest of the world.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categorizes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goods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exported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imported, and its level of borrowing from or lending to the rest of the world and also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level of investments.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net of all these transactions is matched by a change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country‘s international monetary reserves.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countries have always been heavily</w:t>
      </w:r>
      <w:r>
        <w:rPr>
          <w:spacing w:val="1"/>
          <w:vertAlign w:val="baseline"/>
        </w:rPr>
        <w:t> </w:t>
      </w:r>
      <w:r>
        <w:rPr>
          <w:vertAlign w:val="baseline"/>
        </w:rPr>
        <w:t>reliant</w:t>
      </w:r>
      <w:r>
        <w:rPr>
          <w:spacing w:val="12"/>
          <w:vertAlign w:val="baseline"/>
        </w:rPr>
        <w:t> </w:t>
      </w:r>
      <w:r>
        <w:rPr>
          <w:vertAlign w:val="baseline"/>
        </w:rPr>
        <w:t>on</w:t>
      </w:r>
      <w:r>
        <w:rPr>
          <w:spacing w:val="13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3"/>
          <w:vertAlign w:val="baseline"/>
        </w:rPr>
        <w:t> </w:t>
      </w:r>
      <w:r>
        <w:rPr>
          <w:vertAlign w:val="baseline"/>
        </w:rPr>
        <w:t>trade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capital</w:t>
      </w:r>
      <w:r>
        <w:rPr>
          <w:spacing w:val="13"/>
          <w:vertAlign w:val="baseline"/>
        </w:rPr>
        <w:t> </w:t>
      </w:r>
      <w:r>
        <w:rPr>
          <w:vertAlign w:val="baseline"/>
        </w:rPr>
        <w:t>inflows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fund</w:t>
      </w:r>
      <w:r>
        <w:rPr>
          <w:spacing w:val="12"/>
          <w:vertAlign w:val="baseline"/>
        </w:rPr>
        <w:t> </w:t>
      </w:r>
      <w:r>
        <w:rPr>
          <w:vertAlign w:val="baseline"/>
        </w:rPr>
        <w:t>new</w:t>
      </w:r>
      <w:r>
        <w:rPr>
          <w:spacing w:val="12"/>
          <w:vertAlign w:val="baseline"/>
        </w:rPr>
        <w:t> </w:t>
      </w:r>
      <w:r>
        <w:rPr>
          <w:vertAlign w:val="baseline"/>
        </w:rPr>
        <w:t>investments,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before="5"/>
        <w:rPr>
          <w:sz w:val="25"/>
        </w:rPr>
      </w:pPr>
    </w:p>
    <w:p>
      <w:pPr>
        <w:spacing w:before="120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.455911pt;width:144.020pt;height:.72003pt;mso-position-horizontal-relative:page;mso-position-vertical-relative:paragraph;z-index:-2539161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Source: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Balance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Payments Manual,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IMF.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Appendix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classifications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BoP)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t>payments is, therefore, seen as an important indicator of a country‘s economic strength.</w:t>
      </w:r>
      <w:r>
        <w:rPr>
          <w:spacing w:val="1"/>
        </w:rPr>
        <w:t> </w:t>
      </w:r>
      <w:r>
        <w:rPr/>
        <w:t>The significance of the BoP position (a deficit or surplus) has changed quite significantly</w:t>
      </w:r>
      <w:r>
        <w:rPr>
          <w:spacing w:val="1"/>
        </w:rPr>
        <w:t> </w:t>
      </w:r>
      <w:r>
        <w:rPr/>
        <w:t>since the advent of the floating exchange rate system following the collapse of the Bretton</w:t>
      </w:r>
      <w:r>
        <w:rPr>
          <w:spacing w:val="-57"/>
        </w:rPr>
        <w:t> </w:t>
      </w:r>
      <w:r>
        <w:rPr/>
        <w:t>Woods institution in the 1970s.</w:t>
      </w:r>
      <w:r>
        <w:rPr>
          <w:spacing w:val="1"/>
        </w:rPr>
        <w:t> </w:t>
      </w:r>
      <w:r>
        <w:rPr/>
        <w:t>Thus, exchange rate behaviour has great influence on the</w:t>
      </w:r>
      <w:r>
        <w:rPr>
          <w:spacing w:val="1"/>
        </w:rPr>
        <w:t> </w:t>
      </w:r>
      <w:r>
        <w:rPr/>
        <w:t>BoP</w:t>
      </w:r>
      <w:r>
        <w:rPr>
          <w:spacing w:val="-1"/>
        </w:rPr>
        <w:t> </w:t>
      </w:r>
      <w:r>
        <w:rPr/>
        <w:t>position of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economy.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25376">
            <wp:simplePos x="0" y="0"/>
            <wp:positionH relativeFrom="page">
              <wp:posOffset>1485138</wp:posOffset>
            </wp:positionH>
            <wp:positionV relativeFrom="paragraph">
              <wp:posOffset>129071</wp:posOffset>
            </wp:positionV>
            <wp:extent cx="5102225" cy="5044439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Traditionally, the BoP statistics comprise three components, the current, financial and</w:t>
      </w:r>
      <w:r>
        <w:rPr>
          <w:spacing w:val="1"/>
        </w:rPr>
        <w:t> </w:t>
      </w:r>
      <w:r>
        <w:rPr/>
        <w:t>capital accounts; and there is a considerable body of literature on the relationship between</w:t>
      </w:r>
      <w:r>
        <w:rPr>
          <w:spacing w:val="-57"/>
        </w:rPr>
        <w:t> </w:t>
      </w:r>
      <w:r>
        <w:rPr/>
        <w:t>exchange rates and each of these account balances.</w:t>
      </w:r>
      <w:r>
        <w:rPr>
          <w:spacing w:val="1"/>
        </w:rPr>
        <w:t> </w:t>
      </w:r>
      <w:r>
        <w:rPr/>
        <w:t>Some of which have been surveyed in</w:t>
      </w:r>
      <w:r>
        <w:rPr>
          <w:spacing w:val="-57"/>
        </w:rPr>
        <w:t> </w:t>
      </w:r>
      <w:r>
        <w:rPr/>
        <w:t>several papers.</w:t>
      </w:r>
      <w:r>
        <w:rPr>
          <w:vertAlign w:val="superscript"/>
        </w:rPr>
        <w:t>15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is, however, no consensus in the existing literature on the subject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3"/>
          <w:vertAlign w:val="baseline"/>
        </w:rPr>
        <w:t> </w:t>
      </w:r>
      <w:r>
        <w:rPr>
          <w:vertAlign w:val="baseline"/>
        </w:rPr>
        <w:t>relationships.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Mussa</w:t>
      </w:r>
      <w:r>
        <w:rPr>
          <w:spacing w:val="1"/>
        </w:rPr>
        <w:t> </w:t>
      </w:r>
      <w:r>
        <w:rPr/>
        <w:t>(1976)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approach to BoP analysis in a regime of floating exchange rates under a number of</w:t>
      </w:r>
      <w:r>
        <w:rPr>
          <w:spacing w:val="1"/>
        </w:rPr>
        <w:t> </w:t>
      </w:r>
      <w:r>
        <w:rPr/>
        <w:t>assumptions.</w:t>
      </w:r>
      <w:r>
        <w:rPr>
          <w:spacing w:val="1"/>
        </w:rPr>
        <w:t> </w:t>
      </w:r>
      <w:r>
        <w:rPr/>
        <w:t>That exchange rate is the relative price of different national monies, rather</w:t>
      </w:r>
      <w:r>
        <w:rPr>
          <w:spacing w:val="1"/>
        </w:rPr>
        <w:t> </w:t>
      </w:r>
      <w:r>
        <w:rPr/>
        <w:t>than national outputs, and is determined primarily by the demands and supplies of stocks</w:t>
      </w:r>
      <w:r>
        <w:rPr>
          <w:spacing w:val="1"/>
        </w:rPr>
        <w:t> </w:t>
      </w:r>
      <w:r>
        <w:rPr/>
        <w:t>of different national monies.</w:t>
      </w:r>
      <w:r>
        <w:rPr>
          <w:spacing w:val="1"/>
        </w:rPr>
        <w:t> </w:t>
      </w:r>
      <w:r>
        <w:rPr/>
        <w:t>Secondly, exchange rates are strongly influenced by asset</w:t>
      </w:r>
      <w:r>
        <w:rPr>
          <w:spacing w:val="1"/>
        </w:rPr>
        <w:t> </w:t>
      </w:r>
      <w:r>
        <w:rPr/>
        <w:t>holders‘ expectations of future exchange rates and these expectations are influenced by</w:t>
      </w:r>
      <w:r>
        <w:rPr>
          <w:spacing w:val="1"/>
        </w:rPr>
        <w:t> </w:t>
      </w:r>
      <w:r>
        <w:rPr/>
        <w:t>beliefs concerning the future course of monetary policy.</w:t>
      </w:r>
      <w:r>
        <w:rPr>
          <w:spacing w:val="1"/>
        </w:rPr>
        <w:t> </w:t>
      </w:r>
      <w:r>
        <w:rPr/>
        <w:t>Also, real factors as well as</w:t>
      </w:r>
      <w:r>
        <w:rPr>
          <w:spacing w:val="1"/>
        </w:rPr>
        <w:t> </w:t>
      </w:r>
      <w:r>
        <w:rPr/>
        <w:t>monetary factors are important in determining the behaviour</w:t>
      </w:r>
      <w:r>
        <w:rPr>
          <w:spacing w:val="1"/>
        </w:rPr>
        <w:t> </w:t>
      </w:r>
      <w:r>
        <w:rPr/>
        <w:t>of exchange rates.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developed a model with the assumption that exchange rate is fundamentally an asset price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proximately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money</w:t>
      </w:r>
      <w:r>
        <w:rPr>
          <w:spacing w:val="-3"/>
        </w:rPr>
        <w:t> </w:t>
      </w:r>
      <w:r>
        <w:rPr/>
        <w:t>and the</w:t>
      </w:r>
      <w:r>
        <w:rPr>
          <w:spacing w:val="1"/>
        </w:rPr>
        <w:t> </w:t>
      </w:r>
      <w:r>
        <w:rPr/>
        <w:t>stock of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money</w:t>
      </w:r>
      <w:r>
        <w:rPr>
          <w:spacing w:val="-3"/>
        </w:rPr>
        <w:t> </w:t>
      </w:r>
      <w:r>
        <w:rPr/>
        <w:t>available to be</w:t>
      </w:r>
      <w:r>
        <w:rPr>
          <w:spacing w:val="-1"/>
        </w:rPr>
        <w:t> </w:t>
      </w:r>
      <w:r>
        <w:rPr/>
        <w:t>held.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811" w:right="997"/>
        <w:jc w:val="both"/>
      </w:pPr>
      <w:r>
        <w:rPr/>
        <w:t>In emerging market economies, it is revealed by Jongwanich </w:t>
      </w:r>
      <w:r>
        <w:rPr>
          <w:i/>
        </w:rPr>
        <w:t>et al., </w:t>
      </w:r>
      <w:r>
        <w:rPr/>
        <w:t>(2013) that increases</w:t>
      </w:r>
      <w:r>
        <w:rPr>
          <w:spacing w:val="1"/>
        </w:rPr>
        <w:t> </w:t>
      </w:r>
      <w:r>
        <w:rPr/>
        <w:t>(declines)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inflows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(depreciation).</w:t>
      </w:r>
      <w:r>
        <w:rPr>
          <w:spacing w:val="1"/>
        </w:rPr>
        <w:t> </w:t>
      </w:r>
      <w:r>
        <w:rPr/>
        <w:t>But Edwards (1988, 1989) observed that the direction of the influence of</w:t>
      </w:r>
      <w:r>
        <w:rPr>
          <w:spacing w:val="1"/>
        </w:rPr>
        <w:t> </w:t>
      </w:r>
      <w:r>
        <w:rPr/>
        <w:t>exchange rate appreciation on investment flow has also remained vague.</w:t>
      </w:r>
      <w:r>
        <w:rPr>
          <w:spacing w:val="1"/>
        </w:rPr>
        <w:t> </w:t>
      </w:r>
      <w:r>
        <w:rPr/>
        <w:t>An appreciation</w:t>
      </w:r>
      <w:r>
        <w:rPr>
          <w:spacing w:val="-57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exchange</w:t>
      </w:r>
      <w:r>
        <w:rPr>
          <w:spacing w:val="39"/>
        </w:rPr>
        <w:t> </w:t>
      </w:r>
      <w:r>
        <w:rPr/>
        <w:t>rate</w:t>
      </w:r>
      <w:r>
        <w:rPr>
          <w:spacing w:val="40"/>
        </w:rPr>
        <w:t> </w:t>
      </w:r>
      <w:r>
        <w:rPr/>
        <w:t>may</w:t>
      </w:r>
      <w:r>
        <w:rPr>
          <w:spacing w:val="39"/>
        </w:rPr>
        <w:t> </w:t>
      </w:r>
      <w:r>
        <w:rPr/>
        <w:t>signal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strength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domestic</w:t>
      </w:r>
      <w:r>
        <w:rPr>
          <w:spacing w:val="42"/>
        </w:rPr>
        <w:t> </w:t>
      </w:r>
      <w:r>
        <w:rPr/>
        <w:t>economy,</w:t>
      </w:r>
      <w:r>
        <w:rPr>
          <w:spacing w:val="40"/>
        </w:rPr>
        <w:t> </w:t>
      </w:r>
      <w:r>
        <w:rPr/>
        <w:t>which</w:t>
      </w:r>
      <w:r>
        <w:rPr>
          <w:spacing w:val="40"/>
        </w:rPr>
        <w:t> </w:t>
      </w:r>
      <w:r>
        <w:rPr/>
        <w:t>further</w:t>
      </w:r>
    </w:p>
    <w:p>
      <w:pPr>
        <w:pStyle w:val="BodyText"/>
        <w:rPr>
          <w:sz w:val="18"/>
        </w:rPr>
      </w:pPr>
    </w:p>
    <w:p>
      <w:pPr>
        <w:spacing w:before="120"/>
        <w:ind w:left="811" w:right="995" w:firstLine="0"/>
        <w:jc w:val="both"/>
        <w:rPr>
          <w:sz w:val="20"/>
        </w:rPr>
      </w:pPr>
      <w:r>
        <w:rPr/>
        <w:pict>
          <v:rect style="position:absolute;margin-left:106.580002pt;margin-top:.455965pt;width:144.020pt;height:.71997pt;mso-position-horizontal-relative:page;mso-position-vertical-relative:paragraph;z-index:-2539059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15</w:t>
      </w:r>
      <w:r>
        <w:rPr>
          <w:sz w:val="20"/>
          <w:vertAlign w:val="baseline"/>
        </w:rPr>
        <w:t> Some include, Mussa (1976), Aghevli and Khan (1977), Ajayi (1975), Edwards (1988, 1989), Cottani et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al., (1990) for a group of developing countries, Ghura and Grennes (1993) for a panel of sub-Saharan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African economies, Mwega (1993) for Kenya, Elbadawi (1994) for Chile, Ghana and India, Amin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Awung (1997) for selected francophone countries, Aron et al. (1997) for South Africa, Egwaikhide (1999)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Nigeria,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Mungule (2004) for Zambia.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1002"/>
        <w:jc w:val="both"/>
      </w:pPr>
      <w:r>
        <w:rPr/>
        <w:t>increases net financial inflows. The ripple effect is a favourable (surplus) current account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Again, an appreciation of the domestic tends to decrease the relative value of</w:t>
      </w:r>
      <w:r>
        <w:rPr>
          <w:spacing w:val="1"/>
        </w:rPr>
        <w:t> </w:t>
      </w:r>
      <w:r>
        <w:rPr/>
        <w:t>financial inflows in domestic currency, while increasing the relative worth of financial</w:t>
      </w:r>
      <w:r>
        <w:rPr>
          <w:spacing w:val="1"/>
        </w:rPr>
        <w:t> </w:t>
      </w:r>
      <w:r>
        <w:rPr/>
        <w:t>outflows</w:t>
      </w:r>
      <w:r>
        <w:rPr>
          <w:spacing w:val="-1"/>
        </w:rPr>
        <w:t> </w:t>
      </w:r>
      <w:r>
        <w:rPr/>
        <w:t>in foreign currency.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26400">
            <wp:simplePos x="0" y="0"/>
            <wp:positionH relativeFrom="page">
              <wp:posOffset>1485138</wp:posOffset>
            </wp:positionH>
            <wp:positionV relativeFrom="paragraph">
              <wp:posOffset>391834</wp:posOffset>
            </wp:positionV>
            <wp:extent cx="5102225" cy="5044439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trade issues, Cooper</w:t>
      </w:r>
      <w:r>
        <w:rPr>
          <w:spacing w:val="60"/>
        </w:rPr>
        <w:t> </w:t>
      </w:r>
      <w:r>
        <w:rPr/>
        <w:t>(1976) considered devaluation of domestic currency might lead</w:t>
      </w:r>
      <w:r>
        <w:rPr>
          <w:spacing w:val="1"/>
        </w:rPr>
        <w:t> </w:t>
      </w:r>
      <w:r>
        <w:rPr/>
        <w:t>to</w:t>
      </w:r>
      <w:r>
        <w:rPr>
          <w:spacing w:val="16"/>
        </w:rPr>
        <w:t> </w:t>
      </w:r>
      <w:r>
        <w:rPr/>
        <w:t>higher</w:t>
      </w:r>
      <w:r>
        <w:rPr>
          <w:spacing w:val="17"/>
        </w:rPr>
        <w:t> </w:t>
      </w:r>
      <w:r>
        <w:rPr/>
        <w:t>exports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lower</w:t>
      </w:r>
      <w:r>
        <w:rPr>
          <w:spacing w:val="14"/>
        </w:rPr>
        <w:t> </w:t>
      </w:r>
      <w:r>
        <w:rPr/>
        <w:t>imports,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long</w:t>
      </w:r>
      <w:r>
        <w:rPr>
          <w:spacing w:val="16"/>
        </w:rPr>
        <w:t> </w:t>
      </w:r>
      <w:r>
        <w:rPr/>
        <w:t>run</w:t>
      </w:r>
      <w:r>
        <w:rPr>
          <w:spacing w:val="15"/>
        </w:rPr>
        <w:t> </w:t>
      </w:r>
      <w:r>
        <w:rPr/>
        <w:t>improves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overall</w:t>
      </w:r>
      <w:r>
        <w:rPr>
          <w:spacing w:val="17"/>
        </w:rPr>
        <w:t> </w:t>
      </w:r>
      <w:r>
        <w:rPr/>
        <w:t>balance</w:t>
      </w:r>
      <w:r>
        <w:rPr>
          <w:spacing w:val="-58"/>
        </w:rPr>
        <w:t> </w:t>
      </w:r>
      <w:r>
        <w:rPr/>
        <w:t>of payments position.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Cooper (1976) views, Sodersten (1989) hypothesized</w:t>
      </w:r>
      <w:r>
        <w:rPr>
          <w:spacing w:val="1"/>
        </w:rPr>
        <w:t> </w:t>
      </w:r>
      <w:r>
        <w:rPr/>
        <w:t>that devaluation of a country‘s currency makes imports more expensive in terms of the</w:t>
      </w:r>
      <w:r>
        <w:rPr>
          <w:spacing w:val="1"/>
        </w:rPr>
        <w:t> </w:t>
      </w:r>
      <w:r>
        <w:rPr/>
        <w:t>domestic currency and if not matched by a corresponding rise in export prices, the terms</w:t>
      </w:r>
      <w:r>
        <w:rPr>
          <w:spacing w:val="1"/>
        </w:rPr>
        <w:t> </w:t>
      </w:r>
      <w:r>
        <w:rPr/>
        <w:t>of trade would deteriorate.</w:t>
      </w:r>
      <w:r>
        <w:rPr>
          <w:spacing w:val="1"/>
        </w:rPr>
        <w:t> </w:t>
      </w:r>
      <w:r>
        <w:rPr/>
        <w:t>Deterioration in the terms of trade represents a loss of real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exacerbate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of the exchange rate weakens</w:t>
      </w:r>
      <w:r>
        <w:rPr>
          <w:spacing w:val="1"/>
        </w:rPr>
        <w:t> </w:t>
      </w:r>
      <w:r>
        <w:rPr/>
        <w:t>trade balance as</w:t>
      </w:r>
      <w:r>
        <w:rPr>
          <w:spacing w:val="1"/>
        </w:rPr>
        <w:t> </w:t>
      </w:r>
      <w:r>
        <w:rPr/>
        <w:t>exports</w:t>
      </w:r>
      <w:r>
        <w:rPr>
          <w:spacing w:val="1"/>
        </w:rPr>
        <w:t> </w:t>
      </w:r>
      <w:r>
        <w:rPr/>
        <w:t>become expensive in the international market while imports turn out to be relatively</w:t>
      </w:r>
      <w:r>
        <w:rPr>
          <w:spacing w:val="1"/>
        </w:rPr>
        <w:t> </w:t>
      </w:r>
      <w:r>
        <w:rPr/>
        <w:t>cheaper</w:t>
      </w:r>
      <w:r>
        <w:rPr>
          <w:spacing w:val="-1"/>
        </w:rPr>
        <w:t> </w:t>
      </w:r>
      <w:r>
        <w:rPr/>
        <w:t>(Kandil, 2009).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7"/>
        <w:jc w:val="both"/>
      </w:pPr>
      <w:r>
        <w:rPr/>
        <w:t>In Africa‘s situation, Obadan and Nwobike (1991) pointed out that adopting multiple</w:t>
      </w:r>
      <w:r>
        <w:rPr>
          <w:spacing w:val="1"/>
        </w:rPr>
        <w:t> </w:t>
      </w:r>
      <w:r>
        <w:rPr/>
        <w:t>exchange rate systems as an option to devaluation have helped countries to solve their</w:t>
      </w:r>
      <w:r>
        <w:rPr>
          <w:spacing w:val="1"/>
        </w:rPr>
        <w:t> </w:t>
      </w:r>
      <w:r>
        <w:rPr/>
        <w:t>balance of payments problem.</w:t>
      </w:r>
      <w:r>
        <w:rPr>
          <w:spacing w:val="1"/>
        </w:rPr>
        <w:t> </w:t>
      </w:r>
      <w:r>
        <w:rPr/>
        <w:t>This is, however, viewed as too pricey from a political and</w:t>
      </w:r>
      <w:r>
        <w:rPr>
          <w:spacing w:val="-57"/>
        </w:rPr>
        <w:t> </w:t>
      </w:r>
      <w:r>
        <w:rPr/>
        <w:t>societal point of view.</w:t>
      </w:r>
      <w:r>
        <w:rPr>
          <w:spacing w:val="1"/>
        </w:rPr>
        <w:t> </w:t>
      </w:r>
      <w:r>
        <w:rPr/>
        <w:t>Thus, a rationalized and proper administered dual exchange rate</w:t>
      </w:r>
      <w:r>
        <w:rPr>
          <w:spacing w:val="1"/>
        </w:rPr>
        <w:t> </w:t>
      </w:r>
      <w:r>
        <w:rPr/>
        <w:t>system can be very helpful to developing countries for ensuring the contentment of basic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viability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6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mobilization.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11" w:right="999"/>
        <w:jc w:val="both"/>
      </w:pPr>
      <w:r>
        <w:rPr/>
        <w:t>The empirical enquiry of Silumbu (1995), with particular reference to the Malawian</w:t>
      </w:r>
      <w:r>
        <w:rPr>
          <w:spacing w:val="1"/>
        </w:rPr>
        <w:t> </w:t>
      </w:r>
      <w:r>
        <w:rPr/>
        <w:t>economy that employed the Monetary Approach to Balance of Payments (MABP), is very</w:t>
      </w:r>
      <w:r>
        <w:rPr>
          <w:spacing w:val="-57"/>
        </w:rPr>
        <w:t> </w:t>
      </w:r>
      <w:r>
        <w:rPr/>
        <w:t>illuminating.</w:t>
      </w:r>
      <w:r>
        <w:rPr>
          <w:spacing w:val="1"/>
        </w:rPr>
        <w:t> </w:t>
      </w:r>
      <w:r>
        <w:rPr/>
        <w:t>The researcher‘s main concern was the effects of the exchange rate, relative</w:t>
      </w:r>
      <w:r>
        <w:rPr>
          <w:spacing w:val="-57"/>
        </w:rPr>
        <w:t> </w:t>
      </w:r>
      <w:r>
        <w:rPr/>
        <w:t>prices and domestic credit on the overall BoP within the reserve flow equation (RFE)</w:t>
      </w:r>
      <w:r>
        <w:rPr>
          <w:spacing w:val="1"/>
        </w:rPr>
        <w:t> </w:t>
      </w:r>
      <w:r>
        <w:rPr/>
        <w:t>variant of the MABP.</w:t>
      </w:r>
      <w:r>
        <w:rPr>
          <w:spacing w:val="1"/>
        </w:rPr>
        <w:t> </w:t>
      </w:r>
      <w:r>
        <w:rPr/>
        <w:t>The estimation results, using both quarterly and annual data,</w:t>
      </w:r>
      <w:r>
        <w:rPr>
          <w:spacing w:val="1"/>
        </w:rPr>
        <w:t> </w:t>
      </w:r>
      <w:r>
        <w:rPr/>
        <w:t>showed that the price exerted a significant lagged impact on the overall BoP.</w:t>
      </w:r>
      <w:r>
        <w:rPr>
          <w:spacing w:val="1"/>
        </w:rPr>
        <w:t> </w:t>
      </w:r>
      <w:r>
        <w:rPr/>
        <w:t>The impact</w:t>
      </w:r>
      <w:r>
        <w:rPr>
          <w:spacing w:val="1"/>
        </w:rPr>
        <w:t> </w:t>
      </w:r>
      <w:r>
        <w:rPr/>
        <w:t>of the non-tradeables price on the BoP was stronger from the relative price side than from</w:t>
      </w:r>
      <w:r>
        <w:rPr>
          <w:spacing w:val="-57"/>
        </w:rPr>
        <w:t> </w:t>
      </w:r>
      <w:r>
        <w:rPr/>
        <w:t>the money</w:t>
      </w:r>
      <w:r>
        <w:rPr>
          <w:spacing w:val="-3"/>
        </w:rPr>
        <w:t> </w:t>
      </w:r>
      <w:r>
        <w:rPr/>
        <w:t>demand side.</w:t>
      </w:r>
      <w:r>
        <w:rPr>
          <w:spacing w:val="6"/>
        </w:rPr>
        <w:t> </w:t>
      </w:r>
      <w:r>
        <w:rPr/>
        <w:t>The results</w:t>
      </w:r>
      <w:r>
        <w:rPr>
          <w:spacing w:val="2"/>
        </w:rPr>
        <w:t> </w:t>
      </w:r>
      <w:r>
        <w:rPr/>
        <w:t>of the</w:t>
      </w:r>
      <w:r>
        <w:rPr>
          <w:spacing w:val="1"/>
        </w:rPr>
        <w:t> </w:t>
      </w:r>
      <w:r>
        <w:rPr/>
        <w:t>Granger-Causality</w:t>
      </w:r>
      <w:r>
        <w:rPr>
          <w:spacing w:val="-3"/>
        </w:rPr>
        <w:t> </w:t>
      </w:r>
      <w:r>
        <w:rPr/>
        <w:t>tests</w:t>
      </w:r>
      <w:r>
        <w:rPr>
          <w:spacing w:val="1"/>
        </w:rPr>
        <w:t> </w:t>
      </w:r>
      <w:r>
        <w:rPr/>
        <w:t>for credit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reserves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26912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were diverse. However, unidirectional causality was established from private sector credit</w:t>
      </w:r>
      <w:r>
        <w:rPr>
          <w:spacing w:val="-57"/>
        </w:rPr>
        <w:t> </w:t>
      </w:r>
      <w:r>
        <w:rPr/>
        <w:t>to reserves. The conclusion about the long-run causes of balance of payments fluctuations</w:t>
      </w:r>
      <w:r>
        <w:rPr>
          <w:spacing w:val="-57"/>
        </w:rPr>
        <w:t> </w:t>
      </w:r>
      <w:r>
        <w:rPr/>
        <w:t>remained uncertain.</w:t>
      </w:r>
      <w:r>
        <w:rPr>
          <w:spacing w:val="1"/>
        </w:rPr>
        <w:t> </w:t>
      </w:r>
      <w:r>
        <w:rPr/>
        <w:t>Therefore, no policy conclusion could be inferred from the study. By</w:t>
      </w:r>
      <w:r>
        <w:rPr>
          <w:spacing w:val="-57"/>
        </w:rPr>
        <w:t> </w:t>
      </w:r>
      <w:r>
        <w:rPr/>
        <w:t>applying cointegration and error correction mechanism econometric method using annual</w:t>
      </w:r>
      <w:r>
        <w:rPr>
          <w:spacing w:val="1"/>
        </w:rPr>
        <w:t> </w:t>
      </w:r>
      <w:r>
        <w:rPr/>
        <w:t>data for the period 1981 to 2002, Nwani (2005) asserted that exchange rate movements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inflation greatly</w:t>
      </w:r>
      <w:r>
        <w:rPr>
          <w:spacing w:val="-5"/>
        </w:rPr>
        <w:t> </w:t>
      </w:r>
      <w:r>
        <w:rPr/>
        <w:t>influenced Nigeria‘s balance</w:t>
      </w:r>
      <w:r>
        <w:rPr>
          <w:spacing w:val="1"/>
        </w:rPr>
        <w:t> </w:t>
      </w:r>
      <w:r>
        <w:rPr/>
        <w:t>of payments.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50" w:id="24"/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bookmarkEnd w:id="24"/>
      <w:r>
        <w:rPr/>
        <w:t>Balance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The current account comprises of four components</w:t>
      </w:r>
      <w:r>
        <w:rPr>
          <w:vertAlign w:val="superscript"/>
        </w:rPr>
        <w:t>16</w:t>
      </w:r>
      <w:r>
        <w:rPr>
          <w:vertAlign w:val="baseline"/>
        </w:rPr>
        <w:t> but the aggregation of trade balance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deal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attention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empirical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components in both developed and developing economies. The influence of exchange rate</w:t>
      </w:r>
      <w:r>
        <w:rPr>
          <w:spacing w:val="-57"/>
          <w:vertAlign w:val="baseline"/>
        </w:rPr>
        <w:t> </w:t>
      </w:r>
      <w:r>
        <w:rPr>
          <w:vertAlign w:val="baseline"/>
        </w:rPr>
        <w:t>movements on the current account balance takes place through these components.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instance, exchange rate depreciation is assumed to improve trade balance, which might</w:t>
      </w:r>
      <w:r>
        <w:rPr>
          <w:spacing w:val="1"/>
          <w:vertAlign w:val="baseline"/>
        </w:rPr>
        <w:t> </w:t>
      </w:r>
      <w:r>
        <w:rPr>
          <w:vertAlign w:val="baseline"/>
        </w:rPr>
        <w:t>lead to a surplus in the current account balance; and a current account surplus in any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 reduces a country‘s total net foreign debts and further improves its 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 position.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5"/>
        <w:jc w:val="both"/>
      </w:pPr>
      <w:r>
        <w:rPr/>
        <w:t>In this section, a review of exchange rates and trade balance is provided.</w:t>
      </w:r>
      <w:r>
        <w:rPr>
          <w:spacing w:val="1"/>
        </w:rPr>
        <w:t> </w:t>
      </w:r>
      <w:r>
        <w:rPr/>
        <w:t>Even though</w:t>
      </w:r>
      <w:r>
        <w:rPr>
          <w:spacing w:val="1"/>
        </w:rPr>
        <w:t> </w:t>
      </w:r>
      <w:r>
        <w:rPr/>
        <w:t>remittances are not adequately defined in the balance of payments, but</w:t>
      </w:r>
      <w:r>
        <w:rPr>
          <w:spacing w:val="61"/>
        </w:rPr>
        <w:t> </w:t>
      </w:r>
      <w:r>
        <w:rPr/>
        <w:t>this type of</w:t>
      </w:r>
      <w:r>
        <w:rPr>
          <w:spacing w:val="1"/>
        </w:rPr>
        <w:t> </w:t>
      </w:r>
      <w:r>
        <w:rPr/>
        <w:t>inflows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especially developing countries</w:t>
      </w:r>
      <w:r>
        <w:rPr>
          <w:spacing w:val="1"/>
        </w:rPr>
        <w:t> </w:t>
      </w:r>
      <w:r>
        <w:rPr/>
        <w:t>where domestic</w:t>
      </w:r>
      <w:r>
        <w:rPr>
          <w:spacing w:val="1"/>
        </w:rPr>
        <w:t> </w:t>
      </w:r>
      <w:r>
        <w:rPr/>
        <w:t>economic shocks,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instability,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strife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This is also evident among others, in the inflows of workers‘ remittances from</w:t>
      </w:r>
      <w:r>
        <w:rPr>
          <w:spacing w:val="-57"/>
        </w:rPr>
        <w:t> </w:t>
      </w:r>
      <w:r>
        <w:rPr/>
        <w:t>migrants abroad. Hence, discussion on exchange rate behaviour and remittances are also</w:t>
      </w:r>
      <w:r>
        <w:rPr>
          <w:spacing w:val="1"/>
        </w:rPr>
        <w:t> </w:t>
      </w:r>
      <w:r>
        <w:rPr/>
        <w:t>provided.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21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.505911pt;width:144.020pt;height:.72003pt;mso-position-horizontal-relative:page;mso-position-vertical-relative:paragraph;z-index:-2538905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balances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goods,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services,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investment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income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current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transfers.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49" w:id="25"/>
      <w:r>
        <w:rPr/>
        <w:t>Exchange</w:t>
      </w:r>
      <w:r>
        <w:rPr>
          <w:spacing w:val="-2"/>
        </w:rPr>
        <w:t> </w:t>
      </w:r>
      <w:r>
        <w:rPr/>
        <w:t>Rates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Trade</w:t>
      </w:r>
      <w:r>
        <w:rPr>
          <w:spacing w:val="-2"/>
        </w:rPr>
        <w:t> </w:t>
      </w:r>
      <w:bookmarkEnd w:id="25"/>
      <w:r>
        <w:rPr/>
        <w:t>Balance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27936">
            <wp:simplePos x="0" y="0"/>
            <wp:positionH relativeFrom="page">
              <wp:posOffset>1485138</wp:posOffset>
            </wp:positionH>
            <wp:positionV relativeFrom="paragraph">
              <wp:posOffset>1180631</wp:posOffset>
            </wp:positionV>
            <wp:extent cx="5102225" cy="5044439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no apprehensiveness that in both developed and developing economies, trade</w:t>
      </w:r>
      <w:r>
        <w:rPr>
          <w:spacing w:val="1"/>
        </w:rPr>
        <w:t> </w:t>
      </w:r>
      <w:r>
        <w:rPr/>
        <w:t>balance has gained more importance in empirical works than the other three components</w:t>
      </w:r>
      <w:r>
        <w:rPr>
          <w:spacing w:val="1"/>
        </w:rPr>
        <w:t> </w:t>
      </w:r>
      <w:r>
        <w:rPr/>
        <w:t>of the current account.</w:t>
      </w:r>
      <w:r>
        <w:rPr>
          <w:spacing w:val="1"/>
        </w:rPr>
        <w:t> </w:t>
      </w:r>
      <w:r>
        <w:rPr/>
        <w:t>A significant reason for research works being tilted towards trade</w:t>
      </w:r>
      <w:r>
        <w:rPr>
          <w:spacing w:val="1"/>
        </w:rPr>
        <w:t> </w:t>
      </w:r>
      <w:r>
        <w:rPr/>
        <w:t>balance is that exchange rate policies undertaken by monetary authorities are deeply</w:t>
      </w:r>
      <w:r>
        <w:rPr>
          <w:spacing w:val="1"/>
        </w:rPr>
        <w:t> </w:t>
      </w:r>
      <w:r>
        <w:rPr/>
        <w:t>observed in trade behaviour.</w:t>
      </w:r>
      <w:r>
        <w:rPr>
          <w:spacing w:val="60"/>
        </w:rPr>
        <w:t> </w:t>
      </w:r>
      <w:r>
        <w:rPr/>
        <w:t>This clearly paved way to the popular elasticity approach,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Marshall-Lerner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J-curve</w:t>
      </w:r>
      <w:r>
        <w:rPr>
          <w:spacing w:val="1"/>
        </w:rPr>
        <w:t> </w:t>
      </w:r>
      <w:r>
        <w:rPr/>
        <w:t>phenomenon.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phenomena postulate that, the sum of the elasticities of both imports and exports must be</w:t>
      </w:r>
      <w:r>
        <w:rPr>
          <w:spacing w:val="1"/>
        </w:rPr>
        <w:t> </w:t>
      </w:r>
      <w:r>
        <w:rPr/>
        <w:t>greater than or equal to unity for exchange rate devaluation (or depreciation) to positively</w:t>
      </w:r>
      <w:r>
        <w:rPr>
          <w:spacing w:val="1"/>
        </w:rPr>
        <w:t> </w:t>
      </w:r>
      <w:r>
        <w:rPr/>
        <w:t>influence trade performance and hence the BoP.</w:t>
      </w:r>
      <w:r>
        <w:rPr>
          <w:spacing w:val="1"/>
        </w:rPr>
        <w:t> </w:t>
      </w:r>
      <w:r>
        <w:rPr/>
        <w:t>In the case of the J-curve phenomenon,</w:t>
      </w:r>
      <w:r>
        <w:rPr>
          <w:spacing w:val="1"/>
        </w:rPr>
        <w:t> </w:t>
      </w:r>
      <w:r>
        <w:rPr/>
        <w:t>exchange rate depreciation will first worsen trade performance before taking a gradual</w:t>
      </w:r>
      <w:r>
        <w:rPr>
          <w:spacing w:val="1"/>
        </w:rPr>
        <w:t> </w:t>
      </w:r>
      <w:r>
        <w:rPr/>
        <w:t>improvement.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188" w:after="0"/>
        <w:ind w:left="1531" w:right="0" w:hanging="721"/>
        <w:jc w:val="left"/>
      </w:pPr>
      <w:bookmarkStart w:name="_TOC_250048" w:id="26"/>
      <w:r>
        <w:rPr/>
        <w:t>Empirical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 Exchange</w:t>
      </w:r>
      <w:r>
        <w:rPr>
          <w:spacing w:val="-3"/>
        </w:rPr>
        <w:t> </w:t>
      </w:r>
      <w:r>
        <w:rPr/>
        <w:t>Rates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Trade</w:t>
      </w:r>
      <w:r>
        <w:rPr>
          <w:spacing w:val="-3"/>
        </w:rPr>
        <w:t> </w:t>
      </w:r>
      <w:bookmarkEnd w:id="26"/>
      <w:r>
        <w:rPr/>
        <w:t>Balance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Quite a number of methodologies and techniques have been employed in</w:t>
      </w:r>
      <w:r>
        <w:rPr>
          <w:spacing w:val="60"/>
        </w:rPr>
        <w:t> </w:t>
      </w:r>
      <w:r>
        <w:rPr/>
        <w:t>several studies</w:t>
      </w:r>
      <w:r>
        <w:rPr>
          <w:spacing w:val="1"/>
        </w:rPr>
        <w:t> </w:t>
      </w:r>
      <w:r>
        <w:rPr/>
        <w:t>to empirically explain the relationship between exchange rate movements and the trade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Studies such as those by Himarios (1985) on ten countries, Bahmani-Oskooee</w:t>
      </w:r>
      <w:r>
        <w:rPr>
          <w:spacing w:val="1"/>
        </w:rPr>
        <w:t> </w:t>
      </w:r>
      <w:r>
        <w:rPr/>
        <w:t>(1991) on nine countries, Lai and Lowinger (2002) on five South Asian countries, and</w:t>
      </w:r>
      <w:r>
        <w:rPr>
          <w:spacing w:val="1"/>
        </w:rPr>
        <w:t> </w:t>
      </w:r>
      <w:r>
        <w:rPr/>
        <w:t>Narayan (2004) on New Zealand, among others, provide empirical evidence that currency</w:t>
      </w:r>
      <w:r>
        <w:rPr>
          <w:spacing w:val="-57"/>
        </w:rPr>
        <w:t> </w:t>
      </w:r>
      <w:r>
        <w:rPr/>
        <w:t>depreciation,</w:t>
      </w:r>
      <w:r>
        <w:rPr>
          <w:spacing w:val="-1"/>
        </w:rPr>
        <w:t> </w:t>
      </w:r>
      <w:r>
        <w:rPr/>
        <w:t>in general, improves trade</w:t>
      </w:r>
      <w:r>
        <w:rPr>
          <w:spacing w:val="-1"/>
        </w:rPr>
        <w:t> </w:t>
      </w:r>
      <w:r>
        <w:rPr/>
        <w:t>balance.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Ostry (1988) applied an intertemporal optimizing model of a small open economy to</w:t>
      </w:r>
      <w:r>
        <w:rPr>
          <w:spacing w:val="1"/>
        </w:rPr>
        <w:t> </w:t>
      </w:r>
      <w:r>
        <w:rPr/>
        <w:t>analyze how real</w:t>
      </w:r>
      <w:r>
        <w:rPr>
          <w:spacing w:val="1"/>
        </w:rPr>
        <w:t> </w:t>
      </w:r>
      <w:r>
        <w:rPr/>
        <w:t>exchange rates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trade balance.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revealed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 the terms of trade and the current account balance was sensitive to</w:t>
      </w:r>
      <w:r>
        <w:rPr>
          <w:spacing w:val="1"/>
        </w:rPr>
        <w:t> </w:t>
      </w:r>
      <w:r>
        <w:rPr/>
        <w:t>whether the model included nontradable goods, which explained the Harberger-Laursen-</w:t>
      </w:r>
      <w:r>
        <w:rPr>
          <w:spacing w:val="1"/>
        </w:rPr>
        <w:t> </w:t>
      </w:r>
      <w:r>
        <w:rPr/>
        <w:t>Metzler effect. Thus, the real exchange rate was the main significant variable through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terms of trade</w:t>
      </w:r>
      <w:r>
        <w:rPr>
          <w:spacing w:val="-1"/>
        </w:rPr>
        <w:t> </w:t>
      </w:r>
      <w:r>
        <w:rPr/>
        <w:t>shocks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passed on to the</w:t>
      </w:r>
      <w:r>
        <w:rPr>
          <w:spacing w:val="-1"/>
        </w:rPr>
        <w:t> </w:t>
      </w:r>
      <w:r>
        <w:rPr/>
        <w:t>current account balance.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A reasonable number of empirical works have been carried out to confirm the J-curve</w:t>
      </w:r>
      <w:r>
        <w:rPr>
          <w:spacing w:val="1"/>
        </w:rPr>
        <w:t> </w:t>
      </w:r>
      <w:r>
        <w:rPr/>
        <w:t>phenomenon.</w:t>
      </w:r>
      <w:r>
        <w:rPr>
          <w:spacing w:val="60"/>
        </w:rPr>
        <w:t> </w:t>
      </w:r>
      <w:r>
        <w:rPr/>
        <w:t>An in-depth analysis of the phenomenon has been presented by Petrovic</w:t>
      </w:r>
      <w:r>
        <w:rPr>
          <w:spacing w:val="1"/>
        </w:rPr>
        <w:t> </w:t>
      </w:r>
      <w:r>
        <w:rPr/>
        <w:t>and</w:t>
      </w:r>
      <w:r>
        <w:rPr>
          <w:spacing w:val="50"/>
        </w:rPr>
        <w:t> </w:t>
      </w:r>
      <w:r>
        <w:rPr/>
        <w:t>Gligoric</w:t>
      </w:r>
      <w:r>
        <w:rPr>
          <w:spacing w:val="50"/>
        </w:rPr>
        <w:t> </w:t>
      </w:r>
      <w:r>
        <w:rPr/>
        <w:t>(2010)</w:t>
      </w:r>
      <w:r>
        <w:rPr>
          <w:spacing w:val="49"/>
        </w:rPr>
        <w:t> </w:t>
      </w:r>
      <w:r>
        <w:rPr/>
        <w:t>on</w:t>
      </w:r>
      <w:r>
        <w:rPr>
          <w:spacing w:val="53"/>
        </w:rPr>
        <w:t> </w:t>
      </w:r>
      <w:r>
        <w:rPr/>
        <w:t>Serbia.</w:t>
      </w:r>
      <w:r>
        <w:rPr>
          <w:spacing w:val="43"/>
        </w:rPr>
        <w:t> </w:t>
      </w:r>
      <w:r>
        <w:rPr/>
        <w:t>The</w:t>
      </w:r>
      <w:r>
        <w:rPr>
          <w:spacing w:val="49"/>
        </w:rPr>
        <w:t> </w:t>
      </w:r>
      <w:r>
        <w:rPr/>
        <w:t>Johansen</w:t>
      </w:r>
      <w:r>
        <w:rPr>
          <w:spacing w:val="50"/>
        </w:rPr>
        <w:t> </w:t>
      </w:r>
      <w:r>
        <w:rPr/>
        <w:t>approach</w:t>
      </w:r>
      <w:r>
        <w:rPr>
          <w:spacing w:val="52"/>
        </w:rPr>
        <w:t> </w:t>
      </w:r>
      <w:r>
        <w:rPr/>
        <w:t>alongside</w:t>
      </w:r>
      <w:r>
        <w:rPr>
          <w:spacing w:val="50"/>
        </w:rPr>
        <w:t> </w:t>
      </w:r>
      <w:r>
        <w:rPr/>
        <w:t>the</w:t>
      </w:r>
      <w:r>
        <w:rPr>
          <w:spacing w:val="53"/>
        </w:rPr>
        <w:t> </w:t>
      </w:r>
      <w:r>
        <w:rPr/>
        <w:t>autoregressive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28448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distributed</w:t>
      </w:r>
      <w:r>
        <w:rPr>
          <w:spacing w:val="1"/>
        </w:rPr>
        <w:t> </w:t>
      </w:r>
      <w:r>
        <w:rPr/>
        <w:t>lag</w:t>
      </w:r>
      <w:r>
        <w:rPr>
          <w:spacing w:val="1"/>
        </w:rPr>
        <w:t> </w:t>
      </w:r>
      <w:r>
        <w:rPr/>
        <w:t>(ARDL)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Pesaran,</w:t>
      </w:r>
      <w:r>
        <w:rPr>
          <w:spacing w:val="1"/>
        </w:rPr>
        <w:t> </w:t>
      </w:r>
      <w:r>
        <w:rPr/>
        <w:t>Shin,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Smith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 monthly frequency data for the period January 2002 to September 2007 for three</w:t>
      </w:r>
      <w:r>
        <w:rPr>
          <w:spacing w:val="1"/>
        </w:rPr>
        <w:t> </w:t>
      </w:r>
      <w:r>
        <w:rPr/>
        <w:t>variables, trade balance (TB), real effective exchange rate (REER) and gross domestic</w:t>
      </w:r>
      <w:r>
        <w:rPr>
          <w:spacing w:val="1"/>
        </w:rPr>
        <w:t> </w:t>
      </w:r>
      <w:r>
        <w:rPr/>
        <w:t>product (GDP).   In conformity with the expected econometric behaviour of the presence</w:t>
      </w:r>
      <w:r>
        <w:rPr>
          <w:spacing w:val="1"/>
        </w:rPr>
        <w:t> </w:t>
      </w:r>
      <w:r>
        <w:rPr/>
        <w:t>of unit</w:t>
      </w:r>
      <w:r>
        <w:rPr>
          <w:spacing w:val="1"/>
        </w:rPr>
        <w:t> </w:t>
      </w:r>
      <w:r>
        <w:rPr/>
        <w:t>root and existence of cointegration among the variables, the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 exchange</w:t>
      </w:r>
      <w:r>
        <w:rPr>
          <w:spacing w:val="1"/>
        </w:rPr>
        <w:t> </w:t>
      </w:r>
      <w:r>
        <w:rPr/>
        <w:t>rate on trade balance was estimated.</w:t>
      </w:r>
      <w:r>
        <w:rPr>
          <w:spacing w:val="1"/>
        </w:rPr>
        <w:t> </w:t>
      </w:r>
      <w:r>
        <w:rPr/>
        <w:t>The short run effects and the related J-curve pattern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error-correction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cointegration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impulse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shock.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GDP</w:t>
      </w:r>
      <w:r>
        <w:rPr>
          <w:spacing w:val="1"/>
        </w:rPr>
        <w:t> </w:t>
      </w:r>
      <w:r>
        <w:rPr/>
        <w:t>(</w:t>
      </w:r>
      <w:r>
        <w:rPr>
          <w:i/>
        </w:rPr>
        <w:t>GDP</w:t>
      </w:r>
      <w:r>
        <w:rPr>
          <w:i/>
          <w:vertAlign w:val="subscript"/>
        </w:rPr>
        <w:t>d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trade</w:t>
      </w:r>
      <w:r>
        <w:rPr>
          <w:spacing w:val="1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inconclusive.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circumstances,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income</w:t>
      </w:r>
      <w:r>
        <w:rPr>
          <w:spacing w:val="1"/>
          <w:vertAlign w:val="baseline"/>
        </w:rPr>
        <w:t> </w:t>
      </w:r>
      <w:r>
        <w:rPr>
          <w:vertAlign w:val="baseline"/>
        </w:rPr>
        <w:t>might</w:t>
      </w:r>
      <w:r>
        <w:rPr>
          <w:spacing w:val="60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the demand for imports (foreign goods) that cannot be provided by the 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market.</w:t>
      </w:r>
      <w:r>
        <w:rPr>
          <w:spacing w:val="61"/>
          <w:vertAlign w:val="baseline"/>
        </w:rPr>
        <w:t> </w:t>
      </w:r>
      <w:r>
        <w:rPr>
          <w:vertAlign w:val="baseline"/>
        </w:rPr>
        <w:t>In contrast, an increase in GDP might make fund available for investment 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 to produce goods and services that will boost exports and the net effect on the trade</w:t>
      </w:r>
      <w:r>
        <w:rPr>
          <w:spacing w:val="1"/>
          <w:vertAlign w:val="baseline"/>
        </w:rPr>
        <w:t> </w:t>
      </w:r>
      <w:r>
        <w:rPr>
          <w:vertAlign w:val="baseline"/>
        </w:rPr>
        <w:t>balance may either be an improvement or otherwise.</w:t>
      </w:r>
      <w:r>
        <w:rPr>
          <w:spacing w:val="60"/>
          <w:vertAlign w:val="baseline"/>
        </w:rPr>
        <w:t> </w:t>
      </w:r>
      <w:r>
        <w:rPr>
          <w:vertAlign w:val="baseline"/>
        </w:rPr>
        <w:t>It was deduced from the findings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in the long run, depreciation would lead to an improvement in the trade balance.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 elasticity: 0.92 and 0.95, shows that a one percent depreciation in real exchange</w:t>
      </w:r>
      <w:r>
        <w:rPr>
          <w:spacing w:val="-57"/>
          <w:vertAlign w:val="baseline"/>
        </w:rPr>
        <w:t> </w:t>
      </w:r>
      <w:r>
        <w:rPr>
          <w:vertAlign w:val="baseline"/>
        </w:rPr>
        <w:t>rate invoked almost the same improvement in trade balance.</w:t>
      </w:r>
      <w:r>
        <w:rPr>
          <w:spacing w:val="1"/>
          <w:vertAlign w:val="baseline"/>
        </w:rPr>
        <w:t> </w:t>
      </w:r>
      <w:r>
        <w:rPr>
          <w:vertAlign w:val="baseline"/>
        </w:rPr>
        <w:t>In terms of the J-curve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analysis, the results confirmed this phenomenon which, implies that in the short run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 rate depreciation may first worsen trade balance before subsequently improving</w:t>
      </w:r>
      <w:r>
        <w:rPr>
          <w:spacing w:val="-57"/>
          <w:vertAlign w:val="baseline"/>
        </w:rPr>
        <w:t> </w:t>
      </w:r>
      <w:r>
        <w:rPr>
          <w:vertAlign w:val="baseline"/>
        </w:rPr>
        <w:t>it.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striking finding that emerged from the estimates was that an increase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 output improved the trade balance.   This implies that the supply side 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30"/>
          <w:vertAlign w:val="baseline"/>
        </w:rPr>
        <w:t> </w:t>
      </w:r>
      <w:r>
        <w:rPr>
          <w:vertAlign w:val="baseline"/>
        </w:rPr>
        <w:t>been</w:t>
      </w:r>
      <w:r>
        <w:rPr>
          <w:spacing w:val="32"/>
          <w:vertAlign w:val="baseline"/>
        </w:rPr>
        <w:t> </w:t>
      </w:r>
      <w:r>
        <w:rPr>
          <w:vertAlign w:val="baseline"/>
        </w:rPr>
        <w:t>crucial</w:t>
      </w:r>
      <w:r>
        <w:rPr>
          <w:spacing w:val="31"/>
          <w:vertAlign w:val="baseline"/>
        </w:rPr>
        <w:t> </w:t>
      </w:r>
      <w:r>
        <w:rPr>
          <w:vertAlign w:val="baseline"/>
        </w:rPr>
        <w:t>in</w:t>
      </w:r>
      <w:r>
        <w:rPr>
          <w:spacing w:val="32"/>
          <w:vertAlign w:val="baseline"/>
        </w:rPr>
        <w:t> </w:t>
      </w:r>
      <w:r>
        <w:rPr>
          <w:vertAlign w:val="baseline"/>
        </w:rPr>
        <w:t>driving</w:t>
      </w:r>
      <w:r>
        <w:rPr>
          <w:spacing w:val="28"/>
          <w:vertAlign w:val="baseline"/>
        </w:rPr>
        <w:t> </w:t>
      </w:r>
      <w:r>
        <w:rPr>
          <w:vertAlign w:val="baseline"/>
        </w:rPr>
        <w:t>output</w:t>
      </w:r>
      <w:r>
        <w:rPr>
          <w:spacing w:val="33"/>
          <w:vertAlign w:val="baseline"/>
        </w:rPr>
        <w:t> </w:t>
      </w:r>
      <w:r>
        <w:rPr>
          <w:vertAlign w:val="baseline"/>
        </w:rPr>
        <w:t>growth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Serbia,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a</w:t>
      </w:r>
      <w:r>
        <w:rPr>
          <w:spacing w:val="3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32"/>
          <w:vertAlign w:val="baseline"/>
        </w:rPr>
        <w:t> </w:t>
      </w:r>
      <w:r>
        <w:rPr>
          <w:vertAlign w:val="baseline"/>
        </w:rPr>
        <w:t>attracted</w:t>
      </w:r>
      <w:r>
        <w:rPr>
          <w:spacing w:val="31"/>
          <w:vertAlign w:val="baseline"/>
        </w:rPr>
        <w:t> </w:t>
      </w:r>
      <w:r>
        <w:rPr>
          <w:vertAlign w:val="baseline"/>
        </w:rPr>
        <w:t>exports.</w:t>
      </w:r>
      <w:r>
        <w:rPr>
          <w:spacing w:val="-58"/>
          <w:vertAlign w:val="baseline"/>
        </w:rPr>
        <w:t> </w:t>
      </w:r>
      <w:r>
        <w:rPr>
          <w:vertAlign w:val="baseline"/>
        </w:rPr>
        <w:t>Two extensions to the analysis, the Granger-causality tests and the impulse 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 (IRF) which tracked the evolution of the trade balance caused by shocks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-2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amplified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relevance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study.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Early studies by Hernan (1998) for Colombia; Alawattage (2005) using quarterly data</w:t>
      </w:r>
      <w:r>
        <w:rPr>
          <w:spacing w:val="1"/>
        </w:rPr>
        <w:t> </w:t>
      </w:r>
      <w:r>
        <w:rPr/>
        <w:t>(spanning for the period 1978:1 to 2000:4) for Sri Lanka; Mohammed and Hussain (2010)</w:t>
      </w:r>
      <w:r>
        <w:rPr>
          <w:spacing w:val="-57"/>
        </w:rPr>
        <w:t> </w:t>
      </w:r>
      <w:r>
        <w:rPr/>
        <w:t>applying the Johansen cointegration test on 30 annual observations for the period 1970 to</w:t>
      </w:r>
      <w:r>
        <w:rPr>
          <w:spacing w:val="1"/>
        </w:rPr>
        <w:t> </w:t>
      </w:r>
      <w:r>
        <w:rPr/>
        <w:t>2008 for Pakistan on the J-curve scenarios.</w:t>
      </w:r>
      <w:r>
        <w:rPr>
          <w:spacing w:val="1"/>
        </w:rPr>
        <w:t> </w:t>
      </w:r>
      <w:r>
        <w:rPr/>
        <w:t>All the findings reached similar conclusion of</w:t>
      </w:r>
      <w:r>
        <w:rPr>
          <w:spacing w:val="-57"/>
        </w:rPr>
        <w:t> </w:t>
      </w:r>
      <w:r>
        <w:rPr/>
        <w:t>trade deterioration in the short-run but improving in the long-run with exchange rate</w:t>
      </w:r>
      <w:r>
        <w:rPr>
          <w:spacing w:val="1"/>
        </w:rPr>
        <w:t> </w:t>
      </w:r>
      <w:r>
        <w:rPr/>
        <w:t>depreciation.</w:t>
      </w:r>
      <w:r>
        <w:rPr>
          <w:spacing w:val="5"/>
        </w:rPr>
        <w:t> </w:t>
      </w:r>
      <w:r>
        <w:rPr/>
        <w:t>Marwah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Klein</w:t>
      </w:r>
      <w:r>
        <w:rPr>
          <w:spacing w:val="32"/>
        </w:rPr>
        <w:t> </w:t>
      </w:r>
      <w:r>
        <w:rPr/>
        <w:t>(1996)</w:t>
      </w:r>
      <w:r>
        <w:rPr>
          <w:spacing w:val="30"/>
        </w:rPr>
        <w:t> </w:t>
      </w:r>
      <w:r>
        <w:rPr/>
        <w:t>investigated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influence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real</w:t>
      </w:r>
      <w:r>
        <w:rPr>
          <w:spacing w:val="31"/>
        </w:rPr>
        <w:t> </w:t>
      </w:r>
      <w:r>
        <w:rPr/>
        <w:t>bilateral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28960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exchange rate on bilateral trade balance in both the US and Canada with respect to five</w:t>
      </w:r>
      <w:r>
        <w:rPr>
          <w:spacing w:val="1"/>
        </w:rPr>
        <w:t> </w:t>
      </w:r>
      <w:r>
        <w:rPr/>
        <w:t>largest of their trading partners.</w:t>
      </w:r>
      <w:r>
        <w:rPr>
          <w:spacing w:val="1"/>
        </w:rPr>
        <w:t> </w:t>
      </w:r>
      <w:r>
        <w:rPr/>
        <w:t>It was maintained that after depreciation, trade balance,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Canada,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S-curve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J-curve</w:t>
      </w:r>
      <w:r>
        <w:rPr>
          <w:spacing w:val="1"/>
        </w:rPr>
        <w:t> </w:t>
      </w:r>
      <w:r>
        <w:rPr/>
        <w:t>phenomenon that dominates the literature.</w:t>
      </w:r>
      <w:r>
        <w:rPr>
          <w:spacing w:val="1"/>
        </w:rPr>
        <w:t> </w:t>
      </w:r>
      <w:r>
        <w:rPr/>
        <w:t>A concluding remark of such a shape is that</w:t>
      </w:r>
      <w:r>
        <w:rPr>
          <w:spacing w:val="1"/>
        </w:rPr>
        <w:t> </w:t>
      </w:r>
      <w:r>
        <w:rPr/>
        <w:t>after the initial J-curve shape, trade balance tends to worsen again after a certain point or</w:t>
      </w:r>
      <w:r>
        <w:rPr>
          <w:spacing w:val="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the devaluation.</w:t>
      </w:r>
    </w:p>
    <w:p>
      <w:pPr>
        <w:pStyle w:val="BodyText"/>
        <w:spacing w:line="360" w:lineRule="auto" w:before="200"/>
        <w:ind w:left="811" w:right="997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Yaya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short-run</w:t>
      </w:r>
      <w:r>
        <w:rPr>
          <w:spacing w:val="1"/>
        </w:rPr>
        <w:t> </w:t>
      </w:r>
      <w:r>
        <w:rPr/>
        <w:t>relationship</w:t>
      </w:r>
      <w:r>
        <w:rPr>
          <w:spacing w:val="-57"/>
        </w:rPr>
        <w:t> </w:t>
      </w:r>
      <w:r>
        <w:rPr/>
        <w:t>between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real</w:t>
      </w:r>
      <w:r>
        <w:rPr>
          <w:spacing w:val="59"/>
        </w:rPr>
        <w:t> </w:t>
      </w:r>
      <w:r>
        <w:rPr/>
        <w:t>effective</w:t>
      </w:r>
      <w:r>
        <w:rPr>
          <w:spacing w:val="57"/>
        </w:rPr>
        <w:t> </w:t>
      </w:r>
      <w:r>
        <w:rPr/>
        <w:t>exchange</w:t>
      </w:r>
      <w:r>
        <w:rPr>
          <w:spacing w:val="57"/>
        </w:rPr>
        <w:t> </w:t>
      </w:r>
      <w:r>
        <w:rPr/>
        <w:t>rate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trade</w:t>
      </w:r>
      <w:r>
        <w:rPr>
          <w:spacing w:val="57"/>
        </w:rPr>
        <w:t> </w:t>
      </w:r>
      <w:r>
        <w:rPr/>
        <w:t>balance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China.</w:t>
      </w:r>
      <w:r>
        <w:rPr>
          <w:spacing w:val="58"/>
        </w:rPr>
        <w:t> </w:t>
      </w:r>
      <w:r>
        <w:rPr/>
        <w:t>With</w:t>
      </w:r>
      <w:r>
        <w:rPr>
          <w:spacing w:val="56"/>
        </w:rPr>
        <w:t> </w:t>
      </w:r>
      <w:r>
        <w:rPr/>
        <w:t>the</w:t>
      </w:r>
      <w:r>
        <w:rPr>
          <w:spacing w:val="-58"/>
        </w:rPr>
        <w:t> </w:t>
      </w:r>
      <w:r>
        <w:rPr/>
        <w:t>application of the Granger-causality test using monthly data from January 1991 to August</w:t>
      </w:r>
      <w:r>
        <w:rPr>
          <w:spacing w:val="-57"/>
        </w:rPr>
        <w:t> </w:t>
      </w:r>
      <w:r>
        <w:rPr/>
        <w:t>2009, the test statistics suggested that the short-run trade balance granger caused a change</w:t>
      </w:r>
      <w:r>
        <w:rPr>
          <w:spacing w:val="-57"/>
        </w:rPr>
        <w:t> </w:t>
      </w:r>
      <w:r>
        <w:rPr/>
        <w:t>in effective exchange rate and not the reverse.</w:t>
      </w:r>
      <w:r>
        <w:rPr>
          <w:spacing w:val="1"/>
        </w:rPr>
        <w:t> </w:t>
      </w:r>
      <w:r>
        <w:rPr/>
        <w:t>The researchers</w:t>
      </w:r>
      <w:r>
        <w:rPr>
          <w:spacing w:val="1"/>
        </w:rPr>
        <w:t> </w:t>
      </w:r>
      <w:r>
        <w:rPr/>
        <w:t>extended the analysis by</w:t>
      </w:r>
      <w:r>
        <w:rPr>
          <w:spacing w:val="1"/>
        </w:rPr>
        <w:t> </w:t>
      </w:r>
      <w:r>
        <w:rPr/>
        <w:t>adopting a transfer function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demonstrated 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shock in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</w:t>
      </w:r>
      <w:r>
        <w:rPr>
          <w:spacing w:val="26"/>
        </w:rPr>
        <w:t> </w:t>
      </w:r>
      <w:r>
        <w:rPr/>
        <w:t>had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3-4</w:t>
      </w:r>
      <w:r>
        <w:rPr>
          <w:spacing w:val="28"/>
        </w:rPr>
        <w:t> </w:t>
      </w:r>
      <w:r>
        <w:rPr/>
        <w:t>month</w:t>
      </w:r>
      <w:r>
        <w:rPr>
          <w:spacing w:val="28"/>
        </w:rPr>
        <w:t> </w:t>
      </w:r>
      <w:r>
        <w:rPr/>
        <w:t>delayed</w:t>
      </w:r>
      <w:r>
        <w:rPr>
          <w:spacing w:val="30"/>
        </w:rPr>
        <w:t> </w:t>
      </w:r>
      <w:r>
        <w:rPr/>
        <w:t>effect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effective</w:t>
      </w:r>
      <w:r>
        <w:rPr>
          <w:spacing w:val="27"/>
        </w:rPr>
        <w:t> </w:t>
      </w:r>
      <w:r>
        <w:rPr/>
        <w:t>exchange</w:t>
      </w:r>
      <w:r>
        <w:rPr>
          <w:spacing w:val="27"/>
        </w:rPr>
        <w:t> </w:t>
      </w:r>
      <w:r>
        <w:rPr/>
        <w:t>rate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short-run</w:t>
      </w:r>
      <w:r>
        <w:rPr>
          <w:spacing w:val="27"/>
        </w:rPr>
        <w:t> </w:t>
      </w:r>
      <w:r>
        <w:rPr/>
        <w:t>but</w:t>
      </w:r>
      <w:r>
        <w:rPr>
          <w:spacing w:val="-58"/>
        </w:rPr>
        <w:t> </w:t>
      </w:r>
      <w:r>
        <w:rPr/>
        <w:t>this delayed</w:t>
      </w:r>
      <w:r>
        <w:rPr>
          <w:spacing w:val="60"/>
        </w:rPr>
        <w:t> </w:t>
      </w:r>
      <w:r>
        <w:rPr/>
        <w:t>effect fritter away in the long run.</w:t>
      </w:r>
      <w:r>
        <w:rPr>
          <w:spacing w:val="61"/>
        </w:rPr>
        <w:t> </w:t>
      </w:r>
      <w:r>
        <w:rPr/>
        <w:t>Also for China, Zhang (1999) had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long-run</w:t>
      </w:r>
      <w:r>
        <w:rPr>
          <w:spacing w:val="1"/>
        </w:rPr>
        <w:t> </w:t>
      </w:r>
      <w:r>
        <w:rPr/>
        <w:t>(cointegrating)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income.</w:t>
      </w:r>
      <w:r>
        <w:rPr>
          <w:spacing w:val="1"/>
        </w:rPr>
        <w:t> </w:t>
      </w:r>
      <w:r>
        <w:rPr/>
        <w:t>The results showed a stable linear steady-state relationship among the variables</w:t>
      </w:r>
      <w:r>
        <w:rPr>
          <w:spacing w:val="1"/>
        </w:rPr>
        <w:t> </w:t>
      </w:r>
      <w:r>
        <w:rPr/>
        <w:t>and this was interpreted to mean that the country‘s economic reform had improved the</w:t>
      </w:r>
      <w:r>
        <w:rPr>
          <w:spacing w:val="1"/>
        </w:rPr>
        <w:t> </w:t>
      </w:r>
      <w:r>
        <w:rPr/>
        <w:t>sensitivity of the economic system and made it responsive to market signals to allow</w:t>
      </w:r>
      <w:r>
        <w:rPr>
          <w:spacing w:val="1"/>
        </w:rPr>
        <w:t> </w:t>
      </w:r>
      <w:r>
        <w:rPr/>
        <w:t>changes in the exchange rate to influence the trade balance in the long-run with no</w:t>
      </w:r>
      <w:r>
        <w:rPr>
          <w:spacing w:val="1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J-curve</w:t>
      </w:r>
      <w:r>
        <w:rPr>
          <w:spacing w:val="1"/>
        </w:rPr>
        <w:t> </w:t>
      </w:r>
      <w:r>
        <w:rPr/>
        <w:t>effect observed.</w:t>
      </w:r>
    </w:p>
    <w:p>
      <w:pPr>
        <w:pStyle w:val="BodyText"/>
        <w:spacing w:line="360" w:lineRule="auto" w:before="202"/>
        <w:ind w:left="811" w:right="994"/>
        <w:jc w:val="both"/>
      </w:pPr>
      <w:r>
        <w:rPr/>
        <w:t>For a considerable period of time, exchange rate policy has been employed to regulate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especially 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different for the case of Africa economies.</w:t>
      </w:r>
      <w:r>
        <w:rPr>
          <w:spacing w:val="1"/>
        </w:rPr>
        <w:t> </w:t>
      </w:r>
      <w:r>
        <w:rPr/>
        <w:t>Using annual data for Ghana, Bhattarai and</w:t>
      </w:r>
      <w:r>
        <w:rPr>
          <w:spacing w:val="1"/>
        </w:rPr>
        <w:t> </w:t>
      </w:r>
      <w:r>
        <w:rPr/>
        <w:t>Armah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devaluation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Ghanaian</w:t>
      </w:r>
      <w:r>
        <w:rPr>
          <w:spacing w:val="1"/>
        </w:rPr>
        <w:t> </w:t>
      </w:r>
      <w:r>
        <w:rPr/>
        <w:t>Cedi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country‘s trade performance.   Adopting the standard theoretical</w:t>
      </w:r>
      <w:r>
        <w:rPr>
          <w:vertAlign w:val="superscript"/>
        </w:rPr>
        <w:t>17</w:t>
      </w:r>
      <w:r>
        <w:rPr>
          <w:vertAlign w:val="baseline"/>
        </w:rPr>
        <w:t> propositions in trade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22"/>
          <w:vertAlign w:val="baseline"/>
        </w:rPr>
        <w:t> </w:t>
      </w:r>
      <w:r>
        <w:rPr>
          <w:vertAlign w:val="baseline"/>
        </w:rPr>
        <w:t>rate,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demand</w:t>
      </w:r>
      <w:r>
        <w:rPr>
          <w:spacing w:val="20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21"/>
          <w:vertAlign w:val="baseline"/>
        </w:rPr>
        <w:t> </w:t>
      </w:r>
      <w:r>
        <w:rPr>
          <w:vertAlign w:val="baseline"/>
        </w:rPr>
        <w:t>for</w:t>
      </w:r>
      <w:r>
        <w:rPr>
          <w:spacing w:val="22"/>
          <w:vertAlign w:val="baseline"/>
        </w:rPr>
        <w:t> </w:t>
      </w:r>
      <w:r>
        <w:rPr>
          <w:vertAlign w:val="baseline"/>
        </w:rPr>
        <w:t>both</w:t>
      </w:r>
      <w:r>
        <w:rPr>
          <w:spacing w:val="21"/>
          <w:vertAlign w:val="baseline"/>
        </w:rPr>
        <w:t> </w:t>
      </w:r>
      <w:r>
        <w:rPr>
          <w:vertAlign w:val="baseline"/>
        </w:rPr>
        <w:t>exports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imports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small</w:t>
      </w:r>
      <w:r>
        <w:rPr>
          <w:spacing w:val="21"/>
          <w:vertAlign w:val="baseline"/>
        </w:rPr>
        <w:t> </w:t>
      </w:r>
      <w:r>
        <w:rPr>
          <w:vertAlign w:val="baseline"/>
        </w:rPr>
        <w:t>open</w:t>
      </w:r>
    </w:p>
    <w:p>
      <w:pPr>
        <w:pStyle w:val="BodyText"/>
        <w:spacing w:before="9"/>
        <w:rPr>
          <w:sz w:val="29"/>
        </w:rPr>
      </w:pPr>
    </w:p>
    <w:p>
      <w:pPr>
        <w:spacing w:before="120"/>
        <w:ind w:left="811" w:right="996" w:firstLine="0"/>
        <w:jc w:val="both"/>
        <w:rPr>
          <w:sz w:val="20"/>
        </w:rPr>
      </w:pPr>
      <w:r>
        <w:rPr/>
        <w:pict>
          <v:rect style="position:absolute;margin-left:106.580002pt;margin-top:.455908pt;width:144.020pt;height:.72003pt;mso-position-horizontal-relative:page;mso-position-vertical-relative:paragraph;z-index:-2538700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17</w:t>
      </w:r>
      <w:r>
        <w:rPr>
          <w:sz w:val="20"/>
          <w:vertAlign w:val="baseline"/>
        </w:rPr>
        <w:t> The standard analysis of exchange rate changes and the trade balance uses the specification of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domestic demand for imports and the foreign demand for exports are derived from a postulated 2 good-2-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country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utility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maximization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framework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(Samuelson,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1949;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Meade,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1955;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Mundell,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1962;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Taylor,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1995;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and Greenway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2002).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929984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economy were estimated using the vector autoregressive and cointegration techniques.</w:t>
      </w:r>
      <w:r>
        <w:rPr>
          <w:spacing w:val="1"/>
        </w:rPr>
        <w:t> </w:t>
      </w:r>
      <w:r>
        <w:rPr/>
        <w:t>The results confirmed that in deed the devaluation of the Ghanaian Cedi positively impact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the country‘s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long-run.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policy angle,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suggested that policymakers must adhere to the fundamentals of the foreign exchange rate</w:t>
      </w:r>
      <w:r>
        <w:rPr>
          <w:spacing w:val="-57"/>
        </w:rPr>
        <w:t> </w:t>
      </w:r>
      <w:r>
        <w:rPr/>
        <w:t>market to solve the country‘s perennial problems of deficit by adopting prudent domestic</w:t>
      </w:r>
      <w:r>
        <w:rPr>
          <w:spacing w:val="1"/>
        </w:rPr>
        <w:t> </w:t>
      </w:r>
      <w:r>
        <w:rPr/>
        <w:t>policies; and exchange rate policies based on purchasing power parity.</w:t>
      </w:r>
      <w:r>
        <w:rPr>
          <w:spacing w:val="1"/>
        </w:rPr>
        <w:t> </w:t>
      </w:r>
      <w:r>
        <w:rPr/>
        <w:t>Such a policy is</w:t>
      </w:r>
      <w:r>
        <w:rPr>
          <w:spacing w:val="1"/>
        </w:rPr>
        <w:t> </w:t>
      </w:r>
      <w:r>
        <w:rPr/>
        <w:t>primarily intended to improve the confidence of both consumers and investors in the</w:t>
      </w:r>
      <w:r>
        <w:rPr>
          <w:spacing w:val="1"/>
        </w:rPr>
        <w:t> </w:t>
      </w:r>
      <w:r>
        <w:rPr/>
        <w:t>economy</w:t>
      </w:r>
      <w:r>
        <w:rPr>
          <w:spacing w:val="-6"/>
        </w:rPr>
        <w:t> </w:t>
      </w:r>
      <w:r>
        <w:rPr/>
        <w:t>and recover the</w:t>
      </w:r>
      <w:r>
        <w:rPr>
          <w:spacing w:val="1"/>
        </w:rPr>
        <w:t> </w:t>
      </w:r>
      <w:r>
        <w:rPr/>
        <w:t>country‘s</w:t>
      </w:r>
      <w:r>
        <w:rPr>
          <w:spacing w:val="-1"/>
        </w:rPr>
        <w:t> </w:t>
      </w:r>
      <w:r>
        <w:rPr/>
        <w:t>competitiveness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global market.</w:t>
      </w:r>
    </w:p>
    <w:p>
      <w:pPr>
        <w:pStyle w:val="BodyText"/>
        <w:spacing w:line="360" w:lineRule="auto" w:before="200"/>
        <w:ind w:left="811" w:right="995"/>
        <w:jc w:val="both"/>
      </w:pPr>
      <w:r>
        <w:rPr/>
        <w:t>Applying the ARDL approach to cointegration analysis, Bahmani-Oskoee and Ardalani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disaggregating import and export functions for 66 industries in the country.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showed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about</w:t>
      </w:r>
      <w:r>
        <w:rPr>
          <w:spacing w:val="28"/>
        </w:rPr>
        <w:t> </w:t>
      </w:r>
      <w:r>
        <w:rPr/>
        <w:t>50%</w:t>
      </w:r>
      <w:r>
        <w:rPr>
          <w:spacing w:val="27"/>
        </w:rPr>
        <w:t> </w:t>
      </w:r>
      <w:r>
        <w:rPr/>
        <w:t>(33)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estimated</w:t>
      </w:r>
      <w:r>
        <w:rPr>
          <w:spacing w:val="28"/>
        </w:rPr>
        <w:t> </w:t>
      </w:r>
      <w:r>
        <w:rPr/>
        <w:t>66</w:t>
      </w:r>
      <w:r>
        <w:rPr>
          <w:spacing w:val="27"/>
        </w:rPr>
        <w:t> </w:t>
      </w:r>
      <w:r>
        <w:rPr/>
        <w:t>export</w:t>
      </w:r>
      <w:r>
        <w:rPr>
          <w:spacing w:val="27"/>
        </w:rPr>
        <w:t> </w:t>
      </w:r>
      <w:r>
        <w:rPr/>
        <w:t>functions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US</w:t>
      </w:r>
      <w:r>
        <w:rPr>
          <w:spacing w:val="28"/>
        </w:rPr>
        <w:t> </w:t>
      </w:r>
      <w:r>
        <w:rPr/>
        <w:t>industries</w:t>
      </w:r>
      <w:r>
        <w:rPr>
          <w:spacing w:val="-57"/>
        </w:rPr>
        <w:t> </w:t>
      </w:r>
      <w:r>
        <w:rPr/>
        <w:t>had the expected significant negative coefficient on exchange rate.   On the other hand,</w:t>
      </w:r>
      <w:r>
        <w:rPr>
          <w:spacing w:val="1"/>
        </w:rPr>
        <w:t> </w:t>
      </w:r>
      <w:r>
        <w:rPr/>
        <w:t>less than 20% (13 of the industries) of the import functions estimated coefficients on</w:t>
      </w:r>
      <w:r>
        <w:rPr>
          <w:spacing w:val="1"/>
        </w:rPr>
        <w:t> </w:t>
      </w:r>
      <w:r>
        <w:rPr/>
        <w:t>exchange rate had the correct, positive sign. Due to the aggregated data used, it was</w:t>
      </w:r>
      <w:r>
        <w:rPr>
          <w:spacing w:val="1"/>
        </w:rPr>
        <w:t> </w:t>
      </w:r>
      <w:r>
        <w:rPr/>
        <w:t>observed by the authors that the significant coefficients of the exchange rate in some</w:t>
      </w:r>
      <w:r>
        <w:rPr>
          <w:spacing w:val="1"/>
        </w:rPr>
        <w:t> </w:t>
      </w:r>
      <w:r>
        <w:rPr/>
        <w:t>sectors were offset by the insignificant coefficients in other sectors. This may possibly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to an</w:t>
      </w:r>
      <w:r>
        <w:rPr>
          <w:spacing w:val="-1"/>
        </w:rPr>
        <w:t> </w:t>
      </w:r>
      <w:r>
        <w:rPr/>
        <w:t>erroneous conclusion</w:t>
      </w:r>
      <w:r>
        <w:rPr>
          <w:spacing w:val="-1"/>
        </w:rPr>
        <w:t> </w:t>
      </w:r>
      <w:r>
        <w:rPr/>
        <w:t>that exchange</w:t>
      </w:r>
      <w:r>
        <w:rPr>
          <w:spacing w:val="-2"/>
        </w:rPr>
        <w:t> </w:t>
      </w:r>
      <w:r>
        <w:rPr/>
        <w:t>rate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no impact on</w:t>
      </w:r>
      <w:r>
        <w:rPr>
          <w:spacing w:val="-1"/>
        </w:rPr>
        <w:t> </w:t>
      </w:r>
      <w:r>
        <w:rPr/>
        <w:t>trade</w:t>
      </w:r>
      <w:r>
        <w:rPr>
          <w:spacing w:val="1"/>
        </w:rPr>
        <w:t> </w:t>
      </w:r>
      <w:r>
        <w:rPr/>
        <w:t>flows.</w:t>
      </w:r>
    </w:p>
    <w:p>
      <w:pPr>
        <w:pStyle w:val="BodyText"/>
        <w:spacing w:line="360" w:lineRule="auto" w:before="200"/>
        <w:ind w:left="811" w:right="994"/>
        <w:jc w:val="both"/>
      </w:pPr>
      <w:r>
        <w:rPr/>
        <w:t>Also for Korea, Chang (2005) investigated the impact of the real effective exchange rates</w:t>
      </w:r>
      <w:r>
        <w:rPr>
          <w:spacing w:val="1"/>
        </w:rPr>
        <w:t> </w:t>
      </w:r>
      <w:r>
        <w:rPr/>
        <w:t>on</w:t>
      </w:r>
      <w:r>
        <w:rPr>
          <w:spacing w:val="22"/>
        </w:rPr>
        <w:t> </w:t>
      </w:r>
      <w:r>
        <w:rPr/>
        <w:t>trade</w:t>
      </w:r>
      <w:r>
        <w:rPr>
          <w:spacing w:val="21"/>
        </w:rPr>
        <w:t> </w:t>
      </w:r>
      <w:r>
        <w:rPr/>
        <w:t>balance</w:t>
      </w:r>
      <w:r>
        <w:rPr>
          <w:spacing w:val="21"/>
        </w:rPr>
        <w:t> </w:t>
      </w:r>
      <w:r>
        <w:rPr/>
        <w:t>using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bounds</w:t>
      </w:r>
      <w:r>
        <w:rPr>
          <w:spacing w:val="23"/>
        </w:rPr>
        <w:t> </w:t>
      </w:r>
      <w:r>
        <w:rPr/>
        <w:t>testing</w:t>
      </w:r>
      <w:r>
        <w:rPr>
          <w:spacing w:val="20"/>
        </w:rPr>
        <w:t> </w:t>
      </w:r>
      <w:r>
        <w:rPr/>
        <w:t>approach.</w:t>
      </w:r>
      <w:r>
        <w:rPr>
          <w:spacing w:val="51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results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impacts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 real effective exchange rate on trade balance had changed as the long-run elasticity of</w:t>
      </w:r>
      <w:r>
        <w:rPr>
          <w:spacing w:val="1"/>
        </w:rPr>
        <w:t> </w:t>
      </w:r>
      <w:r>
        <w:rPr/>
        <w:t>the real effective exchange rate decreased, while the short-run elasticity increased.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 that, in the long-run, the real exchange rates play a less significant role in the</w:t>
      </w:r>
      <w:r>
        <w:rPr>
          <w:spacing w:val="1"/>
        </w:rPr>
        <w:t> </w:t>
      </w:r>
      <w:r>
        <w:rPr/>
        <w:t>determination of trade balance.</w:t>
      </w:r>
      <w:r>
        <w:rPr>
          <w:spacing w:val="1"/>
        </w:rPr>
        <w:t> </w:t>
      </w:r>
      <w:r>
        <w:rPr/>
        <w:t>In an attempt to evaluate the findings of this study, policy</w:t>
      </w:r>
      <w:r>
        <w:rPr>
          <w:spacing w:val="-57"/>
        </w:rPr>
        <w:t> </w:t>
      </w:r>
      <w:r>
        <w:rPr/>
        <w:t>recommendation may not infer exchange rate intervention since the real exchange rate</w:t>
      </w:r>
      <w:r>
        <w:rPr>
          <w:spacing w:val="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played a</w:t>
      </w:r>
      <w:r>
        <w:rPr>
          <w:spacing w:val="-1"/>
        </w:rPr>
        <w:t> </w:t>
      </w:r>
      <w:r>
        <w:rPr/>
        <w:t>negligible role.</w:t>
      </w:r>
    </w:p>
    <w:p>
      <w:pPr>
        <w:pStyle w:val="BodyText"/>
        <w:spacing w:line="360" w:lineRule="auto" w:before="203"/>
        <w:ind w:left="811" w:right="997"/>
        <w:jc w:val="both"/>
      </w:pPr>
      <w:r>
        <w:rPr/>
        <w:t>For South Africa, Sekantsi (2010) examined the impact of real exchange rate volatility on</w:t>
      </w:r>
      <w:r>
        <w:rPr>
          <w:spacing w:val="1"/>
        </w:rPr>
        <w:t> </w:t>
      </w:r>
      <w:r>
        <w:rPr/>
        <w:t>exports to the U.S for the period between January 1995 and February 2007.</w:t>
      </w:r>
      <w:r>
        <w:rPr>
          <w:spacing w:val="1"/>
        </w:rPr>
        <w:t> </w:t>
      </w:r>
      <w:r>
        <w:rPr/>
        <w:t>The author</w:t>
      </w:r>
      <w:r>
        <w:rPr>
          <w:spacing w:val="1"/>
        </w:rPr>
        <w:t> </w:t>
      </w:r>
      <w:r>
        <w:rPr/>
        <w:t>used the Generalized Autoregressive Conditional Heteroscedasticity (GARCH) model to</w:t>
      </w:r>
      <w:r>
        <w:rPr>
          <w:spacing w:val="1"/>
        </w:rPr>
        <w:t> </w:t>
      </w:r>
      <w:r>
        <w:rPr/>
        <w:t>determine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exchange</w:t>
      </w:r>
      <w:r>
        <w:rPr>
          <w:spacing w:val="3"/>
        </w:rPr>
        <w:t> </w:t>
      </w:r>
      <w:r>
        <w:rPr/>
        <w:t>rate</w:t>
      </w:r>
      <w:r>
        <w:rPr>
          <w:spacing w:val="4"/>
        </w:rPr>
        <w:t> </w:t>
      </w:r>
      <w:r>
        <w:rPr/>
        <w:t>volatility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proceeded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estimate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long-run</w:t>
      </w:r>
      <w:r>
        <w:rPr>
          <w:spacing w:val="3"/>
        </w:rPr>
        <w:t> </w:t>
      </w:r>
      <w:r>
        <w:rPr/>
        <w:t>coefficients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t>based on the Autoregressive Distributed Lag (ARDL) bounds testing procedure proposed</w:t>
      </w:r>
      <w:r>
        <w:rPr>
          <w:spacing w:val="1"/>
        </w:rPr>
        <w:t> </w:t>
      </w:r>
      <w:r>
        <w:rPr/>
        <w:t>by Pesaran </w:t>
      </w:r>
      <w:r>
        <w:rPr>
          <w:i/>
        </w:rPr>
        <w:t>et al. </w:t>
      </w:r>
      <w:r>
        <w:rPr/>
        <w:t>(2001). Evidently, the real exchange rate volatility exerted a significant</w:t>
      </w:r>
      <w:r>
        <w:rPr>
          <w:spacing w:val="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impact on the</w:t>
      </w:r>
      <w:r>
        <w:rPr>
          <w:spacing w:val="-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exports.</w:t>
      </w:r>
    </w:p>
    <w:p>
      <w:pPr>
        <w:pStyle w:val="BodyText"/>
        <w:spacing w:line="360" w:lineRule="auto" w:before="201"/>
        <w:ind w:left="811" w:right="994"/>
        <w:jc w:val="both"/>
      </w:pPr>
      <w:r>
        <w:rPr/>
        <w:drawing>
          <wp:anchor distT="0" distB="0" distL="0" distR="0" allowOverlap="1" layoutInCell="1" locked="0" behindDoc="1" simplePos="0" relativeHeight="477930496">
            <wp:simplePos x="0" y="0"/>
            <wp:positionH relativeFrom="page">
              <wp:posOffset>1485138</wp:posOffset>
            </wp:positionH>
            <wp:positionV relativeFrom="paragraph">
              <wp:posOffset>806870</wp:posOffset>
            </wp:positionV>
            <wp:extent cx="5102225" cy="5044439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 a panel data series, Arize (2000) provided a concluding evidence on the long-run</w:t>
      </w:r>
      <w:r>
        <w:rPr>
          <w:spacing w:val="1"/>
        </w:rPr>
        <w:t> </w:t>
      </w:r>
      <w:r>
        <w:rPr/>
        <w:t>convergence between imports and exports in fifty (50) countries</w:t>
      </w:r>
      <w:r>
        <w:rPr>
          <w:vertAlign w:val="superscript"/>
        </w:rPr>
        <w:t>18</w:t>
      </w:r>
      <w:r>
        <w:rPr>
          <w:vertAlign w:val="baseline"/>
        </w:rPr>
        <w:t> worldwide based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quarterly data for the period 1973Q2 to 1998Q1.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analysis was exemplified by four</w:t>
      </w:r>
      <w:r>
        <w:rPr>
          <w:spacing w:val="1"/>
          <w:vertAlign w:val="baseline"/>
        </w:rPr>
        <w:t> </w:t>
      </w:r>
      <w:r>
        <w:rPr>
          <w:vertAlign w:val="baseline"/>
        </w:rPr>
        <w:t>imperative elements.</w:t>
      </w:r>
      <w:r>
        <w:rPr>
          <w:spacing w:val="1"/>
          <w:vertAlign w:val="baseline"/>
        </w:rPr>
        <w:t> </w:t>
      </w:r>
      <w:r>
        <w:rPr>
          <w:vertAlign w:val="baseline"/>
        </w:rPr>
        <w:t>Adopting the ADF and the Johansen unit root tests procedure;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secondly, the use of a two-system approach (Johansen, 1995; Stock and Watson, 1988) to</w:t>
      </w:r>
      <w:r>
        <w:rPr>
          <w:spacing w:val="1"/>
          <w:vertAlign w:val="baseline"/>
        </w:rPr>
        <w:t> </w:t>
      </w:r>
      <w:r>
        <w:rPr>
          <w:vertAlign w:val="baseline"/>
        </w:rPr>
        <w:t>test for the presence of cointegration.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Also, the study followed other studies (Gregory,</w:t>
      </w:r>
      <w:r>
        <w:rPr>
          <w:spacing w:val="1"/>
          <w:vertAlign w:val="baseline"/>
        </w:rPr>
        <w:t> </w:t>
      </w:r>
      <w:r>
        <w:rPr>
          <w:vertAlign w:val="baseline"/>
        </w:rPr>
        <w:t>1996; Stock and Watson, 1993) to obtain estimates of the cointegrating relations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other approaches, the Johansen Full Information Maximum Likelihood (FIML),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Stock and Watson Dynamic Ordinary Least Squares (DOLS); and the Phillips and Hansen</w:t>
      </w:r>
      <w:r>
        <w:rPr>
          <w:spacing w:val="-57"/>
          <w:vertAlign w:val="baseline"/>
        </w:rPr>
        <w:t> </w:t>
      </w:r>
      <w:r>
        <w:rPr>
          <w:vertAlign w:val="baseline"/>
        </w:rPr>
        <w:t>(1990) Fully Modified Ordinary Least Squares (FMOLS) approaches.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existence of a</w:t>
      </w:r>
      <w:r>
        <w:rPr>
          <w:spacing w:val="1"/>
          <w:vertAlign w:val="baseline"/>
        </w:rPr>
        <w:t> </w:t>
      </w:r>
      <w:r>
        <w:rPr>
          <w:vertAlign w:val="baseline"/>
        </w:rPr>
        <w:t>long-run relationship between imports and exports was reported for most of the countries.</w:t>
      </w:r>
      <w:r>
        <w:rPr>
          <w:spacing w:val="-57"/>
          <w:vertAlign w:val="baseline"/>
        </w:rPr>
        <w:t> </w:t>
      </w:r>
      <w:r>
        <w:rPr>
          <w:vertAlign w:val="baseline"/>
        </w:rPr>
        <w:t>Also, the estimated cointegrating coefficient, which carried the expected negative sign,</w:t>
      </w:r>
      <w:r>
        <w:rPr>
          <w:spacing w:val="1"/>
          <w:vertAlign w:val="baseline"/>
        </w:rPr>
        <w:t> </w:t>
      </w:r>
      <w:r>
        <w:rPr>
          <w:vertAlign w:val="baseline"/>
        </w:rPr>
        <w:t>was significantly different from zero in 30 out of 35 countries.</w:t>
      </w:r>
      <w:r>
        <w:rPr>
          <w:spacing w:val="1"/>
          <w:vertAlign w:val="baseline"/>
        </w:rPr>
        <w:t> </w:t>
      </w:r>
      <w:r>
        <w:rPr>
          <w:vertAlign w:val="baseline"/>
        </w:rPr>
        <w:t>In a similar trend, it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appeared that the estimated slope coefficient did not differ significantly from</w:t>
      </w:r>
      <w:r>
        <w:rPr>
          <w:spacing w:val="60"/>
          <w:vertAlign w:val="baseline"/>
        </w:rPr>
        <w:t> </w:t>
      </w:r>
      <w:r>
        <w:rPr>
          <w:vertAlign w:val="baseline"/>
        </w:rPr>
        <w:t>unity in</w:t>
      </w:r>
      <w:r>
        <w:rPr>
          <w:spacing w:val="1"/>
          <w:vertAlign w:val="baseline"/>
        </w:rPr>
        <w:t> </w:t>
      </w:r>
      <w:r>
        <w:rPr>
          <w:vertAlign w:val="baseline"/>
        </w:rPr>
        <w:t>most cases.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suggestion was that the cointegration space was fairly stable over time.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parameter stability was, however, different among the regions.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Middle</w:t>
      </w:r>
      <w:r>
        <w:rPr>
          <w:spacing w:val="1"/>
          <w:vertAlign w:val="baseline"/>
        </w:rPr>
        <w:t> </w:t>
      </w:r>
      <w:r>
        <w:rPr>
          <w:vertAlign w:val="baseline"/>
        </w:rPr>
        <w:t>East,</w:t>
      </w:r>
      <w:r>
        <w:rPr>
          <w:spacing w:val="1"/>
          <w:vertAlign w:val="baseline"/>
        </w:rPr>
        <w:t> </w:t>
      </w:r>
      <w:r>
        <w:rPr>
          <w:vertAlign w:val="baseline"/>
        </w:rPr>
        <w:t>Europe,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Latin</w:t>
      </w:r>
      <w:r>
        <w:rPr>
          <w:spacing w:val="1"/>
          <w:vertAlign w:val="baseline"/>
        </w:rPr>
        <w:t> </w:t>
      </w:r>
      <w:r>
        <w:rPr>
          <w:vertAlign w:val="baseline"/>
        </w:rPr>
        <w:t>America</w:t>
      </w:r>
      <w:r>
        <w:rPr>
          <w:spacing w:val="1"/>
          <w:vertAlign w:val="baseline"/>
        </w:rPr>
        <w:t> </w:t>
      </w:r>
      <w:r>
        <w:rPr>
          <w:vertAlign w:val="baseline"/>
        </w:rPr>
        <w:t>exhibited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instability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comparison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Asia,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Pacific-USA-Canada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60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concluded that imports and exports are cointegrated, not just in low-income countries but</w:t>
      </w:r>
      <w:r>
        <w:rPr>
          <w:spacing w:val="1"/>
          <w:vertAlign w:val="baseline"/>
        </w:rPr>
        <w:t> </w:t>
      </w:r>
      <w:r>
        <w:rPr>
          <w:vertAlign w:val="baseline"/>
        </w:rPr>
        <w:t>also in middle-income and high-income countries as well.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 differences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 in the number of countries by region that had stable cointegration; while 57%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low-income countries had stable cointegration, 58% and 75% of the middle-income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high-income countries, respectively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had stable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cointegration.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42" w:lineRule="auto" w:before="120"/>
        <w:ind w:left="811" w:right="1007" w:firstLine="0"/>
        <w:jc w:val="both"/>
        <w:rPr>
          <w:rFonts w:ascii="Calibri"/>
          <w:sz w:val="20"/>
        </w:rPr>
      </w:pPr>
      <w:r>
        <w:rPr/>
        <w:pict>
          <v:rect style="position:absolute;margin-left:106.580002pt;margin-top:.459971pt;width:144.020pt;height:.71997pt;mso-position-horizontal-relative:page;mso-position-vertical-relative:paragraph;z-index:-2538547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18</w:t>
      </w:r>
      <w:r>
        <w:rPr>
          <w:sz w:val="20"/>
          <w:vertAlign w:val="baseline"/>
        </w:rPr>
        <w:t> Of the 50 countries, 13 were from Asia; 5 from the Middle East (with Egypt as one of the countries), 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 countries; 7 from Europe, 4 from the Pacific, USA, and Canada; and 12 Latin America and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Caribbean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countries</w:t>
      </w:r>
      <w:r>
        <w:rPr>
          <w:rFonts w:ascii="Calibri"/>
          <w:sz w:val="20"/>
          <w:vertAlign w:val="baseline"/>
        </w:rPr>
        <w:t>.</w:t>
      </w:r>
    </w:p>
    <w:p>
      <w:pPr>
        <w:spacing w:after="0" w:line="242" w:lineRule="auto"/>
        <w:jc w:val="both"/>
        <w:rPr>
          <w:rFonts w:ascii="Calibri"/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31520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Evaluating this research, the results seem quite impressive due to the descriptive power of</w:t>
      </w:r>
      <w:r>
        <w:rPr>
          <w:spacing w:val="-57"/>
        </w:rPr>
        <w:t> </w:t>
      </w:r>
      <w:r>
        <w:rPr/>
        <w:t>the equations in explaining imports and exports of a group of diverse countries.</w:t>
      </w:r>
      <w:r>
        <w:rPr>
          <w:spacing w:val="1"/>
        </w:rPr>
        <w:t> </w:t>
      </w:r>
      <w:r>
        <w:rPr/>
        <w:t>The only</w:t>
      </w:r>
      <w:r>
        <w:rPr>
          <w:spacing w:val="1"/>
        </w:rPr>
        <w:t> </w:t>
      </w:r>
      <w:r>
        <w:rPr/>
        <w:t>reservation is that Egypt being an Africa country was incorporated as a Middle East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 corollary of this is that the result(s) of the study may not reflect the true</w:t>
      </w:r>
      <w:r>
        <w:rPr>
          <w:spacing w:val="1"/>
        </w:rPr>
        <w:t> </w:t>
      </w:r>
      <w:r>
        <w:rPr/>
        <w:t>picture of the regions considered in the study. The findings for Egypt should, however, be</w:t>
      </w:r>
      <w:r>
        <w:rPr>
          <w:spacing w:val="-57"/>
        </w:rPr>
        <w:t> </w:t>
      </w:r>
      <w:r>
        <w:rPr/>
        <w:t>interpreted for Africa instead of for the Middle East, and this may be misleading for</w:t>
      </w:r>
      <w:r>
        <w:rPr>
          <w:spacing w:val="1"/>
        </w:rPr>
        <w:t> </w:t>
      </w:r>
      <w:r>
        <w:rPr/>
        <w:t>further referencing.</w:t>
      </w:r>
      <w:r>
        <w:rPr>
          <w:spacing w:val="1"/>
        </w:rPr>
        <w:t> </w:t>
      </w:r>
      <w:r>
        <w:rPr/>
        <w:t>This argument is deduced from the stability findings for the Middle</w:t>
      </w:r>
      <w:r>
        <w:rPr>
          <w:spacing w:val="1"/>
        </w:rPr>
        <w:t> </w:t>
      </w:r>
      <w:r>
        <w:rPr/>
        <w:t>East in which Egypt was the only outlier among the other countries and thus, shared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stability</w:t>
      </w:r>
      <w:r>
        <w:rPr>
          <w:spacing w:val="-8"/>
        </w:rPr>
        <w:t> </w:t>
      </w:r>
      <w:r>
        <w:rPr/>
        <w:t>results with those of</w:t>
      </w:r>
      <w:r>
        <w:rPr>
          <w:spacing w:val="-1"/>
        </w:rPr>
        <w:t> </w:t>
      </w:r>
      <w:r>
        <w:rPr/>
        <w:t>the other Africa</w:t>
      </w:r>
      <w:r>
        <w:rPr>
          <w:spacing w:val="-1"/>
        </w:rPr>
        <w:t> </w:t>
      </w:r>
      <w:r>
        <w:rPr/>
        <w:t>countries.</w:t>
      </w:r>
    </w:p>
    <w:p>
      <w:pPr>
        <w:pStyle w:val="BodyText"/>
        <w:spacing w:line="360" w:lineRule="auto" w:before="202"/>
        <w:ind w:left="811" w:right="995"/>
        <w:jc w:val="both"/>
      </w:pPr>
      <w:r>
        <w:rPr/>
        <w:t>Similarly, exclusively for a group of three African countries (Kenya, Nigeria and South</w:t>
      </w:r>
      <w:r>
        <w:rPr>
          <w:spacing w:val="1"/>
        </w:rPr>
        <w:t> </w:t>
      </w:r>
      <w:r>
        <w:rPr/>
        <w:t>Africa), Arize and Nippani (2010) empirically examined import demand behaviour in</w:t>
      </w:r>
      <w:r>
        <w:rPr>
          <w:spacing w:val="1"/>
        </w:rPr>
        <w:t> </w:t>
      </w:r>
      <w:r>
        <w:rPr/>
        <w:t>three African economies (Kenya, Nigeria and South Africa) using quarterly data over the</w:t>
      </w:r>
      <w:r>
        <w:rPr>
          <w:spacing w:val="1"/>
        </w:rPr>
        <w:t> </w:t>
      </w:r>
      <w:r>
        <w:rPr/>
        <w:t>1973:2-2005:3 period.</w:t>
      </w:r>
      <w:r>
        <w:rPr>
          <w:spacing w:val="1"/>
        </w:rPr>
        <w:t> </w:t>
      </w:r>
      <w:r>
        <w:rPr/>
        <w:t>The analysis was based on a dynamic error-correction model,</w:t>
      </w:r>
      <w:r>
        <w:rPr>
          <w:spacing w:val="1"/>
        </w:rPr>
        <w:t> </w:t>
      </w:r>
      <w:r>
        <w:rPr/>
        <w:t>which tolerated an explicit parameterized division of effects into long-run influences,</w:t>
      </w:r>
      <w:r>
        <w:rPr>
          <w:spacing w:val="1"/>
        </w:rPr>
        <w:t> </w:t>
      </w:r>
      <w:r>
        <w:rPr/>
        <w:t>short-run adjustment and error-correction term.</w:t>
      </w:r>
      <w:r>
        <w:rPr>
          <w:spacing w:val="1"/>
        </w:rPr>
        <w:t> </w:t>
      </w:r>
      <w:r>
        <w:rPr/>
        <w:t>The finding was that foreign exchange</w:t>
      </w:r>
      <w:r>
        <w:rPr>
          <w:spacing w:val="1"/>
        </w:rPr>
        <w:t> </w:t>
      </w:r>
      <w:r>
        <w:rPr/>
        <w:t>reserves highly influences import demand both in the long and in the short run.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import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relatively small compared in size to the estimated elasticities for real income and relative</w:t>
      </w:r>
      <w:r>
        <w:rPr>
          <w:spacing w:val="1"/>
        </w:rPr>
        <w:t> </w:t>
      </w:r>
      <w:r>
        <w:rPr/>
        <w:t>prices.</w:t>
      </w:r>
      <w:r>
        <w:rPr>
          <w:spacing w:val="1"/>
        </w:rPr>
        <w:t> </w:t>
      </w:r>
      <w:r>
        <w:rPr/>
        <w:t>Also, the real income was identified as a significant variable in explaining the</w:t>
      </w:r>
      <w:r>
        <w:rPr>
          <w:spacing w:val="1"/>
        </w:rPr>
        <w:t> </w:t>
      </w:r>
      <w:r>
        <w:rPr/>
        <w:t>demand for imports, and that income elasticity was highly elastic in Nigeria and South</w:t>
      </w:r>
      <w:r>
        <w:rPr>
          <w:spacing w:val="1"/>
        </w:rPr>
        <w:t> </w:t>
      </w:r>
      <w:r>
        <w:rPr/>
        <w:t>Africa while inelastic for Kenya. The implications are that, any increase in real income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worsen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positions.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researchers,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negative during the period.</w:t>
      </w:r>
      <w:r>
        <w:rPr>
          <w:spacing w:val="1"/>
        </w:rPr>
        <w:t> </w:t>
      </w:r>
      <w:r>
        <w:rPr/>
        <w:t>The pertinent policy implications advanced were: policies</w:t>
      </w:r>
      <w:r>
        <w:rPr>
          <w:spacing w:val="1"/>
        </w:rPr>
        <w:t> </w:t>
      </w:r>
      <w:r>
        <w:rPr/>
        <w:t>should be adjusted towards export promotion to provide greater access to international</w:t>
      </w:r>
      <w:r>
        <w:rPr>
          <w:spacing w:val="1"/>
        </w:rPr>
        <w:t> </w:t>
      </w:r>
      <w:r>
        <w:rPr/>
        <w:t>markets as well as increase foreign reserves.</w:t>
      </w:r>
      <w:r>
        <w:rPr>
          <w:spacing w:val="1"/>
        </w:rPr>
        <w:t> </w:t>
      </w:r>
      <w:r>
        <w:rPr/>
        <w:t>Exclusively for Kenya, the results indicated</w:t>
      </w:r>
      <w:r>
        <w:rPr>
          <w:spacing w:val="1"/>
        </w:rPr>
        <w:t> </w:t>
      </w:r>
      <w:r>
        <w:rPr/>
        <w:t>that import demand was inelastic with respect to real income (about 0.54), suggesting that</w:t>
      </w:r>
      <w:r>
        <w:rPr>
          <w:spacing w:val="-57"/>
        </w:rPr>
        <w:t> </w:t>
      </w:r>
      <w:r>
        <w:rPr/>
        <w:t>growth in income may not lead to the expectation of trade deficits and that the country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still grow</w:t>
      </w:r>
      <w:r>
        <w:rPr>
          <w:spacing w:val="-2"/>
        </w:rPr>
        <w:t> </w:t>
      </w:r>
      <w:r>
        <w:rPr/>
        <w:t>without a</w:t>
      </w:r>
      <w:r>
        <w:rPr>
          <w:spacing w:val="1"/>
        </w:rPr>
        <w:t> </w:t>
      </w:r>
      <w:r>
        <w:rPr/>
        <w:t>substantial increase</w:t>
      </w:r>
      <w:r>
        <w:rPr>
          <w:spacing w:val="-1"/>
        </w:rPr>
        <w:t> </w:t>
      </w:r>
      <w:r>
        <w:rPr/>
        <w:t>in imports.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32032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 studies that explored panel data analysis procedure and made similar conclusion,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depreciation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deed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Elbadawi </w:t>
      </w:r>
      <w:r>
        <w:rPr>
          <w:i/>
        </w:rPr>
        <w:t>et al., </w:t>
      </w:r>
      <w:r>
        <w:rPr/>
        <w:t>(2008) for 73 developing countries over 1970-2004 period used the</w:t>
      </w:r>
      <w:r>
        <w:rPr>
          <w:spacing w:val="1"/>
        </w:rPr>
        <w:t> </w:t>
      </w:r>
      <w:r>
        <w:rPr/>
        <w:t>Pooled Mean Group (PMG) estimator proposed by Pesaran </w:t>
      </w:r>
      <w:r>
        <w:rPr>
          <w:i/>
        </w:rPr>
        <w:t>et al., </w:t>
      </w:r>
      <w:r>
        <w:rPr/>
        <w:t>(1999); Kandil (2009)</w:t>
      </w:r>
      <w:r>
        <w:rPr>
          <w:spacing w:val="1"/>
        </w:rPr>
        <w:t> </w:t>
      </w:r>
      <w:r>
        <w:rPr/>
        <w:t>analyzed for a sample of 21 developing and 25 developed countries over the period 1971-</w:t>
      </w:r>
      <w:r>
        <w:rPr>
          <w:spacing w:val="1"/>
        </w:rPr>
        <w:t> </w:t>
      </w:r>
      <w:r>
        <w:rPr/>
        <w:t>2000; Thorbecke and Kato‘s (2012), was on Japanese exports to 17 countries over the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1988 to 2009.  Specific findings were:</w:t>
      </w:r>
    </w:p>
    <w:p>
      <w:pPr>
        <w:pStyle w:val="ListParagraph"/>
        <w:numPr>
          <w:ilvl w:val="0"/>
          <w:numId w:val="11"/>
        </w:numPr>
        <w:tabs>
          <w:tab w:pos="1532" w:val="left" w:leader="none"/>
        </w:tabs>
        <w:spacing w:line="360" w:lineRule="auto" w:before="0" w:after="0"/>
        <w:ind w:left="1531" w:right="999" w:hanging="720"/>
        <w:jc w:val="both"/>
        <w:rPr>
          <w:sz w:val="24"/>
        </w:rPr>
      </w:pPr>
      <w:r>
        <w:rPr>
          <w:sz w:val="24"/>
        </w:rPr>
        <w:t>Elbadawi</w:t>
      </w:r>
      <w:r>
        <w:rPr>
          <w:spacing w:val="3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36"/>
          <w:sz w:val="24"/>
        </w:rPr>
        <w:t> </w:t>
      </w:r>
      <w:r>
        <w:rPr>
          <w:sz w:val="24"/>
        </w:rPr>
        <w:t>(2008)</w:t>
      </w:r>
      <w:r>
        <w:rPr>
          <w:spacing w:val="36"/>
          <w:sz w:val="24"/>
        </w:rPr>
        <w:t> </w:t>
      </w:r>
      <w:r>
        <w:rPr>
          <w:sz w:val="24"/>
        </w:rPr>
        <w:t>found</w:t>
      </w:r>
      <w:r>
        <w:rPr>
          <w:spacing w:val="34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trade</w:t>
      </w:r>
      <w:r>
        <w:rPr>
          <w:spacing w:val="33"/>
          <w:sz w:val="24"/>
        </w:rPr>
        <w:t> </w:t>
      </w:r>
      <w:r>
        <w:rPr>
          <w:sz w:val="24"/>
        </w:rPr>
        <w:t>balance</w:t>
      </w:r>
      <w:r>
        <w:rPr>
          <w:spacing w:val="35"/>
          <w:sz w:val="24"/>
        </w:rPr>
        <w:t> </w:t>
      </w:r>
      <w:r>
        <w:rPr>
          <w:sz w:val="24"/>
        </w:rPr>
        <w:t>was</w:t>
      </w:r>
      <w:r>
        <w:rPr>
          <w:spacing w:val="35"/>
          <w:sz w:val="24"/>
        </w:rPr>
        <w:t> </w:t>
      </w:r>
      <w:r>
        <w:rPr>
          <w:sz w:val="24"/>
        </w:rPr>
        <w:t>unresponsive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exchange</w:t>
      </w:r>
      <w:r>
        <w:rPr>
          <w:spacing w:val="-57"/>
          <w:sz w:val="24"/>
        </w:rPr>
        <w:t> </w:t>
      </w:r>
      <w:r>
        <w:rPr>
          <w:sz w:val="24"/>
        </w:rPr>
        <w:t>rate in the short-run but became significantly affected within two periods (that is,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3"/>
          <w:sz w:val="24"/>
        </w:rPr>
        <w:t> </w:t>
      </w:r>
      <w:r>
        <w:rPr>
          <w:sz w:val="24"/>
        </w:rPr>
        <w:t>years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annual</w:t>
      </w:r>
      <w:r>
        <w:rPr>
          <w:spacing w:val="2"/>
          <w:sz w:val="24"/>
        </w:rPr>
        <w:t> </w:t>
      </w:r>
      <w:r>
        <w:rPr>
          <w:sz w:val="24"/>
        </w:rPr>
        <w:t>data were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 the analysis);</w:t>
      </w:r>
    </w:p>
    <w:p>
      <w:pPr>
        <w:pStyle w:val="ListParagraph"/>
        <w:numPr>
          <w:ilvl w:val="0"/>
          <w:numId w:val="11"/>
        </w:numPr>
        <w:tabs>
          <w:tab w:pos="1532" w:val="left" w:leader="none"/>
        </w:tabs>
        <w:spacing w:line="360" w:lineRule="auto" w:before="1" w:after="0"/>
        <w:ind w:left="1531" w:right="999" w:hanging="720"/>
        <w:jc w:val="both"/>
        <w:rPr>
          <w:sz w:val="24"/>
        </w:rPr>
      </w:pPr>
      <w:r>
        <w:rPr>
          <w:sz w:val="24"/>
        </w:rPr>
        <w:t>the striking results from Kandil (2009) were that import decreased as the cost of</w:t>
      </w:r>
      <w:r>
        <w:rPr>
          <w:spacing w:val="1"/>
          <w:sz w:val="24"/>
        </w:rPr>
        <w:t> </w:t>
      </w:r>
      <w:r>
        <w:rPr>
          <w:sz w:val="24"/>
        </w:rPr>
        <w:t>imports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currency</w:t>
      </w:r>
      <w:r>
        <w:rPr>
          <w:spacing w:val="1"/>
          <w:sz w:val="24"/>
        </w:rPr>
        <w:t> </w:t>
      </w:r>
      <w:r>
        <w:rPr>
          <w:sz w:val="24"/>
        </w:rPr>
        <w:t>depreciation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  <w:r>
        <w:rPr>
          <w:spacing w:val="1"/>
          <w:sz w:val="24"/>
        </w:rPr>
        <w:t> </w:t>
      </w:r>
      <w:r>
        <w:rPr>
          <w:sz w:val="24"/>
        </w:rPr>
        <w:t>Also,</w:t>
      </w:r>
      <w:r>
        <w:rPr>
          <w:spacing w:val="1"/>
          <w:sz w:val="24"/>
        </w:rPr>
        <w:t> </w:t>
      </w:r>
      <w:r>
        <w:rPr>
          <w:sz w:val="24"/>
        </w:rPr>
        <w:t>currency</w:t>
      </w:r>
      <w:r>
        <w:rPr>
          <w:spacing w:val="1"/>
          <w:sz w:val="24"/>
        </w:rPr>
        <w:t> </w:t>
      </w:r>
      <w:r>
        <w:rPr>
          <w:sz w:val="24"/>
        </w:rPr>
        <w:t>appreciation</w:t>
      </w:r>
      <w:r>
        <w:rPr>
          <w:spacing w:val="1"/>
          <w:sz w:val="24"/>
        </w:rPr>
        <w:t> </w:t>
      </w:r>
      <w:r>
        <w:rPr>
          <w:sz w:val="24"/>
        </w:rPr>
        <w:t>neither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60"/>
          <w:sz w:val="24"/>
        </w:rPr>
        <w:t> </w:t>
      </w:r>
      <w:r>
        <w:rPr>
          <w:sz w:val="24"/>
        </w:rPr>
        <w:t>increased</w:t>
      </w:r>
      <w:r>
        <w:rPr>
          <w:spacing w:val="60"/>
          <w:sz w:val="24"/>
        </w:rPr>
        <w:t> </w:t>
      </w:r>
      <w:r>
        <w:rPr>
          <w:sz w:val="24"/>
        </w:rPr>
        <w:t>exports</w:t>
      </w:r>
      <w:r>
        <w:rPr>
          <w:spacing w:val="-57"/>
          <w:sz w:val="24"/>
        </w:rPr>
        <w:t> </w:t>
      </w:r>
      <w:r>
        <w:rPr>
          <w:sz w:val="24"/>
        </w:rPr>
        <w:t>none</w:t>
      </w:r>
      <w:r>
        <w:rPr>
          <w:spacing w:val="-1"/>
          <w:sz w:val="24"/>
        </w:rPr>
        <w:t> </w:t>
      </w:r>
      <w:r>
        <w:rPr>
          <w:sz w:val="24"/>
        </w:rPr>
        <w:t>imports; and</w:t>
      </w:r>
    </w:p>
    <w:p>
      <w:pPr>
        <w:pStyle w:val="ListParagraph"/>
        <w:numPr>
          <w:ilvl w:val="0"/>
          <w:numId w:val="11"/>
        </w:numPr>
        <w:tabs>
          <w:tab w:pos="1532" w:val="left" w:leader="none"/>
        </w:tabs>
        <w:spacing w:line="360" w:lineRule="auto" w:before="1" w:after="0"/>
        <w:ind w:left="1531" w:right="997" w:hanging="720"/>
        <w:jc w:val="both"/>
        <w:rPr>
          <w:sz w:val="24"/>
        </w:rPr>
      </w:pPr>
      <w:r>
        <w:rPr>
          <w:sz w:val="24"/>
        </w:rPr>
        <w:t>Thorbecke and Kato (2012) reported that the elasticities of the exchange rates</w:t>
      </w:r>
      <w:r>
        <w:rPr>
          <w:spacing w:val="1"/>
          <w:sz w:val="24"/>
        </w:rPr>
        <w:t> </w:t>
      </w:r>
      <w:r>
        <w:rPr>
          <w:sz w:val="24"/>
        </w:rPr>
        <w:t>equaled one, indicating that large swings in the value of the yen over the last</w:t>
      </w:r>
      <w:r>
        <w:rPr>
          <w:spacing w:val="1"/>
          <w:sz w:val="24"/>
        </w:rPr>
        <w:t> </w:t>
      </w:r>
      <w:r>
        <w:rPr>
          <w:sz w:val="24"/>
        </w:rPr>
        <w:t>decade also caused swings in the volume of the country‘s exports.</w:t>
      </w:r>
      <w:r>
        <w:rPr>
          <w:spacing w:val="1"/>
          <w:sz w:val="24"/>
        </w:rPr>
        <w:t> </w:t>
      </w:r>
      <w:r>
        <w:rPr>
          <w:sz w:val="24"/>
        </w:rPr>
        <w:t>The profits of</w:t>
      </w:r>
      <w:r>
        <w:rPr>
          <w:spacing w:val="1"/>
          <w:sz w:val="24"/>
        </w:rPr>
        <w:t> </w:t>
      </w:r>
      <w:r>
        <w:rPr>
          <w:sz w:val="24"/>
        </w:rPr>
        <w:t>Japanese firms plummeted since the global financial crisis in 2008 making it</w:t>
      </w:r>
      <w:r>
        <w:rPr>
          <w:spacing w:val="1"/>
          <w:sz w:val="24"/>
        </w:rPr>
        <w:t> </w:t>
      </w:r>
      <w:r>
        <w:rPr>
          <w:sz w:val="24"/>
        </w:rPr>
        <w:t>difficult for them to compete with their counterparts in countries like China and</w:t>
      </w:r>
      <w:r>
        <w:rPr>
          <w:spacing w:val="1"/>
          <w:sz w:val="24"/>
        </w:rPr>
        <w:t> </w:t>
      </w:r>
      <w:r>
        <w:rPr>
          <w:sz w:val="24"/>
        </w:rPr>
        <w:t>Hong Kong where exchange rates have depreciated quite considerably over the</w:t>
      </w:r>
      <w:r>
        <w:rPr>
          <w:spacing w:val="1"/>
          <w:sz w:val="24"/>
        </w:rPr>
        <w:t> </w:t>
      </w:r>
      <w:r>
        <w:rPr>
          <w:sz w:val="24"/>
        </w:rPr>
        <w:t>years.</w:t>
      </w:r>
    </w:p>
    <w:p>
      <w:pPr>
        <w:pStyle w:val="BodyText"/>
        <w:spacing w:line="360" w:lineRule="auto"/>
        <w:ind w:left="811" w:right="998"/>
        <w:jc w:val="both"/>
      </w:pPr>
      <w:r>
        <w:rPr/>
        <w:pict>
          <v:rect style="position:absolute;margin-left:106.580002pt;margin-top:173.353088pt;width:144.020pt;height:.72003pt;mso-position-horizontal-relative:page;mso-position-vertical-relative:paragraph;z-index:-25383936" filled="true" fillcolor="#000000" stroked="false">
            <v:fill type="solid"/>
            <w10:wrap type="none"/>
          </v:rect>
        </w:pict>
      </w:r>
      <w:r>
        <w:rPr/>
        <w:t>Adopting the Generalized Method of Moments (GMM) estimation procedures, Hall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(2010) investigated the effects of real exchange rate volatility on exports of ten (10)</w:t>
      </w:r>
      <w:r>
        <w:rPr>
          <w:spacing w:val="1"/>
        </w:rPr>
        <w:t> </w:t>
      </w:r>
      <w:r>
        <w:rPr/>
        <w:t>Emerging Market Economies (EMEs) and eleven (11) other developing countries not</w:t>
      </w:r>
      <w:r>
        <w:rPr>
          <w:spacing w:val="1"/>
        </w:rPr>
        <w:t> </w:t>
      </w:r>
      <w:r>
        <w:rPr/>
        <w:t>classified as EMEs.</w:t>
      </w:r>
      <w:r>
        <w:rPr>
          <w:spacing w:val="1"/>
        </w:rPr>
        <w:t> </w:t>
      </w:r>
      <w:r>
        <w:rPr/>
        <w:t>A quarterly panel data sets covered 1980Q1 to 2006Q4 for the</w:t>
      </w:r>
      <w:r>
        <w:rPr>
          <w:spacing w:val="1"/>
        </w:rPr>
        <w:t> </w:t>
      </w:r>
      <w:r>
        <w:rPr/>
        <w:t>EMEs</w:t>
      </w:r>
      <w:r>
        <w:rPr>
          <w:vertAlign w:val="superscript"/>
        </w:rPr>
        <w:t>19</w:t>
      </w:r>
      <w:r>
        <w:rPr>
          <w:vertAlign w:val="baseline"/>
        </w:rPr>
        <w:t> and 1980Q1 to 2005Q4 for the other developing countries.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Specifically, two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estimation methods, namely, the GMM</w:t>
      </w:r>
      <w:r>
        <w:rPr>
          <w:spacing w:val="60"/>
          <w:vertAlign w:val="baseline"/>
        </w:rPr>
        <w:t> </w:t>
      </w:r>
      <w:r>
        <w:rPr>
          <w:vertAlign w:val="baseline"/>
        </w:rPr>
        <w:t>and the time-varying-coefficient (TVC)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used.</w:t>
      </w:r>
      <w:r>
        <w:rPr>
          <w:spacing w:val="61"/>
          <w:vertAlign w:val="baseline"/>
        </w:rPr>
        <w:t> </w:t>
      </w:r>
      <w:r>
        <w:rPr>
          <w:vertAlign w:val="baseline"/>
        </w:rPr>
        <w:t>Although GMM has been a workhorse technique in the empirical literature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takes</w:t>
      </w:r>
      <w:r>
        <w:rPr>
          <w:spacing w:val="6"/>
          <w:vertAlign w:val="baseline"/>
        </w:rPr>
        <w:t> </w:t>
      </w:r>
      <w:r>
        <w:rPr>
          <w:vertAlign w:val="baseline"/>
        </w:rPr>
        <w:t>into</w:t>
      </w:r>
      <w:r>
        <w:rPr>
          <w:spacing w:val="6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7"/>
          <w:vertAlign w:val="baseline"/>
        </w:rPr>
        <w:t> </w:t>
      </w:r>
      <w:r>
        <w:rPr>
          <w:vertAlign w:val="baseline"/>
        </w:rPr>
        <w:t>consideration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endogeneity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explanatory</w:t>
      </w:r>
      <w:r>
        <w:rPr>
          <w:spacing w:val="2"/>
          <w:vertAlign w:val="baseline"/>
        </w:rPr>
        <w:t> </w:t>
      </w:r>
      <w:r>
        <w:rPr>
          <w:vertAlign w:val="baseline"/>
        </w:rPr>
        <w:t>variables,</w:t>
      </w:r>
      <w:r>
        <w:rPr>
          <w:spacing w:val="7"/>
          <w:vertAlign w:val="baseline"/>
        </w:rPr>
        <w:t> </w:t>
      </w:r>
      <w:r>
        <w:rPr>
          <w:vertAlign w:val="baseline"/>
        </w:rPr>
        <w:t>it</w:t>
      </w:r>
      <w:r>
        <w:rPr>
          <w:spacing w:val="7"/>
          <w:vertAlign w:val="baseline"/>
        </w:rPr>
        <w:t> </w:t>
      </w:r>
      <w:r>
        <w:rPr>
          <w:vertAlign w:val="baseline"/>
        </w:rPr>
        <w:t>does</w:t>
      </w:r>
      <w:r>
        <w:rPr>
          <w:spacing w:val="6"/>
          <w:vertAlign w:val="baseline"/>
        </w:rPr>
        <w:t> </w:t>
      </w:r>
      <w:r>
        <w:rPr>
          <w:vertAlign w:val="baseline"/>
        </w:rPr>
        <w:t>not,</w:t>
      </w:r>
    </w:p>
    <w:p>
      <w:pPr>
        <w:pStyle w:val="BodyText"/>
        <w:spacing w:before="7"/>
        <w:rPr>
          <w:sz w:val="12"/>
        </w:rPr>
      </w:pPr>
    </w:p>
    <w:p>
      <w:pPr>
        <w:spacing w:before="120"/>
        <w:ind w:left="811" w:right="1003" w:firstLine="0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  <w:vertAlign w:val="baseline"/>
        </w:rPr>
        <w:t> EMEs countries included Argentina, Brazil, Hungary, Israel, Korea, the Philippines, Singapore, South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Africa, Thailand, and Turkey.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panel of developing countries consisted of Bolivia, Colombia, Costa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Rica,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Dominican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Republic,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Ecuador,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Guyana,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Malawi,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Morocco,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Pakistan,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Paraguay,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Venezuela.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9"/>
        <w:jc w:val="both"/>
      </w:pPr>
      <w:r>
        <w:rPr/>
        <w:drawing>
          <wp:anchor distT="0" distB="0" distL="0" distR="0" allowOverlap="1" layoutInCell="1" locked="0" behindDoc="1" simplePos="0" relativeHeight="477933056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biases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technique, TVC, was introduced to correct specific econometric problems, such as, model</w:t>
      </w:r>
      <w:r>
        <w:rPr>
          <w:spacing w:val="-57"/>
        </w:rPr>
        <w:t> </w:t>
      </w:r>
      <w:r>
        <w:rPr/>
        <w:t>misspecification, which may take the form of either omission of variables, measurement</w:t>
      </w:r>
      <w:r>
        <w:rPr>
          <w:spacing w:val="1"/>
        </w:rPr>
        <w:t> </w:t>
      </w:r>
      <w:r>
        <w:rPr/>
        <w:t>errors, and or incorrect functional forms that GMM could not accommodate.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unstable</w:t>
      </w:r>
      <w:r>
        <w:rPr>
          <w:spacing w:val="1"/>
        </w:rPr>
        <w:t> </w:t>
      </w:r>
      <w:r>
        <w:rPr/>
        <w:t>time-varying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coefficients.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TVC</w:t>
      </w:r>
      <w:r>
        <w:rPr>
          <w:spacing w:val="1"/>
        </w:rPr>
        <w:t> </w:t>
      </w:r>
      <w:r>
        <w:rPr/>
        <w:t>technique also tries to identify the causes of coefficient variation by using a set of driving</w:t>
      </w:r>
      <w:r>
        <w:rPr>
          <w:spacing w:val="1"/>
        </w:rPr>
        <w:t> </w:t>
      </w:r>
      <w:r>
        <w:rPr/>
        <w:t>variables or coefficient drivers.</w:t>
      </w:r>
      <w:r>
        <w:rPr>
          <w:spacing w:val="1"/>
        </w:rPr>
        <w:t> </w:t>
      </w:r>
      <w:r>
        <w:rPr/>
        <w:t>The technique involves two steps which are performed</w:t>
      </w:r>
      <w:r>
        <w:rPr>
          <w:spacing w:val="1"/>
        </w:rPr>
        <w:t> </w:t>
      </w:r>
      <w:r>
        <w:rPr/>
        <w:t>simultaneously:</w:t>
      </w:r>
    </w:p>
    <w:p>
      <w:pPr>
        <w:pStyle w:val="ListParagraph"/>
        <w:numPr>
          <w:ilvl w:val="0"/>
          <w:numId w:val="12"/>
        </w:numPr>
        <w:tabs>
          <w:tab w:pos="1263" w:val="left" w:leader="none"/>
        </w:tabs>
        <w:spacing w:line="360" w:lineRule="auto" w:before="1" w:after="0"/>
        <w:ind w:left="1262" w:right="995" w:hanging="452"/>
        <w:jc w:val="both"/>
        <w:rPr>
          <w:sz w:val="24"/>
        </w:rPr>
      </w:pPr>
      <w:r>
        <w:rPr>
          <w:sz w:val="24"/>
        </w:rPr>
        <w:t>the estimation of a model with coefficients that are allowed</w:t>
      </w:r>
      <w:r>
        <w:rPr>
          <w:spacing w:val="1"/>
          <w:sz w:val="24"/>
        </w:rPr>
        <w:t> </w:t>
      </w:r>
      <w:r>
        <w:rPr>
          <w:sz w:val="24"/>
        </w:rPr>
        <w:t>to vary</w:t>
      </w:r>
      <w:r>
        <w:rPr>
          <w:spacing w:val="1"/>
          <w:sz w:val="24"/>
        </w:rPr>
        <w:t> </w:t>
      </w:r>
      <w:r>
        <w:rPr>
          <w:sz w:val="24"/>
        </w:rPr>
        <w:t>due to the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misspecifications in the model; and</w:t>
      </w:r>
    </w:p>
    <w:p>
      <w:pPr>
        <w:pStyle w:val="ListParagraph"/>
        <w:numPr>
          <w:ilvl w:val="0"/>
          <w:numId w:val="12"/>
        </w:numPr>
        <w:tabs>
          <w:tab w:pos="1263" w:val="left" w:leader="none"/>
        </w:tabs>
        <w:spacing w:line="360" w:lineRule="auto" w:before="200" w:after="0"/>
        <w:ind w:left="1262" w:right="1001" w:hanging="452"/>
        <w:jc w:val="both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identification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specification</w:t>
      </w:r>
      <w:r>
        <w:rPr>
          <w:spacing w:val="37"/>
          <w:sz w:val="24"/>
        </w:rPr>
        <w:t> </w:t>
      </w:r>
      <w:r>
        <w:rPr>
          <w:sz w:val="24"/>
        </w:rPr>
        <w:t>biases</w:t>
      </w:r>
      <w:r>
        <w:rPr>
          <w:spacing w:val="37"/>
          <w:sz w:val="24"/>
        </w:rPr>
        <w:t> </w:t>
      </w:r>
      <w:r>
        <w:rPr>
          <w:sz w:val="24"/>
        </w:rPr>
        <w:t>that</w:t>
      </w:r>
      <w:r>
        <w:rPr>
          <w:spacing w:val="36"/>
          <w:sz w:val="24"/>
        </w:rPr>
        <w:t> </w:t>
      </w:r>
      <w:r>
        <w:rPr>
          <w:sz w:val="24"/>
        </w:rPr>
        <w:t>affect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underlying</w:t>
      </w:r>
      <w:r>
        <w:rPr>
          <w:spacing w:val="34"/>
          <w:sz w:val="24"/>
        </w:rPr>
        <w:t> </w:t>
      </w:r>
      <w:r>
        <w:rPr>
          <w:sz w:val="24"/>
        </w:rPr>
        <w:t>coefficients</w:t>
      </w:r>
      <w:r>
        <w:rPr>
          <w:spacing w:val="-58"/>
          <w:sz w:val="24"/>
        </w:rPr>
        <w:t> </w:t>
      </w:r>
      <w:r>
        <w:rPr>
          <w:sz w:val="24"/>
        </w:rPr>
        <w:t>and hence removes these biases.</w:t>
      </w:r>
      <w:r>
        <w:rPr>
          <w:spacing w:val="1"/>
          <w:sz w:val="24"/>
        </w:rPr>
        <w:t> </w:t>
      </w:r>
      <w:r>
        <w:rPr>
          <w:sz w:val="24"/>
        </w:rPr>
        <w:t>Following these procedures successfully, it will</w:t>
      </w:r>
      <w:r>
        <w:rPr>
          <w:spacing w:val="1"/>
          <w:sz w:val="24"/>
        </w:rPr>
        <w:t> </w:t>
      </w:r>
      <w:r>
        <w:rPr>
          <w:sz w:val="24"/>
        </w:rPr>
        <w:t>reveal the underlying bias-free coefficients stable parameters of interest.</w:t>
      </w:r>
      <w:r>
        <w:rPr>
          <w:spacing w:val="61"/>
          <w:sz w:val="24"/>
        </w:rPr>
        <w:t> </w:t>
      </w:r>
      <w:r>
        <w:rPr>
          <w:sz w:val="24"/>
        </w:rPr>
        <w:t>In this</w:t>
      </w:r>
      <w:r>
        <w:rPr>
          <w:spacing w:val="1"/>
          <w:sz w:val="24"/>
        </w:rPr>
        <w:t> </w:t>
      </w:r>
      <w:r>
        <w:rPr>
          <w:sz w:val="24"/>
        </w:rPr>
        <w:t>study, two</w:t>
      </w:r>
      <w:r>
        <w:rPr>
          <w:spacing w:val="1"/>
          <w:sz w:val="24"/>
        </w:rPr>
        <w:t> </w:t>
      </w:r>
      <w:r>
        <w:rPr>
          <w:sz w:val="24"/>
        </w:rPr>
        <w:t>Africa countries were included, South Africa 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60"/>
          <w:sz w:val="24"/>
        </w:rPr>
        <w:t> </w:t>
      </w:r>
      <w:r>
        <w:rPr>
          <w:sz w:val="24"/>
        </w:rPr>
        <w:t>EME and Malawi</w:t>
      </w:r>
      <w:r>
        <w:rPr>
          <w:spacing w:val="1"/>
          <w:sz w:val="24"/>
        </w:rPr>
        <w:t> </w:t>
      </w:r>
      <w:r>
        <w:rPr>
          <w:sz w:val="24"/>
        </w:rPr>
        <w:t>taken as a developing country.</w:t>
      </w:r>
      <w:r>
        <w:rPr>
          <w:spacing w:val="1"/>
          <w:sz w:val="24"/>
        </w:rPr>
        <w:t> </w:t>
      </w:r>
      <w:r>
        <w:rPr>
          <w:sz w:val="24"/>
        </w:rPr>
        <w:t>The findings for Malawi therefore, might be used to</w:t>
      </w:r>
      <w:r>
        <w:rPr>
          <w:spacing w:val="1"/>
          <w:sz w:val="24"/>
        </w:rPr>
        <w:t> </w:t>
      </w:r>
      <w:r>
        <w:rPr>
          <w:sz w:val="24"/>
        </w:rPr>
        <w:t>interpret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countries in</w:t>
      </w:r>
      <w:r>
        <w:rPr>
          <w:spacing w:val="-1"/>
          <w:sz w:val="24"/>
        </w:rPr>
        <w:t> </w:t>
      </w:r>
      <w:r>
        <w:rPr>
          <w:sz w:val="24"/>
        </w:rPr>
        <w:t>the SSA that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characteristics.</w:t>
      </w:r>
    </w:p>
    <w:p>
      <w:pPr>
        <w:pStyle w:val="BodyText"/>
        <w:spacing w:line="360" w:lineRule="auto" w:before="199"/>
        <w:ind w:left="811" w:right="995"/>
        <w:jc w:val="both"/>
      </w:pPr>
      <w:r>
        <w:rPr/>
        <w:t>Several findings are discernible from this monumental research.</w:t>
      </w:r>
      <w:r>
        <w:rPr>
          <w:spacing w:val="1"/>
        </w:rPr>
        <w:t> </w:t>
      </w:r>
      <w:r>
        <w:rPr/>
        <w:t>There exists a negative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volatility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eleven</w:t>
      </w:r>
      <w:r>
        <w:rPr>
          <w:spacing w:val="1"/>
        </w:rPr>
        <w:t> </w:t>
      </w:r>
      <w:r>
        <w:rPr/>
        <w:t>non-EME</w:t>
      </w:r>
      <w:r>
        <w:rPr>
          <w:spacing w:val="1"/>
        </w:rPr>
        <w:t> </w:t>
      </w:r>
      <w:r>
        <w:rPr/>
        <w:t>developing countries while the results for the EMEs showed the contrary.</w:t>
      </w:r>
      <w:r>
        <w:rPr>
          <w:spacing w:val="1"/>
        </w:rPr>
        <w:t> </w:t>
      </w:r>
      <w:r>
        <w:rPr/>
        <w:t>The study</w:t>
      </w:r>
      <w:r>
        <w:rPr>
          <w:spacing w:val="1"/>
        </w:rPr>
        <w:t> </w:t>
      </w:r>
      <w:r>
        <w:rPr/>
        <w:t>observed that there existed an open capital markets in the EMEs and this might have</w:t>
      </w:r>
      <w:r>
        <w:rPr>
          <w:spacing w:val="1"/>
        </w:rPr>
        <w:t> </w:t>
      </w:r>
      <w:r>
        <w:rPr/>
        <w:t>caused a fluctuation in the exchange rate.</w:t>
      </w:r>
      <w:r>
        <w:rPr>
          <w:spacing w:val="1"/>
        </w:rPr>
        <w:t> </w:t>
      </w:r>
      <w:r>
        <w:rPr/>
        <w:t>Evaluating the estimation techniques used, it</w:t>
      </w:r>
      <w:r>
        <w:rPr>
          <w:spacing w:val="1"/>
        </w:rPr>
        <w:t> </w:t>
      </w:r>
      <w:r>
        <w:rPr/>
        <w:t>could be considered adequate for the following consideration.</w:t>
      </w:r>
      <w:r>
        <w:rPr>
          <w:spacing w:val="1"/>
        </w:rPr>
        <w:t> </w:t>
      </w:r>
      <w:r>
        <w:rPr/>
        <w:t>The introduction of the</w:t>
      </w:r>
      <w:r>
        <w:rPr>
          <w:spacing w:val="1"/>
        </w:rPr>
        <w:t> </w:t>
      </w:r>
      <w:r>
        <w:rPr/>
        <w:t>TVC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GMM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consistency of the study.</w:t>
      </w:r>
      <w:r>
        <w:rPr>
          <w:spacing w:val="1"/>
        </w:rPr>
        <w:t> </w:t>
      </w:r>
      <w:r>
        <w:rPr/>
        <w:t>For this </w:t>
      </w:r>
      <w:r>
        <w:rPr>
          <w:i/>
        </w:rPr>
        <w:t>raison d'être</w:t>
      </w:r>
      <w:r>
        <w:rPr/>
        <w:t>, such could be recommended in regional</w:t>
      </w:r>
      <w:r>
        <w:rPr>
          <w:spacing w:val="1"/>
        </w:rPr>
        <w:t> </w:t>
      </w:r>
      <w:r>
        <w:rPr/>
        <w:t>studies.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47" w:id="27"/>
      <w:r>
        <w:rPr/>
        <w:t>Exchange</w:t>
      </w:r>
      <w:r>
        <w:rPr>
          <w:spacing w:val="-3"/>
        </w:rPr>
        <w:t> </w:t>
      </w:r>
      <w:r>
        <w:rPr/>
        <w:t>Rates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sub-Components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Account</w:t>
      </w:r>
      <w:r>
        <w:rPr>
          <w:spacing w:val="-1"/>
        </w:rPr>
        <w:t> </w:t>
      </w:r>
      <w:bookmarkEnd w:id="27"/>
      <w:r>
        <w:rPr/>
        <w:t>Balance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4"/>
        <w:jc w:val="both"/>
      </w:pPr>
      <w:r>
        <w:rPr/>
        <w:drawing>
          <wp:anchor distT="0" distB="0" distL="0" distR="0" allowOverlap="1" layoutInCell="1" locked="0" behindDoc="1" simplePos="0" relativeHeight="477933568">
            <wp:simplePos x="0" y="0"/>
            <wp:positionH relativeFrom="page">
              <wp:posOffset>1485138</wp:posOffset>
            </wp:positionH>
            <wp:positionV relativeFrom="paragraph">
              <wp:posOffset>1180631</wp:posOffset>
            </wp:positionV>
            <wp:extent cx="5102225" cy="5044439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Even though remittances are not adequately defined in the balance of payments, it now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recipient,</w:t>
      </w:r>
      <w:r>
        <w:rPr>
          <w:spacing w:val="1"/>
        </w:rPr>
        <w:t> </w:t>
      </w:r>
      <w:r>
        <w:rPr/>
        <w:t>especially in developing countries.</w:t>
      </w:r>
      <w:r>
        <w:rPr>
          <w:spacing w:val="1"/>
        </w:rPr>
        <w:t> </w:t>
      </w:r>
      <w:r>
        <w:rPr/>
        <w:t>According to Reinke (2007), remittances consist of</w:t>
      </w:r>
      <w:r>
        <w:rPr>
          <w:spacing w:val="1"/>
        </w:rPr>
        <w:t> </w:t>
      </w:r>
      <w:r>
        <w:rPr/>
        <w:t>goods and/or financial instruments transferred by migrants living and working in new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migrant</w:t>
      </w:r>
      <w:r>
        <w:rPr>
          <w:spacing w:val="1"/>
        </w:rPr>
        <w:t> </w:t>
      </w:r>
      <w:r>
        <w:rPr/>
        <w:t>resided</w:t>
      </w:r>
      <w:r>
        <w:rPr>
          <w:spacing w:val="1"/>
        </w:rPr>
        <w:t> </w:t>
      </w:r>
      <w:r>
        <w:rPr/>
        <w:t>formally.</w:t>
      </w:r>
      <w:r>
        <w:rPr>
          <w:spacing w:val="1"/>
        </w:rPr>
        <w:t> </w:t>
      </w:r>
      <w:r>
        <w:rPr/>
        <w:t>Theoretically, the impacts of remittances on an economy are two-fold.</w:t>
      </w:r>
      <w:r>
        <w:rPr>
          <w:spacing w:val="1"/>
        </w:rPr>
        <w:t> </w:t>
      </w:r>
      <w:r>
        <w:rPr/>
        <w:t>On the positive</w:t>
      </w:r>
      <w:r>
        <w:rPr>
          <w:spacing w:val="1"/>
        </w:rPr>
        <w:t> </w:t>
      </w:r>
      <w:r>
        <w:rPr/>
        <w:t>side, remittances promote growth by serving as a source of foreign exchange which could</w:t>
      </w:r>
      <w:r>
        <w:rPr>
          <w:spacing w:val="1"/>
        </w:rPr>
        <w:t> </w:t>
      </w:r>
      <w:r>
        <w:rPr/>
        <w:t>be used to finance business investment (Amuedo-Dorantes and Pozo, 2006a; Woodruff</w:t>
      </w:r>
      <w:r>
        <w:rPr>
          <w:spacing w:val="1"/>
        </w:rPr>
        <w:t> </w:t>
      </w:r>
      <w:r>
        <w:rPr/>
        <w:t>and Zenteno, 2007) and the acquisition of human capital through spending on education</w:t>
      </w:r>
      <w:r>
        <w:rPr>
          <w:spacing w:val="1"/>
        </w:rPr>
        <w:t> </w:t>
      </w:r>
      <w:r>
        <w:rPr/>
        <w:t>and health (Edwards and Ureta 2003).</w:t>
      </w:r>
      <w:r>
        <w:rPr>
          <w:spacing w:val="1"/>
        </w:rPr>
        <w:t> </w:t>
      </w:r>
      <w:r>
        <w:rPr/>
        <w:t>Conversely, Freund </w:t>
      </w:r>
      <w:r>
        <w:rPr>
          <w:i/>
        </w:rPr>
        <w:t>et al., </w:t>
      </w:r>
      <w:r>
        <w:rPr/>
        <w:t>(2008) presented that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remittances</w:t>
      </w:r>
      <w:r>
        <w:rPr>
          <w:spacing w:val="1"/>
        </w:rPr>
        <w:t> </w:t>
      </w:r>
      <w:r>
        <w:rPr/>
        <w:t>inflow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foreign</w:t>
      </w:r>
      <w:r>
        <w:rPr>
          <w:spacing w:val="1"/>
        </w:rPr>
        <w:t> </w:t>
      </w:r>
      <w:r>
        <w:rPr/>
        <w:t>currency in the foreign exchange market.   This may thus perpetrates an appreciation of</w:t>
      </w:r>
      <w:r>
        <w:rPr>
          <w:spacing w:val="1"/>
        </w:rPr>
        <w:t> </w:t>
      </w:r>
      <w:r>
        <w:rPr/>
        <w:t>the local currency in the exchange market. This makes a country to loss its external</w:t>
      </w:r>
      <w:r>
        <w:rPr>
          <w:spacing w:val="1"/>
        </w:rPr>
        <w:t> </w:t>
      </w:r>
      <w:r>
        <w:rPr/>
        <w:t>competiveness.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4"/>
        <w:jc w:val="both"/>
      </w:pPr>
      <w:r>
        <w:rPr/>
        <w:t>Hypothetically, the relationship between exchange rate and remittances might commence</w:t>
      </w:r>
      <w:r>
        <w:rPr>
          <w:spacing w:val="1"/>
        </w:rPr>
        <w:t> </w:t>
      </w:r>
      <w:r>
        <w:rPr/>
        <w:t>with the households and the recipients‘ countries.</w:t>
      </w:r>
      <w:r>
        <w:rPr>
          <w:spacing w:val="1"/>
        </w:rPr>
        <w:t> </w:t>
      </w:r>
      <w:r>
        <w:rPr/>
        <w:t>For many households, especially in</w:t>
      </w:r>
      <w:r>
        <w:rPr>
          <w:spacing w:val="1"/>
        </w:rPr>
        <w:t> </w:t>
      </w:r>
      <w:r>
        <w:rPr/>
        <w:t>developing countries, remittances are</w:t>
      </w:r>
      <w:r>
        <w:rPr>
          <w:spacing w:val="1"/>
        </w:rPr>
        <w:t> </w:t>
      </w:r>
      <w:r>
        <w:rPr/>
        <w:t>main sources of income and</w:t>
      </w:r>
      <w:r>
        <w:rPr>
          <w:spacing w:val="1"/>
        </w:rPr>
        <w:t> </w:t>
      </w:r>
      <w:r>
        <w:rPr/>
        <w:t>also act as major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earnings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(Sander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Maimbo,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According to World Bank (Fact-book, 2011), remittances from migrant workers to their</w:t>
      </w:r>
      <w:r>
        <w:rPr>
          <w:spacing w:val="1"/>
        </w:rPr>
        <w:t> </w:t>
      </w:r>
      <w:r>
        <w:rPr/>
        <w:t>families in developing countries have statistically doubled over the last two decades.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particularly due to the high migration from countries in civil wars, drought and political</w:t>
      </w:r>
      <w:r>
        <w:rPr>
          <w:spacing w:val="-57"/>
        </w:rPr>
        <w:t> </w:t>
      </w:r>
      <w:r>
        <w:rPr/>
        <w:t>instability, among others.</w:t>
      </w:r>
      <w:r>
        <w:rPr>
          <w:spacing w:val="1"/>
        </w:rPr>
        <w:t> </w:t>
      </w:r>
      <w:r>
        <w:rPr/>
        <w:t>When compared to other international inflows, remittances are</w:t>
      </w:r>
      <w:r>
        <w:rPr>
          <w:spacing w:val="1"/>
        </w:rPr>
        <w:t> </w:t>
      </w:r>
      <w:r>
        <w:rPr/>
        <w:t>second only to foreign direct investment in size and are far larger in magnitude than other</w:t>
      </w:r>
      <w:r>
        <w:rPr>
          <w:spacing w:val="1"/>
        </w:rPr>
        <w:t> </w:t>
      </w:r>
      <w:r>
        <w:rPr/>
        <w:t>inflows.</w:t>
      </w:r>
      <w:r>
        <w:rPr>
          <w:spacing w:val="1"/>
        </w:rPr>
        <w:t> </w:t>
      </w:r>
      <w:r>
        <w:rPr/>
        <w:t>The accelerated increase of this type of inflows from $33 billion in 1991 to $80</w:t>
      </w:r>
      <w:r>
        <w:rPr>
          <w:spacing w:val="1"/>
        </w:rPr>
        <w:t> </w:t>
      </w:r>
      <w:r>
        <w:rPr/>
        <w:t>billion in 2002 (Ratha and Shaw 2007; Sander, 2003) illustrates the significance of this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 income</w:t>
      </w:r>
      <w:r>
        <w:rPr>
          <w:spacing w:val="-1"/>
        </w:rPr>
        <w:t> </w:t>
      </w:r>
      <w:r>
        <w:rPr/>
        <w:t>particularly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countries.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2"/>
          <w:numId w:val="10"/>
        </w:numPr>
        <w:tabs>
          <w:tab w:pos="1531" w:val="left" w:leader="none"/>
          <w:tab w:pos="1532" w:val="left" w:leader="none"/>
        </w:tabs>
        <w:spacing w:line="276" w:lineRule="auto" w:before="79" w:after="0"/>
        <w:ind w:left="811" w:right="1059" w:firstLine="0"/>
        <w:jc w:val="left"/>
      </w:pPr>
      <w:bookmarkStart w:name="_TOC_250046" w:id="28"/>
      <w:r>
        <w:rPr/>
        <w:t>Empirical Evidence of Exchange Rate and other sub-Components of Current</w:t>
      </w:r>
      <w:r>
        <w:rPr>
          <w:spacing w:val="-57"/>
        </w:rPr>
        <w:t> </w:t>
      </w:r>
      <w:r>
        <w:rPr/>
        <w:t>Account</w:t>
      </w:r>
      <w:r>
        <w:rPr>
          <w:spacing w:val="-1"/>
        </w:rPr>
        <w:t> </w:t>
      </w:r>
      <w:bookmarkEnd w:id="28"/>
      <w:r>
        <w:rPr/>
        <w:t>Balance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360" w:lineRule="auto"/>
        <w:ind w:left="811" w:right="1002"/>
        <w:jc w:val="both"/>
      </w:pPr>
      <w:r>
        <w:rPr/>
        <w:t>This section provides a review on the relationship between exchange rate and remittances.</w:t>
      </w:r>
      <w:r>
        <w:rPr>
          <w:spacing w:val="-57"/>
        </w:rPr>
        <w:t> </w:t>
      </w:r>
      <w:r>
        <w:rPr/>
        <w:t>Most of these studies adopted panel, granger causality tests, and dynamic and general</w:t>
      </w:r>
      <w:r>
        <w:rPr>
          <w:spacing w:val="1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models, while</w:t>
      </w:r>
      <w:r>
        <w:rPr>
          <w:spacing w:val="-1"/>
        </w:rPr>
        <w:t> </w:t>
      </w:r>
      <w:r>
        <w:rPr/>
        <w:t>others are</w:t>
      </w:r>
      <w:r>
        <w:rPr>
          <w:spacing w:val="-1"/>
        </w:rPr>
        <w:t> </w:t>
      </w:r>
      <w:r>
        <w:rPr/>
        <w:t>country-specific.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934080">
            <wp:simplePos x="0" y="0"/>
            <wp:positionH relativeFrom="page">
              <wp:posOffset>1485138</wp:posOffset>
            </wp:positionH>
            <wp:positionV relativeFrom="paragraph">
              <wp:posOffset>98591</wp:posOffset>
            </wp:positionV>
            <wp:extent cx="5102225" cy="5044439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Adopting a panel analysis approach, Fajnzylber and Lopez (2006) showed that in seven of</w:t>
      </w:r>
      <w:r>
        <w:rPr>
          <w:spacing w:val="-57"/>
        </w:rPr>
        <w:t> </w:t>
      </w:r>
      <w:r>
        <w:rPr/>
        <w:t>the eight Latin American countries with the highest remittances-to-income ratio, it was</w:t>
      </w:r>
      <w:r>
        <w:rPr>
          <w:spacing w:val="1"/>
        </w:rPr>
        <w:t> </w:t>
      </w:r>
      <w:r>
        <w:rPr/>
        <w:t>possible to observe a real exchange rate appreciation that ran parallel to an increase in the</w:t>
      </w:r>
      <w:r>
        <w:rPr>
          <w:spacing w:val="1"/>
        </w:rPr>
        <w:t> </w:t>
      </w:r>
      <w:r>
        <w:rPr/>
        <w:t>remittances-to-income</w:t>
      </w:r>
      <w:r>
        <w:rPr>
          <w:spacing w:val="1"/>
        </w:rPr>
        <w:t> </w:t>
      </w:r>
      <w:r>
        <w:rPr/>
        <w:t>ratio.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Amuedo-Dorantes and Pozo (2002), testing the impact of workers‘ remittances on real</w:t>
      </w:r>
      <w:r>
        <w:rPr>
          <w:spacing w:val="1"/>
        </w:rPr>
        <w:t> </w:t>
      </w:r>
      <w:r>
        <w:rPr/>
        <w:t>exchange rate using a panel of 13 Latin American and Caribbean countries, argue that</w:t>
      </w:r>
      <w:r>
        <w:rPr>
          <w:spacing w:val="1"/>
        </w:rPr>
        <w:t> </w:t>
      </w:r>
      <w:r>
        <w:rPr/>
        <w:t>workers‘ remittances have the potential to inflict economic costs on receiving economies.</w:t>
      </w:r>
      <w:r>
        <w:rPr>
          <w:spacing w:val="1"/>
        </w:rPr>
        <w:t> </w:t>
      </w:r>
      <w:r>
        <w:rPr/>
        <w:t>Their study revealed that flows in the form of gifts usually cause growth of parallel</w:t>
      </w:r>
      <w:r>
        <w:rPr>
          <w:spacing w:val="1"/>
        </w:rPr>
        <w:t> </w:t>
      </w:r>
      <w:r>
        <w:rPr/>
        <w:t>foreign exchange rate markets, resulting in the appreciation of the real exchange rate. The</w:t>
      </w:r>
      <w:r>
        <w:rPr>
          <w:spacing w:val="-57"/>
        </w:rPr>
        <w:t> </w:t>
      </w:r>
      <w:r>
        <w:rPr/>
        <w:t>empirical result states that doubling workers‘ remittances would result in an appreciation</w:t>
      </w:r>
      <w:r>
        <w:rPr>
          <w:spacing w:val="1"/>
        </w:rPr>
        <w:t> </w:t>
      </w:r>
      <w:r>
        <w:rPr/>
        <w:t>of the real exchange rate by about 22% in the countries considered.</w:t>
      </w:r>
      <w:r>
        <w:rPr>
          <w:spacing w:val="1"/>
        </w:rPr>
        <w:t> </w:t>
      </w:r>
      <w:r>
        <w:rPr/>
        <w:t>In an earlier study,</w:t>
      </w:r>
      <w:r>
        <w:rPr>
          <w:spacing w:val="1"/>
        </w:rPr>
        <w:t> </w:t>
      </w:r>
      <w:r>
        <w:rPr/>
        <w:t>Swanson (1979) also posited that although remitted earnings may prove to be useful in</w:t>
      </w:r>
      <w:r>
        <w:rPr>
          <w:spacing w:val="1"/>
        </w:rPr>
        <w:t> </w:t>
      </w:r>
      <w:r>
        <w:rPr/>
        <w:t>correcting</w:t>
      </w:r>
      <w:r>
        <w:rPr>
          <w:spacing w:val="-2"/>
        </w:rPr>
        <w:t> </w:t>
      </w:r>
      <w:r>
        <w:rPr/>
        <w:t>BoP problems, they</w:t>
      </w:r>
      <w:r>
        <w:rPr>
          <w:spacing w:val="-3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contributed</w:t>
      </w:r>
      <w:r>
        <w:rPr>
          <w:spacing w:val="-1"/>
        </w:rPr>
        <w:t> </w:t>
      </w:r>
      <w:r>
        <w:rPr/>
        <w:t>little to economic</w:t>
      </w:r>
      <w:r>
        <w:rPr>
          <w:spacing w:val="-1"/>
        </w:rPr>
        <w:t> </w:t>
      </w:r>
      <w:r>
        <w:rPr/>
        <w:t>growth.</w:t>
      </w:r>
    </w:p>
    <w:p>
      <w:pPr>
        <w:pStyle w:val="BodyText"/>
        <w:spacing w:line="360" w:lineRule="auto" w:before="202"/>
        <w:ind w:left="811" w:right="996"/>
        <w:jc w:val="both"/>
      </w:pPr>
      <w:r>
        <w:rPr/>
        <w:t>Analysing the relationship between exchange rate and remittance, Fainin (1994); and</w:t>
      </w:r>
      <w:r>
        <w:rPr>
          <w:spacing w:val="1"/>
        </w:rPr>
        <w:t> </w:t>
      </w:r>
      <w:r>
        <w:rPr/>
        <w:t>Vargas-Silva and Pozo (2006) suggested that exchange rate and remittances should not be</w:t>
      </w:r>
      <w:r>
        <w:rPr>
          <w:spacing w:val="-57"/>
        </w:rPr>
        <w:t> </w:t>
      </w:r>
      <w:r>
        <w:rPr/>
        <w:t>considered only in a unilateral way.     This implies that changes in exchange rate may</w:t>
      </w:r>
      <w:r>
        <w:rPr>
          <w:spacing w:val="1"/>
        </w:rPr>
        <w:t> </w:t>
      </w:r>
      <w:r>
        <w:rPr/>
        <w:t>have the tendency to influence remittances. A depreciation of the exchange rate may</w:t>
      </w:r>
      <w:r>
        <w:rPr>
          <w:spacing w:val="1"/>
        </w:rPr>
        <w:t> </w:t>
      </w:r>
      <w:r>
        <w:rPr/>
        <w:t>permit remitters to buy more home currency with a given level of foreign currency.</w:t>
      </w:r>
      <w:r>
        <w:rPr>
          <w:spacing w:val="1"/>
        </w:rPr>
        <w:t> </w:t>
      </w:r>
      <w:r>
        <w:rPr/>
        <w:t>If the</w:t>
      </w:r>
      <w:r>
        <w:rPr>
          <w:spacing w:val="-57"/>
        </w:rPr>
        <w:t> </w:t>
      </w:r>
      <w:r>
        <w:rPr/>
        <w:t>remitters care more about their families receiving specific lump-sum amount in the home</w:t>
      </w:r>
      <w:r>
        <w:rPr>
          <w:spacing w:val="1"/>
        </w:rPr>
        <w:t> </w:t>
      </w:r>
      <w:r>
        <w:rPr/>
        <w:t>currency, they will be able to accomplish this goal with smaller remittance outflows of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counteracted by a substitution effect, according to which, depreciation lowers the relative</w:t>
      </w:r>
      <w:r>
        <w:rPr>
          <w:spacing w:val="1"/>
        </w:rPr>
        <w:t> </w:t>
      </w:r>
      <w:r>
        <w:rPr/>
        <w:t>price of goods in the home country, driving remitters to send more in order to take</w:t>
      </w:r>
      <w:r>
        <w:rPr>
          <w:spacing w:val="1"/>
        </w:rPr>
        <w:t> </w:t>
      </w:r>
      <w:r>
        <w:rPr/>
        <w:t>advantage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difference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relative</w:t>
      </w:r>
      <w:r>
        <w:rPr>
          <w:spacing w:val="43"/>
        </w:rPr>
        <w:t> </w:t>
      </w:r>
      <w:r>
        <w:rPr/>
        <w:t>prices.</w:t>
      </w:r>
      <w:r>
        <w:rPr>
          <w:spacing w:val="32"/>
        </w:rPr>
        <w:t> </w:t>
      </w:r>
      <w:r>
        <w:rPr/>
        <w:t>Therefore,</w:t>
      </w:r>
      <w:r>
        <w:rPr>
          <w:spacing w:val="44"/>
        </w:rPr>
        <w:t> </w:t>
      </w:r>
      <w:r>
        <w:rPr/>
        <w:t>whether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remitters</w:t>
      </w:r>
      <w:r>
        <w:rPr>
          <w:spacing w:val="43"/>
        </w:rPr>
        <w:t> </w:t>
      </w:r>
      <w:r>
        <w:rPr/>
        <w:t>remit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1003"/>
        <w:jc w:val="both"/>
      </w:pPr>
      <w:r>
        <w:rPr/>
        <w:t>more or less depends on whether the income versus the substitution effect dominates</w:t>
      </w:r>
      <w:r>
        <w:rPr>
          <w:spacing w:val="1"/>
        </w:rPr>
        <w:t> </w:t>
      </w:r>
      <w:r>
        <w:rPr/>
        <w:t>(Catalina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2007).</w:t>
      </w:r>
    </w:p>
    <w:p>
      <w:pPr>
        <w:pStyle w:val="BodyText"/>
        <w:spacing w:line="360" w:lineRule="auto" w:before="200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34592">
            <wp:simplePos x="0" y="0"/>
            <wp:positionH relativeFrom="page">
              <wp:posOffset>1485138</wp:posOffset>
            </wp:positionH>
            <wp:positionV relativeFrom="paragraph">
              <wp:posOffset>1069887</wp:posOffset>
            </wp:positionV>
            <wp:extent cx="5102225" cy="5044439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 data for Guatemala, Fuentes </w:t>
      </w:r>
      <w:r>
        <w:rPr>
          <w:i/>
        </w:rPr>
        <w:t>et al., </w:t>
      </w:r>
      <w:r>
        <w:rPr/>
        <w:t>(2008) observed that remittances increased by</w:t>
      </w:r>
      <w:r>
        <w:rPr>
          <w:spacing w:val="1"/>
        </w:rPr>
        <w:t> </w:t>
      </w:r>
      <w:r>
        <w:rPr/>
        <w:t>more than four times as the share of the country‘s GDP over the last decade ending 2005.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concurrently.</w:t>
      </w:r>
      <w:r>
        <w:rPr>
          <w:spacing w:val="1"/>
        </w:rPr>
        <w:t> </w:t>
      </w:r>
      <w:r>
        <w:rPr/>
        <w:t>The researchers developed fully stochastic, dynamic, general equilibrium</w:t>
      </w:r>
      <w:r>
        <w:rPr>
          <w:spacing w:val="1"/>
        </w:rPr>
        <w:t> </w:t>
      </w:r>
      <w:r>
        <w:rPr/>
        <w:t>model to draw conclusion on this relationship.</w:t>
      </w:r>
      <w:r>
        <w:rPr>
          <w:spacing w:val="1"/>
        </w:rPr>
        <w:t> </w:t>
      </w:r>
      <w:r>
        <w:rPr/>
        <w:t>The findings were that in the short-run,</w:t>
      </w:r>
      <w:r>
        <w:rPr>
          <w:spacing w:val="1"/>
        </w:rPr>
        <w:t> </w:t>
      </w:r>
      <w:r>
        <w:rPr/>
        <w:t>remittances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long-run</w:t>
      </w:r>
      <w:r>
        <w:rPr>
          <w:spacing w:val="1"/>
        </w:rPr>
        <w:t> </w:t>
      </w:r>
      <w:r>
        <w:rPr/>
        <w:t>repercussion</w:t>
      </w:r>
      <w:r>
        <w:rPr>
          <w:spacing w:val="-1"/>
        </w:rPr>
        <w:t> </w:t>
      </w:r>
      <w:r>
        <w:rPr/>
        <w:t>could not be</w:t>
      </w:r>
      <w:r>
        <w:rPr>
          <w:spacing w:val="-1"/>
        </w:rPr>
        <w:t> </w:t>
      </w:r>
      <w:r>
        <w:rPr/>
        <w:t>ascertained for the</w:t>
      </w:r>
      <w:r>
        <w:rPr>
          <w:spacing w:val="-3"/>
        </w:rPr>
        <w:t> </w:t>
      </w:r>
      <w:r>
        <w:rPr/>
        <w:t>country.</w:t>
      </w:r>
    </w:p>
    <w:p>
      <w:pPr>
        <w:pStyle w:val="BodyText"/>
        <w:spacing w:line="360" w:lineRule="auto" w:before="201"/>
        <w:ind w:left="811" w:right="993"/>
        <w:jc w:val="both"/>
      </w:pPr>
      <w:r>
        <w:rPr/>
        <w:t>Even</w:t>
      </w:r>
      <w:r>
        <w:rPr>
          <w:spacing w:val="13"/>
        </w:rPr>
        <w:t> </w:t>
      </w:r>
      <w:r>
        <w:rPr/>
        <w:t>though</w:t>
      </w:r>
      <w:r>
        <w:rPr>
          <w:spacing w:val="15"/>
        </w:rPr>
        <w:t> </w:t>
      </w:r>
      <w:r>
        <w:rPr/>
        <w:t>empirical</w:t>
      </w:r>
      <w:r>
        <w:rPr>
          <w:spacing w:val="17"/>
        </w:rPr>
        <w:t> </w:t>
      </w:r>
      <w:r>
        <w:rPr/>
        <w:t>work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subject</w:t>
      </w:r>
      <w:r>
        <w:rPr>
          <w:spacing w:val="14"/>
        </w:rPr>
        <w:t> </w:t>
      </w:r>
      <w:r>
        <w:rPr/>
        <w:t>matter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Africa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scarce,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relevance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it</w:t>
      </w:r>
      <w:r>
        <w:rPr>
          <w:spacing w:val="-58"/>
        </w:rPr>
        <w:t> </w:t>
      </w:r>
      <w:r>
        <w:rPr/>
        <w:t>in BoP statistics is vast. De Haan and Sturm (2000); and World Bank (2011), provided</w:t>
      </w:r>
      <w:r>
        <w:rPr>
          <w:spacing w:val="1"/>
        </w:rPr>
        <w:t> </w:t>
      </w:r>
      <w:r>
        <w:rPr/>
        <w:t>cases for specific countries. For instance, in Botswana, international remittances covered</w:t>
      </w:r>
      <w:r>
        <w:rPr>
          <w:spacing w:val="1"/>
        </w:rPr>
        <w:t> </w:t>
      </w:r>
      <w:r>
        <w:rPr/>
        <w:t>over 80% of its current account deficit in the 1980s (Da Haan and Sturm 2000).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amount was equivalent to almost three-quarters of the total commodity export earnings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earnings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Lesotho, respectively.</w:t>
      </w:r>
      <w:r>
        <w:rPr>
          <w:spacing w:val="1"/>
        </w:rPr>
        <w:t> </w:t>
      </w:r>
      <w:r>
        <w:rPr/>
        <w:t>Also, remittances of Lesotho migrant in South Africa mines in the</w:t>
      </w:r>
      <w:r>
        <w:rPr>
          <w:spacing w:val="-57"/>
        </w:rPr>
        <w:t> </w:t>
      </w:r>
      <w:r>
        <w:rPr/>
        <w:t>1990s accounted for over 60% of the country‘s GDP</w:t>
      </w:r>
      <w:r>
        <w:rPr>
          <w:vertAlign w:val="superscript"/>
        </w:rPr>
        <w:t>20</w:t>
      </w:r>
      <w:r>
        <w:rPr>
          <w:vertAlign w:val="baseline"/>
        </w:rPr>
        <w:t> (International Organization for</w:t>
      </w:r>
      <w:r>
        <w:rPr>
          <w:spacing w:val="1"/>
          <w:vertAlign w:val="baseline"/>
        </w:rPr>
        <w:t> </w:t>
      </w:r>
      <w:r>
        <w:rPr>
          <w:vertAlign w:val="baseline"/>
        </w:rPr>
        <w:t>Migration (IOM), 2000); and had one of Africa‘s highest remittances per capita (US$291)</w:t>
      </w:r>
      <w:r>
        <w:rPr>
          <w:spacing w:val="-57"/>
          <w:vertAlign w:val="baseline"/>
        </w:rPr>
        <w:t> </w:t>
      </w:r>
      <w:r>
        <w:rPr>
          <w:vertAlign w:val="baseline"/>
        </w:rPr>
        <w:t>in 2011.</w:t>
      </w:r>
      <w:r>
        <w:rPr>
          <w:spacing w:val="1"/>
          <w:vertAlign w:val="baseline"/>
        </w:rPr>
        <w:t> </w:t>
      </w:r>
      <w:r>
        <w:rPr>
          <w:vertAlign w:val="baseline"/>
        </w:rPr>
        <w:t>Likewise, between the 1990s and 2000, remittances to Ghana averaged over</w:t>
      </w:r>
      <w:r>
        <w:rPr>
          <w:spacing w:val="1"/>
          <w:vertAlign w:val="baseline"/>
        </w:rPr>
        <w:t> </w:t>
      </w:r>
      <w:r>
        <w:rPr>
          <w:vertAlign w:val="baseline"/>
        </w:rPr>
        <w:t>US$30 million per annum and constituted the country‘s fourth biggest source of 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 after cocoa, gold, and tourism (Schoorl </w:t>
      </w:r>
      <w:r>
        <w:rPr>
          <w:i/>
          <w:vertAlign w:val="baseline"/>
        </w:rPr>
        <w:t>et al., </w:t>
      </w:r>
      <w:r>
        <w:rPr>
          <w:vertAlign w:val="baseline"/>
        </w:rPr>
        <w:t>2000). According to the 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Bank of Ghana (January,</w:t>
      </w:r>
      <w:r>
        <w:rPr>
          <w:spacing w:val="60"/>
          <w:vertAlign w:val="baseline"/>
        </w:rPr>
        <w:t> </w:t>
      </w:r>
      <w:r>
        <w:rPr>
          <w:vertAlign w:val="baseline"/>
        </w:rPr>
        <w:t>2013), foreign exchange inflows in 2012 amounted to over</w:t>
      </w:r>
      <w:r>
        <w:rPr>
          <w:spacing w:val="1"/>
          <w:vertAlign w:val="baseline"/>
        </w:rPr>
        <w:t> </w:t>
      </w:r>
      <w:r>
        <w:rPr>
          <w:vertAlign w:val="baseline"/>
        </w:rPr>
        <w:t>US$4</w:t>
      </w:r>
      <w:r>
        <w:rPr>
          <w:spacing w:val="-1"/>
          <w:vertAlign w:val="baseline"/>
        </w:rPr>
        <w:t> </w:t>
      </w:r>
      <w:r>
        <w:rPr>
          <w:vertAlign w:val="baseline"/>
        </w:rPr>
        <w:t>billion; and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3"/>
          <w:vertAlign w:val="baseline"/>
        </w:rPr>
        <w:t> </w:t>
      </w:r>
      <w:r>
        <w:rPr>
          <w:vertAlign w:val="baseline"/>
        </w:rPr>
        <w:t>amount, about US$1</w:t>
      </w:r>
      <w:r>
        <w:rPr>
          <w:spacing w:val="-1"/>
          <w:vertAlign w:val="baseline"/>
        </w:rPr>
        <w:t> </w:t>
      </w:r>
      <w:r>
        <w:rPr>
          <w:vertAlign w:val="baseline"/>
        </w:rPr>
        <w:t>billion accrued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individuals.</w:t>
      </w:r>
    </w:p>
    <w:p>
      <w:pPr>
        <w:pStyle w:val="BodyText"/>
        <w:spacing w:line="360" w:lineRule="auto" w:before="200"/>
        <w:ind w:left="811" w:right="994"/>
        <w:jc w:val="both"/>
      </w:pPr>
      <w:r>
        <w:rPr/>
        <w:t>Equally, remittances to Nigeria have been growing steadily since the 1970s and reached</w:t>
      </w:r>
      <w:r>
        <w:rPr>
          <w:spacing w:val="1"/>
        </w:rPr>
        <w:t> </w:t>
      </w:r>
      <w:r>
        <w:rPr/>
        <w:t>US$10 billion in 2011 (World Bank: Emigrants and Remittances Fact book, 2011); and</w:t>
      </w:r>
      <w:r>
        <w:rPr>
          <w:spacing w:val="1"/>
        </w:rPr>
        <w:t> </w:t>
      </w:r>
      <w:r>
        <w:rPr/>
        <w:t>due to the consequences of the civil strife and economic shocks, workers‘ remittances to</w:t>
      </w:r>
      <w:r>
        <w:rPr>
          <w:spacing w:val="1"/>
        </w:rPr>
        <w:t> </w:t>
      </w:r>
      <w:r>
        <w:rPr/>
        <w:t>Sierra Leone in the last decade stood at US$41.57 million in 2010 from US$7.13 million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2000.</w:t>
      </w:r>
      <w:r>
        <w:rPr>
          <w:spacing w:val="12"/>
        </w:rPr>
        <w:t> </w:t>
      </w:r>
      <w:r>
        <w:rPr/>
        <w:t>This</w:t>
      </w:r>
      <w:r>
        <w:rPr>
          <w:spacing w:val="6"/>
        </w:rPr>
        <w:t> </w:t>
      </w:r>
      <w:r>
        <w:rPr/>
        <w:t>meant</w:t>
      </w:r>
      <w:r>
        <w:rPr>
          <w:spacing w:val="6"/>
        </w:rPr>
        <w:t> </w:t>
      </w:r>
      <w:r>
        <w:rPr/>
        <w:t>over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fourfold</w:t>
      </w:r>
      <w:r>
        <w:rPr>
          <w:spacing w:val="5"/>
        </w:rPr>
        <w:t> </w:t>
      </w:r>
      <w:r>
        <w:rPr/>
        <w:t>increase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source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flow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period.</w:t>
      </w:r>
      <w:r>
        <w:rPr>
          <w:spacing w:val="12"/>
        </w:rPr>
        <w:t> </w:t>
      </w:r>
      <w:r>
        <w:rPr/>
        <w:t>During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121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.505911pt;width:144.020pt;height:.72003pt;mso-position-horizontal-relative:page;mso-position-vertical-relative:paragraph;z-index:-2538137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year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average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(1990-1999)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country‘s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GDP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US$827.74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million.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1002"/>
        <w:jc w:val="both"/>
      </w:pPr>
      <w:r>
        <w:rPr/>
        <w:t>the same periods, depreciations in the exchange rates of these two countries were also</w:t>
      </w:r>
      <w:r>
        <w:rPr>
          <w:spacing w:val="1"/>
        </w:rPr>
        <w:t> </w:t>
      </w:r>
      <w:r>
        <w:rPr/>
        <w:t>observed.</w:t>
      </w:r>
    </w:p>
    <w:p>
      <w:pPr>
        <w:pStyle w:val="BodyText"/>
        <w:spacing w:line="360" w:lineRule="auto" w:before="200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35616">
            <wp:simplePos x="0" y="0"/>
            <wp:positionH relativeFrom="page">
              <wp:posOffset>1485138</wp:posOffset>
            </wp:positionH>
            <wp:positionV relativeFrom="paragraph">
              <wp:posOffset>1069887</wp:posOffset>
            </wp:positionV>
            <wp:extent cx="5102225" cy="5044439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can, therefore, be concluded that remittances remain major sources of foreign exchange</w:t>
      </w:r>
      <w:r>
        <w:rPr>
          <w:spacing w:val="1"/>
        </w:rPr>
        <w:t> </w:t>
      </w:r>
      <w:r>
        <w:rPr/>
        <w:t>earnings for developing countries, especially those of Africa   and continue to influence</w:t>
      </w:r>
      <w:r>
        <w:rPr>
          <w:spacing w:val="1"/>
        </w:rPr>
        <w:t> </w:t>
      </w:r>
      <w:r>
        <w:rPr/>
        <w:t>the balance of payments statistics in diverse forms.</w:t>
      </w:r>
      <w:r>
        <w:rPr>
          <w:spacing w:val="1"/>
        </w:rPr>
        <w:t> </w:t>
      </w:r>
      <w:r>
        <w:rPr/>
        <w:t>It is, however, hard to capture the</w:t>
      </w:r>
      <w:r>
        <w:rPr>
          <w:spacing w:val="1"/>
        </w:rPr>
        <w:t> </w:t>
      </w:r>
      <w:r>
        <w:rPr/>
        <w:t>actual remittances inflow into any economy including Sierra Leone.</w:t>
      </w:r>
      <w:r>
        <w:rPr>
          <w:spacing w:val="60"/>
        </w:rPr>
        <w:t> </w:t>
      </w:r>
      <w:r>
        <w:rPr/>
        <w:t>Therefore, it effects</w:t>
      </w:r>
      <w:r>
        <w:rPr>
          <w:spacing w:val="1"/>
        </w:rPr>
        <w:t> </w:t>
      </w:r>
      <w:r>
        <w:rPr/>
        <w:t>is hard to single out for further analysis. Hence, excluded from the present study but the</w:t>
      </w:r>
      <w:r>
        <w:rPr>
          <w:spacing w:val="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it provide is relevant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balance</w:t>
      </w:r>
      <w:r>
        <w:rPr>
          <w:spacing w:val="-1"/>
        </w:rPr>
        <w:t> </w:t>
      </w:r>
      <w:r>
        <w:rPr/>
        <w:t>of payments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221" w:after="0"/>
        <w:ind w:left="1531" w:right="0" w:hanging="661"/>
        <w:jc w:val="left"/>
      </w:pPr>
      <w:bookmarkStart w:name="_TOC_250045" w:id="29"/>
      <w:r>
        <w:rPr/>
        <w:t>Exchange</w:t>
      </w:r>
      <w:r>
        <w:rPr>
          <w:spacing w:val="-3"/>
        </w:rPr>
        <w:t> </w:t>
      </w:r>
      <w:r>
        <w:rPr/>
        <w:t>Rates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Account</w:t>
      </w:r>
      <w:r>
        <w:rPr>
          <w:spacing w:val="-1"/>
        </w:rPr>
        <w:t> </w:t>
      </w:r>
      <w:bookmarkEnd w:id="29"/>
      <w:r>
        <w:rPr/>
        <w:t>Balance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811" w:right="990"/>
        <w:jc w:val="both"/>
      </w:pPr>
      <w:r>
        <w:rPr/>
        <w:t>The financial account being one of the</w:t>
      </w:r>
      <w:r>
        <w:rPr>
          <w:spacing w:val="60"/>
        </w:rPr>
        <w:t> </w:t>
      </w:r>
      <w:r>
        <w:rPr/>
        <w:t>components of the balance of payments 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mainly direct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portfolio</w:t>
      </w:r>
      <w:r>
        <w:rPr>
          <w:spacing w:val="1"/>
        </w:rPr>
        <w:t> </w:t>
      </w:r>
      <w:r>
        <w:rPr/>
        <w:t>investments</w:t>
      </w:r>
      <w:r>
        <w:rPr>
          <w:vertAlign w:val="superscript"/>
        </w:rPr>
        <w:t>21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dichotomy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these two main components lies in their levels of stability when shocks occur 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 the domestic and international economies.</w:t>
      </w:r>
      <w:r>
        <w:rPr>
          <w:spacing w:val="61"/>
          <w:vertAlign w:val="baseline"/>
        </w:rPr>
        <w:t> </w:t>
      </w:r>
      <w:r>
        <w:rPr>
          <w:vertAlign w:val="baseline"/>
        </w:rPr>
        <w:t>While direct investment takes at least</w:t>
      </w:r>
      <w:r>
        <w:rPr>
          <w:spacing w:val="1"/>
          <w:vertAlign w:val="baseline"/>
        </w:rPr>
        <w:t> </w:t>
      </w:r>
      <w:r>
        <w:rPr>
          <w:vertAlign w:val="baseline"/>
        </w:rPr>
        <w:t>10%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voting</w:t>
      </w:r>
      <w:r>
        <w:rPr>
          <w:spacing w:val="1"/>
          <w:vertAlign w:val="baseline"/>
        </w:rPr>
        <w:t> </w:t>
      </w:r>
      <w:r>
        <w:rPr>
          <w:vertAlign w:val="baseline"/>
        </w:rPr>
        <w:t>capital</w:t>
      </w:r>
      <w:r>
        <w:rPr>
          <w:spacing w:val="1"/>
          <w:vertAlign w:val="baseline"/>
        </w:rPr>
        <w:t> </w:t>
      </w:r>
      <w:r>
        <w:rPr>
          <w:vertAlign w:val="baseline"/>
        </w:rPr>
        <w:t>(or</w:t>
      </w:r>
      <w:r>
        <w:rPr>
          <w:spacing w:val="1"/>
          <w:vertAlign w:val="baseline"/>
        </w:rPr>
        <w:t> </w:t>
      </w:r>
      <w:r>
        <w:rPr>
          <w:vertAlign w:val="baseline"/>
        </w:rPr>
        <w:t>equity)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enterprises,</w:t>
      </w:r>
      <w:r>
        <w:rPr>
          <w:spacing w:val="1"/>
          <w:vertAlign w:val="baseline"/>
        </w:rPr>
        <w:t> </w:t>
      </w:r>
      <w:r>
        <w:rPr>
          <w:vertAlign w:val="baseline"/>
        </w:rPr>
        <w:t>portfolio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investors‘ influence may be less than 10% equity. Also, direct investments are more</w:t>
      </w:r>
      <w:r>
        <w:rPr>
          <w:spacing w:val="1"/>
          <w:vertAlign w:val="baseline"/>
        </w:rPr>
        <w:t> </w:t>
      </w:r>
      <w:r>
        <w:rPr>
          <w:vertAlign w:val="baseline"/>
        </w:rPr>
        <w:t>stable. This implies that investors can hardly transfer their investments at short notice.</w:t>
      </w:r>
      <w:r>
        <w:rPr>
          <w:spacing w:val="1"/>
          <w:vertAlign w:val="baseline"/>
        </w:rPr>
        <w:t> </w:t>
      </w:r>
      <w:r>
        <w:rPr>
          <w:vertAlign w:val="baseline"/>
        </w:rPr>
        <w:t>Portfolio investments are, however, sensitive to changes in investment climate and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macroeconomic policies both domestically and internationally.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relationship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 rate and the financial account balance is mainly observed through these two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components.</w:t>
      </w:r>
      <w:r>
        <w:rPr>
          <w:spacing w:val="1"/>
          <w:vertAlign w:val="baseline"/>
        </w:rPr>
        <w:t> </w:t>
      </w:r>
      <w:r>
        <w:rPr>
          <w:vertAlign w:val="baseline"/>
        </w:rPr>
        <w:t>Also, the dichotomy between Financial Account Balance and the Capital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 Balance is rather thin. Therefore, the factors that relate to FAB relate also to</w:t>
      </w:r>
      <w:r>
        <w:rPr>
          <w:spacing w:val="1"/>
          <w:vertAlign w:val="baseline"/>
        </w:rPr>
        <w:t> </w:t>
      </w:r>
      <w:r>
        <w:rPr>
          <w:vertAlign w:val="baseline"/>
        </w:rPr>
        <w:t>KAB.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lie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speed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120"/>
        <w:ind w:left="811" w:right="1002" w:firstLine="0"/>
        <w:jc w:val="both"/>
        <w:rPr>
          <w:sz w:val="20"/>
        </w:rPr>
      </w:pPr>
      <w:r>
        <w:rPr/>
        <w:pict>
          <v:rect style="position:absolute;margin-left:106.580002pt;margin-top:.455908pt;width:144.020pt;height:.72003pt;mso-position-horizontal-relative:page;mso-position-vertical-relative:paragraph;z-index:-2538035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21</w:t>
      </w:r>
      <w:r>
        <w:rPr>
          <w:sz w:val="20"/>
          <w:vertAlign w:val="baseline"/>
        </w:rPr>
        <w:t> The other components, reserves assets, which are financial assets that can be bought and sold only 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Monetary Authorities (Central Banks) and includes a country‘s official reserves of foreign exchange and,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other investment, which is a residual category that includes trade credits and private holdings of foreign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currency.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1002"/>
        <w:jc w:val="both"/>
      </w:pPr>
      <w:r>
        <w:rPr/>
        <w:t>This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(official</w:t>
      </w:r>
      <w:r>
        <w:rPr>
          <w:spacing w:val="1"/>
        </w:rPr>
        <w:t> </w:t>
      </w:r>
      <w:r>
        <w:rPr/>
        <w:t>reserves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investment)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10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44" w:id="30"/>
      <w:r>
        <w:rPr/>
        <w:t>Exchange</w:t>
      </w:r>
      <w:r>
        <w:rPr>
          <w:spacing w:val="-3"/>
        </w:rPr>
        <w:t> </w:t>
      </w:r>
      <w:r>
        <w:rPr/>
        <w:t>Rates</w:t>
      </w:r>
      <w:r>
        <w:rPr>
          <w:spacing w:val="-1"/>
        </w:rPr>
        <w:t> </w:t>
      </w:r>
      <w:r>
        <w:rPr/>
        <w:t>and Foreign Direct</w:t>
      </w:r>
      <w:r>
        <w:rPr>
          <w:spacing w:val="-2"/>
        </w:rPr>
        <w:t> </w:t>
      </w:r>
      <w:bookmarkEnd w:id="30"/>
      <w:r>
        <w:rPr/>
        <w:t>Investment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drawing>
          <wp:anchor distT="0" distB="0" distL="0" distR="0" allowOverlap="1" layoutInCell="1" locked="0" behindDoc="1" simplePos="0" relativeHeight="477936640">
            <wp:simplePos x="0" y="0"/>
            <wp:positionH relativeFrom="page">
              <wp:posOffset>1485138</wp:posOffset>
            </wp:positionH>
            <wp:positionV relativeFrom="paragraph">
              <wp:posOffset>129071</wp:posOffset>
            </wp:positionV>
            <wp:extent cx="5102225" cy="5044439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existences of a significant relationship between foreign direct investment (FDI) flows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 exchange rate have been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by economic theorists</w:t>
      </w:r>
      <w:r>
        <w:rPr>
          <w:spacing w:val="1"/>
        </w:rPr>
        <w:t> </w:t>
      </w:r>
      <w:r>
        <w:rPr/>
        <w:t>Benassy-Quere,</w:t>
      </w:r>
      <w:r>
        <w:rPr>
          <w:spacing w:val="1"/>
        </w:rPr>
        <w:t> </w:t>
      </w:r>
      <w:r>
        <w:rPr/>
        <w:t>Fontagne and Lahreche-Revil (2001).</w:t>
      </w:r>
      <w:r>
        <w:rPr>
          <w:spacing w:val="1"/>
        </w:rPr>
        <w:t> </w:t>
      </w:r>
      <w:r>
        <w:rPr/>
        <w:t>In the first instance, if investors aim at serving 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where trade or nontrade barriers</w:t>
      </w:r>
      <w:r>
        <w:rPr>
          <w:spacing w:val="1"/>
        </w:rPr>
        <w:t> </w:t>
      </w:r>
      <w:r>
        <w:rPr/>
        <w:t>are market</w:t>
      </w:r>
      <w:r>
        <w:rPr>
          <w:spacing w:val="1"/>
        </w:rPr>
        <w:t> </w:t>
      </w:r>
      <w:r>
        <w:rPr/>
        <w:t>entry impediments,</w:t>
      </w:r>
      <w:r>
        <w:rPr>
          <w:spacing w:val="60"/>
        </w:rPr>
        <w:t> </w:t>
      </w:r>
      <w:r>
        <w:rPr/>
        <w:t>FDI and</w:t>
      </w:r>
      <w:r>
        <w:rPr>
          <w:spacing w:val="1"/>
        </w:rPr>
        <w:t> </w:t>
      </w:r>
      <w:r>
        <w:rPr/>
        <w:t>trade would become substitutes.</w:t>
      </w:r>
      <w:r>
        <w:rPr>
          <w:spacing w:val="1"/>
        </w:rPr>
        <w:t> </w:t>
      </w:r>
      <w:r>
        <w:rPr/>
        <w:t>An appreciation of the local currency in real terms</w:t>
      </w:r>
      <w:r>
        <w:rPr>
          <w:spacing w:val="1"/>
        </w:rPr>
        <w:t> </w:t>
      </w:r>
      <w:r>
        <w:rPr/>
        <w:t>increases consumers‘ purchasing power and therefore boosts inward FDI.</w:t>
      </w:r>
      <w:r>
        <w:rPr>
          <w:spacing w:val="1"/>
        </w:rPr>
        <w:t> </w:t>
      </w:r>
      <w:r>
        <w:rPr/>
        <w:t>But a potential</w:t>
      </w:r>
      <w:r>
        <w:rPr>
          <w:spacing w:val="1"/>
        </w:rPr>
        <w:t> </w:t>
      </w:r>
      <w:r>
        <w:rPr/>
        <w:t>effect of large capital inflows is exchange rate appreciation.</w:t>
      </w:r>
      <w:r>
        <w:rPr>
          <w:spacing w:val="1"/>
        </w:rPr>
        <w:t> </w:t>
      </w:r>
      <w:r>
        <w:rPr/>
        <w:t>This leads to a loss of a</w:t>
      </w:r>
      <w:r>
        <w:rPr>
          <w:spacing w:val="1"/>
        </w:rPr>
        <w:t> </w:t>
      </w:r>
      <w:r>
        <w:rPr/>
        <w:t>country‘s competiveness-that could adversely affect the tradable production and export</w:t>
      </w:r>
      <w:r>
        <w:rPr>
          <w:spacing w:val="1"/>
        </w:rPr>
        <w:t> </w:t>
      </w:r>
      <w:r>
        <w:rPr/>
        <w:t>sectors.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811" w:right="1000"/>
        <w:jc w:val="both"/>
      </w:pPr>
      <w:r>
        <w:rPr/>
        <w:t>Alternatively,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FDI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re-exported,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FDI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complementary.</w:t>
      </w:r>
      <w:r>
        <w:rPr>
          <w:spacing w:val="61"/>
        </w:rPr>
        <w:t> </w:t>
      </w:r>
      <w:r>
        <w:rPr/>
        <w:t>This implies that any appreciation of the local currency would lower</w:t>
      </w:r>
      <w:r>
        <w:rPr>
          <w:spacing w:val="1"/>
        </w:rPr>
        <w:t> </w:t>
      </w:r>
      <w:r>
        <w:rPr/>
        <w:t>both the competitiveness (higher labour and capital costs); and the relative wealth of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investors.</w:t>
      </w:r>
      <w:r>
        <w:rPr>
          <w:spacing w:val="2"/>
        </w:rPr>
        <w:t> </w:t>
      </w:r>
      <w:r>
        <w:rPr/>
        <w:t>Lowering</w:t>
      </w:r>
      <w:r>
        <w:rPr>
          <w:spacing w:val="-2"/>
        </w:rPr>
        <w:t> </w:t>
      </w:r>
      <w:r>
        <w:rPr/>
        <w:t>investors‘</w:t>
      </w:r>
      <w:r>
        <w:rPr>
          <w:spacing w:val="-2"/>
        </w:rPr>
        <w:t> </w:t>
      </w:r>
      <w:r>
        <w:rPr/>
        <w:t>wealth might impede</w:t>
      </w:r>
      <w:r>
        <w:rPr>
          <w:spacing w:val="-3"/>
        </w:rPr>
        <w:t> </w:t>
      </w:r>
      <w:r>
        <w:rPr/>
        <w:t>investment inflows.</w:t>
      </w:r>
    </w:p>
    <w:p>
      <w:pPr>
        <w:pStyle w:val="BodyText"/>
        <w:spacing w:line="360" w:lineRule="auto" w:before="200"/>
        <w:ind w:left="811" w:right="994"/>
        <w:jc w:val="both"/>
      </w:pPr>
      <w:r>
        <w:rPr/>
        <w:t>The modern literature on the impact of exchange rate changes on FDI begins with the</w:t>
      </w:r>
      <w:r>
        <w:rPr>
          <w:spacing w:val="1"/>
        </w:rPr>
        <w:t> </w:t>
      </w:r>
      <w:r>
        <w:rPr/>
        <w:t>assumption that the capital market is imperfect, such that borrowers face a premium for</w:t>
      </w:r>
      <w:r>
        <w:rPr>
          <w:spacing w:val="1"/>
        </w:rPr>
        <w:t> </w:t>
      </w:r>
      <w:r>
        <w:rPr/>
        <w:t>external borrowing.   It is revealed that a depreciation of the host country‘s currency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FDI</w:t>
      </w:r>
      <w:r>
        <w:rPr>
          <w:spacing w:val="1"/>
        </w:rPr>
        <w:t> </w:t>
      </w:r>
      <w:r>
        <w:rPr/>
        <w:t>inflows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increase and the costs of inputs fall in terms of the foreign country‘s currency, allowing</w:t>
      </w:r>
      <w:r>
        <w:rPr>
          <w:spacing w:val="1"/>
        </w:rPr>
        <w:t> </w:t>
      </w:r>
      <w:r>
        <w:rPr/>
        <w:t>them to finance more of the investment internally.</w:t>
      </w:r>
      <w:r>
        <w:rPr>
          <w:spacing w:val="1"/>
        </w:rPr>
        <w:t> </w:t>
      </w:r>
      <w:r>
        <w:rPr/>
        <w:t>In particular, if a foreign investor is</w:t>
      </w:r>
      <w:r>
        <w:rPr>
          <w:spacing w:val="1"/>
        </w:rPr>
        <w:t> </w:t>
      </w:r>
      <w:r>
        <w:rPr/>
        <w:t>competing with domestic investors in the acquisition of domestic corporations, with the</w:t>
      </w:r>
      <w:r>
        <w:rPr>
          <w:spacing w:val="1"/>
        </w:rPr>
        <w:t> </w:t>
      </w:r>
      <w:r>
        <w:rPr/>
        <w:t>appreciation of the</w:t>
      </w:r>
      <w:r>
        <w:rPr>
          <w:spacing w:val="1"/>
        </w:rPr>
        <w:t> </w:t>
      </w:r>
      <w:r>
        <w:rPr/>
        <w:t>source country‘s</w:t>
      </w:r>
      <w:r>
        <w:rPr>
          <w:spacing w:val="1"/>
        </w:rPr>
        <w:t> </w:t>
      </w:r>
      <w:r>
        <w:rPr/>
        <w:t>currency,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foreign investors are then more likely</w:t>
      </w:r>
      <w:r>
        <w:rPr>
          <w:spacing w:val="-57"/>
        </w:rPr>
        <w:t> </w:t>
      </w:r>
      <w:r>
        <w:rPr/>
        <w:t>to raise the reservation price and outbid their host country‘s counterparts.</w:t>
      </w:r>
      <w:r>
        <w:rPr>
          <w:spacing w:val="1"/>
        </w:rPr>
        <w:t> </w:t>
      </w:r>
      <w:r>
        <w:rPr/>
        <w:t>This prediction</w:t>
      </w:r>
      <w:r>
        <w:rPr>
          <w:spacing w:val="1"/>
        </w:rPr>
        <w:t> </w:t>
      </w:r>
      <w:r>
        <w:rPr/>
        <w:t>was evident in the case of US‘s FDI inflows from 1974 to 1987 when there was a</w:t>
      </w:r>
      <w:r>
        <w:rPr>
          <w:spacing w:val="1"/>
        </w:rPr>
        <w:t> </w:t>
      </w:r>
      <w:r>
        <w:rPr/>
        <w:t>depreciation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country‘s</w:t>
      </w:r>
      <w:r>
        <w:rPr>
          <w:spacing w:val="-1"/>
        </w:rPr>
        <w:t> </w:t>
      </w:r>
      <w:r>
        <w:rPr/>
        <w:t>currency,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dollar</w:t>
      </w:r>
      <w:r>
        <w:rPr>
          <w:spacing w:val="-2"/>
        </w:rPr>
        <w:t> </w:t>
      </w:r>
      <w:r>
        <w:rPr/>
        <w:t>(Froot</w:t>
      </w:r>
      <w:r>
        <w:rPr>
          <w:spacing w:val="-1"/>
        </w:rPr>
        <w:t> </w:t>
      </w:r>
      <w:r>
        <w:rPr/>
        <w:t>and Stein,</w:t>
      </w:r>
      <w:r>
        <w:rPr>
          <w:spacing w:val="-1"/>
        </w:rPr>
        <w:t> </w:t>
      </w:r>
      <w:r>
        <w:rPr/>
        <w:t>1991).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7937152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 all these prepositions, the impacts of exchange rate volatility on FDI flows still</w:t>
      </w:r>
      <w:r>
        <w:rPr>
          <w:spacing w:val="1"/>
        </w:rPr>
        <w:t> </w:t>
      </w:r>
      <w:r>
        <w:rPr/>
        <w:t>remain ambiguous.</w:t>
      </w:r>
      <w:r>
        <w:rPr>
          <w:spacing w:val="1"/>
        </w:rPr>
        <w:t> </w:t>
      </w:r>
      <w:r>
        <w:rPr/>
        <w:t>Three strands of the literature have emphasized different views. One</w:t>
      </w:r>
      <w:r>
        <w:rPr>
          <w:spacing w:val="1"/>
        </w:rPr>
        <w:t> </w:t>
      </w:r>
      <w:r>
        <w:rPr/>
        <w:t>strand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aversion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investors‘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postpone</w:t>
      </w:r>
      <w:r>
        <w:rPr>
          <w:spacing w:val="-57"/>
        </w:rPr>
        <w:t> </w:t>
      </w:r>
      <w:r>
        <w:rPr/>
        <w:t>investment decisions when there is persistent exchange rate depreciation (Kohlhagen,</w:t>
      </w:r>
      <w:r>
        <w:rPr>
          <w:spacing w:val="1"/>
        </w:rPr>
        <w:t> </w:t>
      </w:r>
      <w:r>
        <w:rPr/>
        <w:t>1977 and Dixit, 1989).</w:t>
      </w:r>
      <w:r>
        <w:rPr>
          <w:spacing w:val="1"/>
        </w:rPr>
        <w:t> </w:t>
      </w:r>
      <w:r>
        <w:rPr/>
        <w:t>Also, Campa (1993) showed that risk neutral investors could also</w:t>
      </w:r>
      <w:r>
        <w:rPr>
          <w:spacing w:val="1"/>
        </w:rPr>
        <w:t> </w:t>
      </w:r>
      <w:r>
        <w:rPr/>
        <w:t>display comparable behaviour. The author provided evidence that exchange rate volatility</w:t>
      </w:r>
      <w:r>
        <w:rPr>
          <w:spacing w:val="-57"/>
        </w:rPr>
        <w:t> </w:t>
      </w:r>
      <w:r>
        <w:rPr/>
        <w:t>caused US‘s FDI inflows to decline in the early 1980s, especially for industries with huge</w:t>
      </w:r>
      <w:r>
        <w:rPr>
          <w:spacing w:val="-57"/>
        </w:rPr>
        <w:t> </w:t>
      </w:r>
      <w:r>
        <w:rPr/>
        <w:t>sunk costs in both physical and intangible assets.</w:t>
      </w:r>
      <w:r>
        <w:rPr>
          <w:spacing w:val="1"/>
        </w:rPr>
        <w:t> </w:t>
      </w:r>
      <w:r>
        <w:rPr/>
        <w:t>Another strand stressed the adjustment</w:t>
      </w:r>
      <w:r>
        <w:rPr>
          <w:spacing w:val="1"/>
        </w:rPr>
        <w:t> </w:t>
      </w:r>
      <w:r>
        <w:rPr/>
        <w:t>costs of investment, especially the difficulty of reversing an investment decision once it is</w:t>
      </w:r>
      <w:r>
        <w:rPr>
          <w:spacing w:val="-57"/>
        </w:rPr>
        <w:t> </w:t>
      </w:r>
      <w:r>
        <w:rPr/>
        <w:t>made (Dixit and Pindyck, 1994).</w:t>
      </w:r>
      <w:r>
        <w:rPr>
          <w:spacing w:val="1"/>
        </w:rPr>
        <w:t> </w:t>
      </w:r>
      <w:r>
        <w:rPr/>
        <w:t>Yet another group tried to underscore the differences</w:t>
      </w:r>
      <w:r>
        <w:rPr>
          <w:spacing w:val="1"/>
        </w:rPr>
        <w:t> </w:t>
      </w:r>
      <w:r>
        <w:rPr/>
        <w:t>between vertical and horizontal FDI (Aizenman and Marion, 2004). It states that the</w:t>
      </w:r>
      <w:r>
        <w:rPr>
          <w:spacing w:val="1"/>
        </w:rPr>
        <w:t> </w:t>
      </w:r>
      <w:r>
        <w:rPr/>
        <w:t>fragmentation of production processes across different countries may be discouraged with</w:t>
      </w:r>
      <w:r>
        <w:rPr>
          <w:spacing w:val="-57"/>
        </w:rPr>
        <w:t> </w:t>
      </w:r>
      <w:r>
        <w:rPr/>
        <w:t>exchange rate uncertainty; and similar activities undertaken in different locations might</w:t>
      </w:r>
      <w:r>
        <w:rPr>
          <w:spacing w:val="1"/>
        </w:rPr>
        <w:t> </w:t>
      </w:r>
      <w:r>
        <w:rPr/>
        <w:t>respond positively to exchange rate volatility.</w:t>
      </w:r>
      <w:r>
        <w:rPr>
          <w:spacing w:val="1"/>
        </w:rPr>
        <w:t> </w:t>
      </w:r>
      <w:r>
        <w:rPr/>
        <w:t>Earlier findings by Itagaki (1981) and</w:t>
      </w:r>
      <w:r>
        <w:rPr>
          <w:spacing w:val="1"/>
        </w:rPr>
        <w:t> </w:t>
      </w:r>
      <w:r>
        <w:rPr/>
        <w:t>Cushman (1985) concluded that exchange rate volatility actually promoted FDI inflows</w:t>
      </w:r>
      <w:r>
        <w:rPr>
          <w:spacing w:val="1"/>
        </w:rPr>
        <w:t> </w:t>
      </w:r>
      <w:r>
        <w:rPr/>
        <w:t>thereby</w:t>
      </w:r>
      <w:r>
        <w:rPr>
          <w:spacing w:val="-6"/>
        </w:rPr>
        <w:t> </w:t>
      </w:r>
      <w:r>
        <w:rPr/>
        <w:t>improved the</w:t>
      </w:r>
      <w:r>
        <w:rPr>
          <w:spacing w:val="1"/>
        </w:rPr>
        <w:t> </w:t>
      </w:r>
      <w:r>
        <w:rPr/>
        <w:t>BoP position of</w:t>
      </w:r>
      <w:r>
        <w:rPr>
          <w:spacing w:val="-1"/>
        </w:rPr>
        <w:t> </w:t>
      </w:r>
      <w:r>
        <w:rPr/>
        <w:t>the host economy.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Most of the empirical literature on the relationship between these two macroeconomic</w:t>
      </w:r>
      <w:r>
        <w:rPr>
          <w:spacing w:val="1"/>
        </w:rPr>
        <w:t> </w:t>
      </w:r>
      <w:r>
        <w:rPr/>
        <w:t>fundamentals,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FDI,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two hypotheses: (i) a depreciation or devaluation of the domestic currency</w:t>
      </w:r>
      <w:r>
        <w:rPr>
          <w:spacing w:val="1"/>
        </w:rPr>
        <w:t> </w:t>
      </w:r>
      <w:r>
        <w:rPr/>
        <w:t>encourages FDI inflows; and (ii) greater exchange rate volatility discourages FDI inflows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it makes liabilities in domestic</w:t>
      </w:r>
      <w:r>
        <w:rPr>
          <w:spacing w:val="-1"/>
        </w:rPr>
        <w:t> </w:t>
      </w:r>
      <w:r>
        <w:rPr/>
        <w:t>currency</w:t>
      </w:r>
      <w:r>
        <w:rPr>
          <w:spacing w:val="-5"/>
        </w:rPr>
        <w:t> </w:t>
      </w:r>
      <w:r>
        <w:rPr/>
        <w:t>unpredictable.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811" w:right="998"/>
        <w:jc w:val="both"/>
      </w:pP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volatility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investments remains a challenge, sectoral FDI seems more comprehensive in analyzing</w:t>
      </w:r>
      <w:r>
        <w:rPr>
          <w:spacing w:val="1"/>
        </w:rPr>
        <w:t> </w:t>
      </w:r>
      <w:r>
        <w:rPr/>
        <w:t>exchange rate behaviour.</w:t>
      </w:r>
      <w:r>
        <w:rPr>
          <w:spacing w:val="1"/>
        </w:rPr>
        <w:t> </w:t>
      </w:r>
      <w:r>
        <w:rPr/>
        <w:t>Taking advantage of this, Xiong (2005) investigated 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FDI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multi-national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(Australia, Canada, UK, Japan and the U.S).</w:t>
      </w:r>
      <w:r>
        <w:rPr>
          <w:spacing w:val="1"/>
        </w:rPr>
        <w:t> </w:t>
      </w:r>
      <w:r>
        <w:rPr/>
        <w:t>The author estimated the Autoregressive</w:t>
      </w:r>
      <w:r>
        <w:rPr>
          <w:spacing w:val="1"/>
        </w:rPr>
        <w:t> </w:t>
      </w:r>
      <w:r>
        <w:rPr/>
        <w:t>Distributed</w:t>
      </w:r>
      <w:r>
        <w:rPr>
          <w:spacing w:val="29"/>
        </w:rPr>
        <w:t> </w:t>
      </w:r>
      <w:r>
        <w:rPr/>
        <w:t>Lag</w:t>
      </w:r>
      <w:r>
        <w:rPr>
          <w:spacing w:val="25"/>
        </w:rPr>
        <w:t> </w:t>
      </w:r>
      <w:r>
        <w:rPr/>
        <w:t>model</w:t>
      </w:r>
      <w:r>
        <w:rPr>
          <w:spacing w:val="30"/>
        </w:rPr>
        <w:t> </w:t>
      </w:r>
      <w:r>
        <w:rPr/>
        <w:t>using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twenty</w:t>
      </w:r>
      <w:r>
        <w:rPr>
          <w:spacing w:val="27"/>
        </w:rPr>
        <w:t> </w:t>
      </w:r>
      <w:r>
        <w:rPr/>
        <w:t>year</w:t>
      </w:r>
      <w:r>
        <w:rPr>
          <w:spacing w:val="27"/>
        </w:rPr>
        <w:t> </w:t>
      </w:r>
      <w:r>
        <w:rPr/>
        <w:t>annual</w:t>
      </w:r>
      <w:r>
        <w:rPr>
          <w:spacing w:val="28"/>
        </w:rPr>
        <w:t> </w:t>
      </w:r>
      <w:r>
        <w:rPr/>
        <w:t>data</w:t>
      </w:r>
      <w:r>
        <w:rPr>
          <w:spacing w:val="28"/>
        </w:rPr>
        <w:t> </w:t>
      </w:r>
      <w:r>
        <w:rPr/>
        <w:t>set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period</w:t>
      </w:r>
      <w:r>
        <w:rPr>
          <w:spacing w:val="28"/>
        </w:rPr>
        <w:t> </w:t>
      </w:r>
      <w:r>
        <w:rPr/>
        <w:t>ending</w:t>
      </w:r>
      <w:r>
        <w:rPr>
          <w:spacing w:val="25"/>
        </w:rPr>
        <w:t> </w:t>
      </w:r>
      <w:r>
        <w:rPr/>
        <w:t>2002.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explanations.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Australia,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-57"/>
        </w:rPr>
        <w:t> </w:t>
      </w:r>
      <w:r>
        <w:rPr/>
        <w:t>volatility and bilateral exchange rate had negative effects on outward FDI.</w:t>
      </w:r>
      <w:r>
        <w:rPr>
          <w:spacing w:val="1"/>
        </w:rPr>
        <w:t> </w:t>
      </w:r>
      <w:r>
        <w:rPr/>
        <w:t>In Canada,</w:t>
      </w:r>
      <w:r>
        <w:rPr>
          <w:spacing w:val="1"/>
        </w:rPr>
        <w:t> </w:t>
      </w:r>
      <w:r>
        <w:rPr/>
        <w:t>Japan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UK,</w:t>
      </w:r>
      <w:r>
        <w:rPr>
          <w:spacing w:val="3"/>
        </w:rPr>
        <w:t> </w:t>
      </w:r>
      <w:r>
        <w:rPr/>
        <w:t>only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bilateral</w:t>
      </w:r>
      <w:r>
        <w:rPr>
          <w:spacing w:val="4"/>
        </w:rPr>
        <w:t> </w:t>
      </w:r>
      <w:r>
        <w:rPr/>
        <w:t>exchange</w:t>
      </w:r>
      <w:r>
        <w:rPr>
          <w:spacing w:val="3"/>
        </w:rPr>
        <w:t> </w:t>
      </w:r>
      <w:r>
        <w:rPr/>
        <w:t>rate</w:t>
      </w:r>
      <w:r>
        <w:rPr>
          <w:spacing w:val="2"/>
        </w:rPr>
        <w:t> </w:t>
      </w:r>
      <w:r>
        <w:rPr/>
        <w:t>had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effect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FDI</w:t>
      </w:r>
      <w:r>
        <w:rPr>
          <w:spacing w:val="1"/>
        </w:rPr>
        <w:t> </w:t>
      </w:r>
      <w:r>
        <w:rPr/>
        <w:t>operations.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1002"/>
        <w:jc w:val="both"/>
      </w:pPr>
      <w:r>
        <w:rPr/>
        <w:t>The exchange rate depreciation played no significant role in determining FDI flows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countries.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1001"/>
        <w:jc w:val="both"/>
      </w:pPr>
      <w:r>
        <w:rPr/>
        <w:drawing>
          <wp:anchor distT="0" distB="0" distL="0" distR="0" allowOverlap="1" layoutInCell="1" locked="0" behindDoc="1" simplePos="0" relativeHeight="477937664">
            <wp:simplePos x="0" y="0"/>
            <wp:positionH relativeFrom="page">
              <wp:posOffset>1485138</wp:posOffset>
            </wp:positionH>
            <wp:positionV relativeFrom="paragraph">
              <wp:posOffset>917614</wp:posOffset>
            </wp:positionV>
            <wp:extent cx="5102225" cy="5044439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by Masten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volatility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deterred U.S‘ foreign direct investment in Latin America during the period.</w:t>
      </w:r>
      <w:r>
        <w:rPr>
          <w:spacing w:val="60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the scope of the study, conflict and corruption as well as political risk factors were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as significant forces behind</w:t>
      </w:r>
      <w:r>
        <w:rPr>
          <w:spacing w:val="2"/>
        </w:rPr>
        <w:t> </w:t>
      </w:r>
      <w:r>
        <w:rPr/>
        <w:t>FDI</w:t>
      </w:r>
      <w:r>
        <w:rPr>
          <w:spacing w:val="-1"/>
        </w:rPr>
        <w:t> </w:t>
      </w:r>
      <w:r>
        <w:rPr/>
        <w:t>flows.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811" w:right="997"/>
        <w:jc w:val="both"/>
      </w:pPr>
      <w:r>
        <w:rPr/>
        <w:t>Asia as a continent has in the last two decades attracted huge FDI movements (both</w:t>
      </w:r>
      <w:r>
        <w:rPr>
          <w:spacing w:val="1"/>
        </w:rPr>
        <w:t> </w:t>
      </w:r>
      <w:r>
        <w:rPr/>
        <w:t>inflows and outflows).</w:t>
      </w:r>
      <w:r>
        <w:rPr>
          <w:spacing w:val="1"/>
        </w:rPr>
        <w:t> </w:t>
      </w:r>
      <w:r>
        <w:rPr/>
        <w:t>Making use of a panel data, Takagi and Shi (2011) estimated 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Japanese‘s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1987-2008.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country‘s</w:t>
      </w:r>
      <w:r>
        <w:rPr>
          <w:spacing w:val="-57"/>
        </w:rPr>
        <w:t> </w:t>
      </w:r>
      <w:r>
        <w:rPr/>
        <w:t>outward</w:t>
      </w:r>
      <w:r>
        <w:rPr>
          <w:spacing w:val="1"/>
        </w:rPr>
        <w:t> </w:t>
      </w:r>
      <w:r>
        <w:rPr/>
        <w:t>FDI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destination.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exchange rate volatility and FDI from Japan.</w:t>
      </w:r>
      <w:r>
        <w:rPr>
          <w:spacing w:val="1"/>
        </w:rPr>
        <w:t> </w:t>
      </w:r>
      <w:r>
        <w:rPr/>
        <w:t>This implies that a depreciation of the host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currency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Japanese</w:t>
      </w:r>
      <w:r>
        <w:rPr>
          <w:spacing w:val="1"/>
        </w:rPr>
        <w:t> </w:t>
      </w:r>
      <w:r>
        <w:rPr/>
        <w:t>FDI</w:t>
      </w:r>
      <w:r>
        <w:rPr>
          <w:spacing w:val="1"/>
        </w:rPr>
        <w:t> </w:t>
      </w:r>
      <w:r>
        <w:rPr/>
        <w:t>outflows.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 with earlier prediction by Itagaki (1981) and Cushman (1985) that exchange</w:t>
      </w:r>
      <w:r>
        <w:rPr>
          <w:spacing w:val="1"/>
        </w:rPr>
        <w:t> </w:t>
      </w:r>
      <w:r>
        <w:rPr/>
        <w:t>rate depreciation in trading partners‘ economies promotes FDI inflows as substitutes for</w:t>
      </w:r>
      <w:r>
        <w:rPr>
          <w:spacing w:val="1"/>
        </w:rPr>
        <w:t> </w:t>
      </w:r>
      <w:r>
        <w:rPr/>
        <w:t>exports into those countries.   Using the Asian financial crisis, the stability strengths of</w:t>
      </w:r>
      <w:r>
        <w:rPr>
          <w:spacing w:val="1"/>
        </w:rPr>
        <w:t> </w:t>
      </w:r>
      <w:r>
        <w:rPr/>
        <w:t>FDI and portfolio flows were tested. Estimates showed that FDI flows, especially those</w:t>
      </w:r>
      <w:r>
        <w:rPr>
          <w:spacing w:val="1"/>
        </w:rPr>
        <w:t> </w:t>
      </w:r>
      <w:r>
        <w:rPr/>
        <w:t>oriented</w:t>
      </w:r>
      <w:r>
        <w:rPr>
          <w:spacing w:val="-1"/>
        </w:rPr>
        <w:t> </w:t>
      </w:r>
      <w:r>
        <w:rPr/>
        <w:t>towards the</w:t>
      </w:r>
      <w:r>
        <w:rPr>
          <w:spacing w:val="-1"/>
        </w:rPr>
        <w:t> </w:t>
      </w:r>
      <w:r>
        <w:rPr/>
        <w:t>manufacturing</w:t>
      </w:r>
      <w:r>
        <w:rPr>
          <w:spacing w:val="-3"/>
        </w:rPr>
        <w:t> </w:t>
      </w:r>
      <w:r>
        <w:rPr/>
        <w:t>sector, were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stable than the portfolio flows.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The swift rebound of capital inflows in emerging economies after the onset of the global</w:t>
      </w:r>
      <w:r>
        <w:rPr>
          <w:spacing w:val="1"/>
        </w:rPr>
        <w:t> </w:t>
      </w:r>
      <w:r>
        <w:rPr/>
        <w:t>financial crisis in 2008 added new thrust to the debate on how to reap the gains from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inflows,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fundamentals.</w:t>
      </w:r>
      <w:r>
        <w:rPr>
          <w:spacing w:val="28"/>
        </w:rPr>
        <w:t> </w:t>
      </w:r>
      <w:r>
        <w:rPr/>
        <w:t>Using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dynamic</w:t>
      </w:r>
      <w:r>
        <w:rPr>
          <w:spacing w:val="26"/>
        </w:rPr>
        <w:t> </w:t>
      </w:r>
      <w:r>
        <w:rPr/>
        <w:t>panel-data</w:t>
      </w:r>
      <w:r>
        <w:rPr>
          <w:spacing w:val="28"/>
        </w:rPr>
        <w:t> </w:t>
      </w:r>
      <w:r>
        <w:rPr/>
        <w:t>model,</w:t>
      </w:r>
      <w:r>
        <w:rPr>
          <w:spacing w:val="29"/>
        </w:rPr>
        <w:t> </w:t>
      </w:r>
      <w:r>
        <w:rPr/>
        <w:t>Jonwanich</w:t>
      </w:r>
      <w:r>
        <w:rPr>
          <w:spacing w:val="28"/>
        </w:rPr>
        <w:t> </w:t>
      </w:r>
      <w:r>
        <w:rPr>
          <w:i/>
        </w:rPr>
        <w:t>et</w:t>
      </w:r>
      <w:r>
        <w:rPr>
          <w:i/>
          <w:spacing w:val="29"/>
        </w:rPr>
        <w:t> </w:t>
      </w:r>
      <w:r>
        <w:rPr>
          <w:i/>
        </w:rPr>
        <w:t>al.,</w:t>
      </w:r>
      <w:r>
        <w:rPr>
          <w:i/>
          <w:spacing w:val="29"/>
        </w:rPr>
        <w:t> </w:t>
      </w:r>
      <w:r>
        <w:rPr/>
        <w:t>(2013)</w:t>
      </w:r>
      <w:r>
        <w:rPr>
          <w:spacing w:val="26"/>
        </w:rPr>
        <w:t> </w:t>
      </w:r>
      <w:r>
        <w:rPr/>
        <w:t>examined</w:t>
      </w:r>
      <w:r>
        <w:rPr>
          <w:spacing w:val="-58"/>
        </w:rPr>
        <w:t> </w:t>
      </w:r>
      <w:r>
        <w:rPr/>
        <w:t>the impact of capital flows on real exchange rate in Asian countries during the period</w:t>
      </w:r>
      <w:r>
        <w:rPr>
          <w:spacing w:val="1"/>
        </w:rPr>
        <w:t> </w:t>
      </w:r>
      <w:r>
        <w:rPr/>
        <w:t>2000-2009.</w:t>
      </w:r>
      <w:r>
        <w:rPr>
          <w:spacing w:val="1"/>
        </w:rPr>
        <w:t> </w:t>
      </w:r>
      <w:r>
        <w:rPr/>
        <w:t>The results revealed that it is the composition of capital flows that matters</w:t>
      </w:r>
      <w:r>
        <w:rPr>
          <w:spacing w:val="1"/>
        </w:rPr>
        <w:t> </w:t>
      </w:r>
      <w:r>
        <w:rPr/>
        <w:t>rather than the overall capital flows in determining the impact of FDI flows on real</w:t>
      </w:r>
      <w:r>
        <w:rPr>
          <w:spacing w:val="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rates behaviour.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811" w:right="1000"/>
        <w:jc w:val="both"/>
      </w:pPr>
      <w:r>
        <w:rPr/>
        <w:t>The rapid expansion of capital markets in the emerging markets has been expected to</w:t>
      </w:r>
      <w:r>
        <w:rPr>
          <w:spacing w:val="1"/>
        </w:rPr>
        <w:t> </w:t>
      </w:r>
      <w:r>
        <w:rPr/>
        <w:t>mitigate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asset</w:t>
      </w:r>
      <w:r>
        <w:rPr>
          <w:spacing w:val="1"/>
        </w:rPr>
        <w:t> </w:t>
      </w:r>
      <w:r>
        <w:rPr/>
        <w:t>shortages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challenge.</w:t>
      </w:r>
      <w:r>
        <w:rPr>
          <w:spacing w:val="1"/>
        </w:rPr>
        <w:t> </w:t>
      </w:r>
      <w:r>
        <w:rPr/>
        <w:t>Quantifying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determinants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such</w:t>
      </w:r>
      <w:r>
        <w:rPr>
          <w:spacing w:val="8"/>
        </w:rPr>
        <w:t> </w:t>
      </w:r>
      <w:r>
        <w:rPr/>
        <w:t>shortages,</w:t>
      </w:r>
      <w:r>
        <w:rPr>
          <w:spacing w:val="8"/>
        </w:rPr>
        <w:t> </w:t>
      </w:r>
      <w:r>
        <w:rPr/>
        <w:t>Chen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Imam</w:t>
      </w:r>
      <w:r>
        <w:rPr>
          <w:spacing w:val="9"/>
        </w:rPr>
        <w:t> </w:t>
      </w:r>
      <w:r>
        <w:rPr/>
        <w:t>(2012)</w:t>
      </w:r>
      <w:r>
        <w:rPr>
          <w:spacing w:val="7"/>
        </w:rPr>
        <w:t> </w:t>
      </w:r>
      <w:r>
        <w:rPr/>
        <w:t>used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system</w:t>
      </w:r>
      <w:r>
        <w:rPr>
          <w:spacing w:val="9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1000"/>
        <w:jc w:val="both"/>
      </w:pPr>
      <w:r>
        <w:rPr/>
        <w:drawing>
          <wp:anchor distT="0" distB="0" distL="0" distR="0" allowOverlap="1" layoutInCell="1" locked="0" behindDoc="1" simplePos="0" relativeHeight="477938176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GMM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 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estimations</w:t>
      </w:r>
      <w:r>
        <w:rPr>
          <w:spacing w:val="1"/>
        </w:rPr>
        <w:t> </w:t>
      </w:r>
      <w:r>
        <w:rPr/>
        <w:t>for these emerging markets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1995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2008.   It was concluded that asset shortages were not only leading explanatory variables</w:t>
      </w:r>
      <w:r>
        <w:rPr>
          <w:spacing w:val="1"/>
        </w:rPr>
        <w:t> </w:t>
      </w:r>
      <w:r>
        <w:rPr/>
        <w:t>in current account instability but also had negative impact on economic growth in the</w:t>
      </w:r>
      <w:r>
        <w:rPr>
          <w:spacing w:val="1"/>
        </w:rPr>
        <w:t> </w:t>
      </w:r>
      <w:r>
        <w:rPr/>
        <w:t>long-run.</w:t>
      </w:r>
      <w:r>
        <w:rPr>
          <w:spacing w:val="1"/>
        </w:rPr>
        <w:t> </w:t>
      </w:r>
      <w:r>
        <w:rPr/>
        <w:t>The shortage of investible assets might lead to excess liquidity in the 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asset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equity.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recommendation that stemmed from this study was that the capital market needs to be</w:t>
      </w:r>
      <w:r>
        <w:rPr>
          <w:spacing w:val="1"/>
        </w:rPr>
        <w:t> </w:t>
      </w:r>
      <w:r>
        <w:rPr/>
        <w:t>developed in order to encourage the supply of financial assets for investment.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efficiency in the capital markets also lowers the cost of financing and improves access to</w:t>
      </w:r>
      <w:r>
        <w:rPr>
          <w:spacing w:val="1"/>
        </w:rPr>
        <w:t> </w:t>
      </w:r>
      <w:r>
        <w:rPr/>
        <w:t>financing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private</w:t>
      </w:r>
      <w:r>
        <w:rPr>
          <w:spacing w:val="1"/>
        </w:rPr>
        <w:t> </w:t>
      </w:r>
      <w:r>
        <w:rPr/>
        <w:t>sector.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t>With data from Iran, Sharifi-Renani and Mirfatah (2012) investigated the determinants of</w:t>
      </w:r>
      <w:r>
        <w:rPr>
          <w:spacing w:val="1"/>
        </w:rPr>
        <w:t> </w:t>
      </w:r>
      <w:r>
        <w:rPr/>
        <w:t>inflows of FDI by applying Johansen and Juselius‘s cointegration system approach (1990)</w:t>
      </w:r>
      <w:r>
        <w:rPr>
          <w:spacing w:val="-57"/>
        </w:rPr>
        <w:t> </w:t>
      </w:r>
      <w:r>
        <w:rPr/>
        <w:t>in the form of vector autoregressive (VAR) pattern using quarterly data from 1980Q2</w:t>
      </w:r>
      <w:r>
        <w:rPr>
          <w:spacing w:val="1"/>
        </w:rPr>
        <w:t> </w:t>
      </w:r>
      <w:r>
        <w:rPr/>
        <w:t>through 2006Q3.</w:t>
      </w:r>
      <w:r>
        <w:rPr>
          <w:spacing w:val="1"/>
        </w:rPr>
        <w:t> </w:t>
      </w:r>
      <w:r>
        <w:rPr/>
        <w:t>The results showed that the GDP, openness and exchange rate variables</w:t>
      </w:r>
      <w:r>
        <w:rPr>
          <w:spacing w:val="-57"/>
        </w:rPr>
        <w:t> </w:t>
      </w:r>
      <w:r>
        <w:rPr/>
        <w:t>have positive effect but the volatility</w:t>
      </w:r>
      <w:r>
        <w:rPr>
          <w:vertAlign w:val="superscript"/>
        </w:rPr>
        <w:t>22</w:t>
      </w:r>
      <w:r>
        <w:rPr>
          <w:vertAlign w:val="baseline"/>
        </w:rPr>
        <w:t> of exchange rate and world oil prices did have 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impact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inward</w:t>
      </w:r>
      <w:r>
        <w:rPr>
          <w:spacing w:val="1"/>
          <w:vertAlign w:val="baseline"/>
        </w:rPr>
        <w:t> </w:t>
      </w:r>
      <w:r>
        <w:rPr>
          <w:vertAlign w:val="baseline"/>
        </w:rPr>
        <w:t>FDI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Iran.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policies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60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promote stability of the exchange rate in order to attract</w:t>
      </w:r>
      <w:r>
        <w:rPr>
          <w:spacing w:val="1"/>
          <w:vertAlign w:val="baseline"/>
        </w:rPr>
        <w:t> </w:t>
      </w:r>
      <w:r>
        <w:rPr>
          <w:vertAlign w:val="baseline"/>
        </w:rPr>
        <w:t>FDI inflows,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would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promote</w:t>
      </w:r>
      <w:r>
        <w:rPr>
          <w:spacing w:val="-3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-1"/>
          <w:vertAlign w:val="baseline"/>
        </w:rPr>
        <w:t> </w:t>
      </w:r>
      <w:r>
        <w:rPr>
          <w:vertAlign w:val="baseline"/>
        </w:rPr>
        <w:t>trade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country‘s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competitiveness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global</w:t>
      </w:r>
      <w:r>
        <w:rPr>
          <w:spacing w:val="-1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-1"/>
          <w:vertAlign w:val="baseline"/>
        </w:rPr>
        <w:t> </w:t>
      </w:r>
      <w:r>
        <w:rPr>
          <w:vertAlign w:val="baseline"/>
        </w:rPr>
        <w:t>market.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811" w:right="996"/>
        <w:jc w:val="both"/>
      </w:pPr>
      <w:r>
        <w:rPr/>
        <w:pict>
          <v:rect style="position:absolute;margin-left:106.580002pt;margin-top:234.3591pt;width:144.020pt;height:.72003pt;mso-position-horizontal-relative:page;mso-position-vertical-relative:paragraph;z-index:-25377792" filled="true" fillcolor="#000000" stroked="false">
            <v:fill type="solid"/>
            <w10:wrap type="none"/>
          </v:rect>
        </w:pict>
      </w:r>
      <w:r>
        <w:rPr/>
        <w:t>The literature for the African region, where development in capital flows has not received</w:t>
      </w:r>
      <w:r>
        <w:rPr>
          <w:spacing w:val="-57"/>
        </w:rPr>
        <w:t> </w:t>
      </w:r>
      <w:r>
        <w:rPr/>
        <w:t>much</w:t>
      </w:r>
      <w:r>
        <w:rPr>
          <w:spacing w:val="1"/>
        </w:rPr>
        <w:t> </w:t>
      </w:r>
      <w:r>
        <w:rPr/>
        <w:t>attention,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scanty.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development assistance</w:t>
      </w:r>
      <w:r>
        <w:rPr>
          <w:spacing w:val="1"/>
        </w:rPr>
        <w:t> </w:t>
      </w:r>
      <w:r>
        <w:rPr/>
        <w:t>(ODA) (for example, Kasekende</w:t>
      </w:r>
      <w:r>
        <w:rPr>
          <w:spacing w:val="60"/>
        </w:rPr>
        <w:t> </w:t>
      </w:r>
      <w:r>
        <w:rPr>
          <w:i/>
        </w:rPr>
        <w:t>et al.;</w:t>
      </w:r>
      <w:r>
        <w:rPr/>
        <w:t>1996), and on capital</w:t>
      </w:r>
      <w:r>
        <w:rPr>
          <w:spacing w:val="1"/>
        </w:rPr>
        <w:t> </w:t>
      </w:r>
      <w:r>
        <w:rPr/>
        <w:t>flows in general without disaggregating them into private and official flows (Ndung‘u and</w:t>
      </w:r>
      <w:r>
        <w:rPr>
          <w:spacing w:val="-57"/>
        </w:rPr>
        <w:t> </w:t>
      </w:r>
      <w:r>
        <w:rPr/>
        <w:t>Ngugi, 1999).</w:t>
      </w:r>
      <w:r>
        <w:rPr>
          <w:spacing w:val="61"/>
        </w:rPr>
        <w:t> </w:t>
      </w:r>
      <w:r>
        <w:rPr/>
        <w:t>Others (Bhinda, Griffith-Jones, Leape and Martin, 1999; Ndikumana,</w:t>
      </w:r>
      <w:r>
        <w:rPr>
          <w:spacing w:val="1"/>
        </w:rPr>
        <w:t> </w:t>
      </w:r>
      <w:r>
        <w:rPr/>
        <w:t>2003; Adam, O‘connel and Pattillo, 2004) also have investigated private capital flows to</w:t>
      </w:r>
      <w:r>
        <w:rPr>
          <w:spacing w:val="1"/>
        </w:rPr>
        <w:t> </w:t>
      </w:r>
      <w:r>
        <w:rPr/>
        <w:t>Africa but failed to classify them into foreign direct investments and portfolio flows.</w:t>
      </w:r>
      <w:r>
        <w:rPr>
          <w:spacing w:val="1"/>
        </w:rPr>
        <w:t> </w:t>
      </w:r>
      <w:r>
        <w:rPr/>
        <w:t>These problems are commonly attributed to data difficulty.</w:t>
      </w:r>
      <w:r>
        <w:rPr>
          <w:spacing w:val="1"/>
        </w:rPr>
        <w:t> </w:t>
      </w:r>
      <w:r>
        <w:rPr/>
        <w:t>These have meant that the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fundamentals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</w:t>
      </w:r>
      <w:r>
        <w:rPr>
          <w:spacing w:val="-57"/>
        </w:rPr>
        <w:t> </w:t>
      </w:r>
      <w:r>
        <w:rPr/>
        <w:t>cannot be associated with a specific component of the financial account.</w:t>
      </w:r>
      <w:r>
        <w:rPr>
          <w:spacing w:val="1"/>
        </w:rPr>
        <w:t> </w:t>
      </w:r>
      <w:r>
        <w:rPr/>
        <w:t>These studies,</w:t>
      </w:r>
      <w:r>
        <w:rPr>
          <w:spacing w:val="1"/>
        </w:rPr>
        <w:t> </w:t>
      </w:r>
      <w:r>
        <w:rPr/>
        <w:t>however,</w:t>
      </w:r>
      <w:r>
        <w:rPr>
          <w:spacing w:val="6"/>
        </w:rPr>
        <w:t> </w:t>
      </w:r>
      <w:r>
        <w:rPr/>
        <w:t>reported</w:t>
      </w:r>
      <w:r>
        <w:rPr>
          <w:spacing w:val="4"/>
        </w:rPr>
        <w:t> </w:t>
      </w:r>
      <w:r>
        <w:rPr/>
        <w:t>mixed</w:t>
      </w:r>
      <w:r>
        <w:rPr>
          <w:spacing w:val="5"/>
        </w:rPr>
        <w:t> </w:t>
      </w:r>
      <w:r>
        <w:rPr/>
        <w:t>findings.</w:t>
      </w:r>
      <w:r>
        <w:rPr>
          <w:spacing w:val="17"/>
        </w:rPr>
        <w:t> </w:t>
      </w:r>
      <w:r>
        <w:rPr/>
        <w:t>Ndung‘u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Ngugi</w:t>
      </w:r>
      <w:r>
        <w:rPr>
          <w:spacing w:val="8"/>
        </w:rPr>
        <w:t> </w:t>
      </w:r>
      <w:r>
        <w:rPr/>
        <w:t>(1999)</w:t>
      </w:r>
      <w:r>
        <w:rPr>
          <w:spacing w:val="6"/>
        </w:rPr>
        <w:t> </w:t>
      </w:r>
      <w:r>
        <w:rPr/>
        <w:t>found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unit</w:t>
      </w:r>
      <w:r>
        <w:rPr>
          <w:spacing w:val="6"/>
        </w:rPr>
        <w:t> </w:t>
      </w:r>
      <w:r>
        <w:rPr/>
        <w:t>shock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before="10"/>
        <w:rPr>
          <w:sz w:val="10"/>
        </w:rPr>
      </w:pPr>
    </w:p>
    <w:p>
      <w:pPr>
        <w:spacing w:before="120"/>
        <w:ind w:left="811" w:right="0" w:firstLine="0"/>
        <w:jc w:val="left"/>
        <w:rPr>
          <w:rFonts w:ascii="Arial MT"/>
          <w:sz w:val="20"/>
        </w:rPr>
      </w:pPr>
      <w:r>
        <w:rPr>
          <w:sz w:val="20"/>
          <w:vertAlign w:val="superscript"/>
        </w:rPr>
        <w:t>22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work moving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average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standard deviation was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used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calculate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volatility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exchange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rate</w:t>
      </w:r>
      <w:r>
        <w:rPr>
          <w:rFonts w:ascii="Arial MT"/>
          <w:sz w:val="20"/>
          <w:vertAlign w:val="baseline"/>
        </w:rPr>
        <w:t>.</w:t>
      </w:r>
    </w:p>
    <w:p>
      <w:pPr>
        <w:spacing w:after="0"/>
        <w:jc w:val="left"/>
        <w:rPr>
          <w:rFonts w:ascii="Arial MT"/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8"/>
        <w:jc w:val="both"/>
      </w:pPr>
      <w:r>
        <w:rPr/>
        <w:t>the volatility of Kenya‘s capital flows led to an initial decline in the real exchange rate</w:t>
      </w:r>
      <w:r>
        <w:rPr>
          <w:spacing w:val="1"/>
        </w:rPr>
        <w:t> </w:t>
      </w:r>
      <w:r>
        <w:rPr/>
        <w:t>followed by a continuous rise, with no signs of the effects decaying.</w:t>
      </w:r>
      <w:r>
        <w:rPr>
          <w:spacing w:val="60"/>
        </w:rPr>
        <w:t> </w:t>
      </w:r>
      <w:r>
        <w:rPr/>
        <w:t>However, volatility</w:t>
      </w:r>
      <w:r>
        <w:rPr>
          <w:spacing w:val="1"/>
        </w:rPr>
        <w:t> </w:t>
      </w:r>
      <w:r>
        <w:rPr/>
        <w:t>in capital flows only accounts for a small incremental percentage of the innovations from</w:t>
      </w:r>
      <w:r>
        <w:rPr>
          <w:spacing w:val="1"/>
        </w:rPr>
        <w:t> </w:t>
      </w:r>
      <w:r>
        <w:rPr/>
        <w:t>the real exchange rate, implying a weak feedback from the real exchange rate movements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capital flows.</w:t>
      </w:r>
    </w:p>
    <w:p>
      <w:pPr>
        <w:pStyle w:val="BodyText"/>
        <w:spacing w:line="360" w:lineRule="auto" w:before="201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39200">
            <wp:simplePos x="0" y="0"/>
            <wp:positionH relativeFrom="page">
              <wp:posOffset>1485138</wp:posOffset>
            </wp:positionH>
            <wp:positionV relativeFrom="paragraph">
              <wp:posOffset>281090</wp:posOffset>
            </wp:positionV>
            <wp:extent cx="5102225" cy="5044439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06.580002pt;margin-top:515.973145pt;width:144.020pt;height:.71997pt;mso-position-horizontal-relative:page;mso-position-vertical-relative:paragraph;z-index:-25376768" filled="true" fillcolor="#000000" stroked="false">
            <v:fill type="solid"/>
            <w10:wrap type="none"/>
          </v:rect>
        </w:pict>
      </w:r>
      <w:r>
        <w:rPr/>
        <w:t>Kodongo </w:t>
      </w:r>
      <w:r>
        <w:rPr>
          <w:i/>
        </w:rPr>
        <w:t>et al., </w:t>
      </w:r>
      <w:r>
        <w:rPr/>
        <w:t>(2011) conducted research exclusively on Africa investment flows.</w:t>
      </w:r>
      <w:r>
        <w:rPr>
          <w:spacing w:val="1"/>
        </w:rPr>
        <w:t> </w:t>
      </w:r>
      <w:r>
        <w:rPr/>
        <w:t>In the</w:t>
      </w:r>
      <w:r>
        <w:rPr>
          <w:spacing w:val="-57"/>
        </w:rPr>
        <w:t> </w:t>
      </w:r>
      <w:r>
        <w:rPr/>
        <w:t>study,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panel-data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countries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grouping them into three main regions</w:t>
      </w:r>
      <w:r>
        <w:rPr>
          <w:vertAlign w:val="superscript"/>
        </w:rPr>
        <w:t>23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Wald test confirmed the existence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unidirectional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causality</w:t>
      </w:r>
      <w:r>
        <w:rPr>
          <w:spacing w:val="1"/>
          <w:vertAlign w:val="baseline"/>
        </w:rPr>
        <w:t> </w:t>
      </w:r>
      <w:r>
        <w:rPr>
          <w:vertAlign w:val="baseline"/>
        </w:rPr>
        <w:t>running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real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rates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FDI</w:t>
      </w:r>
      <w:r>
        <w:rPr>
          <w:spacing w:val="1"/>
          <w:vertAlign w:val="baseline"/>
        </w:rPr>
        <w:t> </w:t>
      </w:r>
      <w:r>
        <w:rPr>
          <w:vertAlign w:val="baseline"/>
        </w:rPr>
        <w:t>inflows.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interpretations of the coefficient estimates were that, a 1.0% depreciation in real exchange</w:t>
      </w:r>
      <w:r>
        <w:rPr>
          <w:spacing w:val="-57"/>
          <w:vertAlign w:val="baseline"/>
        </w:rPr>
        <w:t> </w:t>
      </w:r>
      <w:r>
        <w:rPr>
          <w:vertAlign w:val="baseline"/>
        </w:rPr>
        <w:t>rates resulted in an increased FDI inflows by 0.04% (holding interest rate differential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constant).   The inclusion of the interest rate differential increased inflows by 0.08%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 1% deterioration in the value of the currency.</w:t>
      </w:r>
      <w:r>
        <w:rPr>
          <w:spacing w:val="1"/>
          <w:vertAlign w:val="baseline"/>
        </w:rPr>
        <w:t> </w:t>
      </w:r>
      <w:r>
        <w:rPr>
          <w:vertAlign w:val="baseline"/>
        </w:rPr>
        <w:t>Even though the impact of interest rate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differential on FDI is not given much consideration in the literature review section, it is,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worth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reporting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relevance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pedagogical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purposes.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researchers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demonstrated that interest rate differential lagged improved FDI flows in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real exchange rate depreciation.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But this effect varied across the grouping.</w:t>
      </w:r>
      <w:r>
        <w:rPr>
          <w:spacing w:val="1"/>
          <w:vertAlign w:val="baseline"/>
        </w:rPr>
        <w:t> </w:t>
      </w:r>
      <w:r>
        <w:rPr>
          <w:vertAlign w:val="baseline"/>
        </w:rPr>
        <w:t>For instance,</w:t>
      </w:r>
      <w:r>
        <w:rPr>
          <w:spacing w:val="1"/>
          <w:vertAlign w:val="baseline"/>
        </w:rPr>
        <w:t> </w:t>
      </w:r>
      <w:r>
        <w:rPr>
          <w:vertAlign w:val="baseline"/>
        </w:rPr>
        <w:t>lagged real exchange rate depreciation, acting mutually with interest rate differentials</w:t>
      </w:r>
      <w:r>
        <w:rPr>
          <w:spacing w:val="1"/>
          <w:vertAlign w:val="baseline"/>
        </w:rPr>
        <w:t> </w:t>
      </w:r>
      <w:r>
        <w:rPr>
          <w:vertAlign w:val="baseline"/>
        </w:rPr>
        <w:t>caused net FDI inflows to decrease by 0.070% and 0.069% (statistically insignificant) in</w:t>
      </w:r>
      <w:r>
        <w:rPr>
          <w:spacing w:val="1"/>
          <w:vertAlign w:val="baseline"/>
        </w:rPr>
        <w:t> </w:t>
      </w:r>
      <w:r>
        <w:rPr>
          <w:vertAlign w:val="baseline"/>
        </w:rPr>
        <w:t>SSA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Northern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regions,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accounted for these variations. Due to the relatively more stable financial markets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Africa‘s</w:t>
      </w:r>
      <w:r>
        <w:rPr>
          <w:spacing w:val="1"/>
          <w:vertAlign w:val="baseline"/>
        </w:rPr>
        <w:t> </w:t>
      </w:r>
      <w:r>
        <w:rPr>
          <w:vertAlign w:val="baseline"/>
        </w:rPr>
        <w:t>middle</w:t>
      </w:r>
      <w:r>
        <w:rPr>
          <w:spacing w:val="1"/>
          <w:vertAlign w:val="baseline"/>
        </w:rPr>
        <w:t> </w:t>
      </w:r>
      <w:r>
        <w:rPr>
          <w:vertAlign w:val="baseline"/>
        </w:rPr>
        <w:t>income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economies,</w:t>
      </w:r>
      <w:r>
        <w:rPr>
          <w:spacing w:val="1"/>
          <w:vertAlign w:val="baseline"/>
        </w:rPr>
        <w:t> </w:t>
      </w:r>
      <w:r>
        <w:rPr>
          <w:vertAlign w:val="baseline"/>
        </w:rPr>
        <w:t>depreciations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currencies may not necessarily reduce FDI inflows but depend on the availability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 cheaper assets.</w:t>
      </w:r>
      <w:r>
        <w:rPr>
          <w:spacing w:val="60"/>
          <w:vertAlign w:val="baseline"/>
        </w:rPr>
        <w:t> </w:t>
      </w:r>
      <w:r>
        <w:rPr>
          <w:vertAlign w:val="baseline"/>
        </w:rPr>
        <w:t>Such is not the case in SSA economies.  </w:t>
      </w:r>
      <w:r>
        <w:rPr>
          <w:spacing w:val="1"/>
          <w:vertAlign w:val="baseline"/>
        </w:rPr>
        <w:t> </w:t>
      </w:r>
      <w:r>
        <w:rPr>
          <w:vertAlign w:val="baseline"/>
        </w:rPr>
        <w:t>From a theoretical</w:t>
      </w:r>
      <w:r>
        <w:rPr>
          <w:spacing w:val="1"/>
          <w:vertAlign w:val="baseline"/>
        </w:rPr>
        <w:t> </w:t>
      </w:r>
      <w:r>
        <w:rPr>
          <w:vertAlign w:val="baseline"/>
        </w:rPr>
        <w:t>point of view, these results may possibly be explained in the following ways.</w:t>
      </w:r>
      <w:r>
        <w:rPr>
          <w:spacing w:val="1"/>
          <w:vertAlign w:val="baseline"/>
        </w:rPr>
        <w:t> </w:t>
      </w:r>
      <w:r>
        <w:rPr>
          <w:vertAlign w:val="baseline"/>
        </w:rPr>
        <w:t>First,</w:t>
      </w:r>
      <w:r>
        <w:rPr>
          <w:spacing w:val="1"/>
          <w:vertAlign w:val="baseline"/>
        </w:rPr>
        <w:t> </w:t>
      </w:r>
      <w:r>
        <w:rPr>
          <w:vertAlign w:val="baseline"/>
        </w:rPr>
        <w:t>expectations may play a role in influencing the response of FDI flows to real 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rate changes.</w:t>
      </w:r>
      <w:r>
        <w:rPr>
          <w:spacing w:val="1"/>
          <w:vertAlign w:val="baseline"/>
        </w:rPr>
        <w:t> </w:t>
      </w:r>
      <w:r>
        <w:rPr>
          <w:vertAlign w:val="baseline"/>
        </w:rPr>
        <w:t>In his model, Kohlhgen (1977) verified that a 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firm expecting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24"/>
          <w:vertAlign w:val="baseline"/>
        </w:rPr>
        <w:t> </w:t>
      </w:r>
      <w:r>
        <w:rPr>
          <w:vertAlign w:val="baseline"/>
        </w:rPr>
        <w:t>currency</w:t>
      </w:r>
      <w:r>
        <w:rPr>
          <w:spacing w:val="18"/>
          <w:vertAlign w:val="baseline"/>
        </w:rPr>
        <w:t> </w:t>
      </w:r>
      <w:r>
        <w:rPr>
          <w:vertAlign w:val="baseline"/>
        </w:rPr>
        <w:t>devaluation</w:t>
      </w:r>
      <w:r>
        <w:rPr>
          <w:spacing w:val="26"/>
          <w:vertAlign w:val="baseline"/>
        </w:rPr>
        <w:t> </w:t>
      </w:r>
      <w:r>
        <w:rPr>
          <w:vertAlign w:val="baseline"/>
        </w:rPr>
        <w:t>would</w:t>
      </w:r>
      <w:r>
        <w:rPr>
          <w:spacing w:val="26"/>
          <w:vertAlign w:val="baseline"/>
        </w:rPr>
        <w:t> </w:t>
      </w:r>
      <w:r>
        <w:rPr>
          <w:vertAlign w:val="baseline"/>
        </w:rPr>
        <w:t>defer</w:t>
      </w:r>
      <w:r>
        <w:rPr>
          <w:spacing w:val="25"/>
          <w:vertAlign w:val="baseline"/>
        </w:rPr>
        <w:t> </w:t>
      </w:r>
      <w:r>
        <w:rPr>
          <w:vertAlign w:val="baseline"/>
        </w:rPr>
        <w:t>direct</w:t>
      </w:r>
      <w:r>
        <w:rPr>
          <w:spacing w:val="26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26"/>
          <w:vertAlign w:val="baseline"/>
        </w:rPr>
        <w:t> </w:t>
      </w:r>
      <w:r>
        <w:rPr>
          <w:vertAlign w:val="baseline"/>
        </w:rPr>
        <w:t>until</w:t>
      </w:r>
      <w:r>
        <w:rPr>
          <w:spacing w:val="24"/>
          <w:vertAlign w:val="baseline"/>
        </w:rPr>
        <w:t> </w:t>
      </w:r>
      <w:r>
        <w:rPr>
          <w:vertAlign w:val="baseline"/>
        </w:rPr>
        <w:t>after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devaluation</w:t>
      </w:r>
    </w:p>
    <w:p>
      <w:pPr>
        <w:pStyle w:val="BodyText"/>
        <w:spacing w:before="1"/>
        <w:rPr>
          <w:sz w:val="15"/>
        </w:rPr>
      </w:pPr>
    </w:p>
    <w:p>
      <w:pPr>
        <w:spacing w:before="121"/>
        <w:ind w:left="811" w:right="993" w:firstLine="0"/>
        <w:jc w:val="left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Middle-income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Africa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(Bostwana,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Mauritius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South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Africa);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Northern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Africa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(Egypt,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Morocco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Tunisia);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sub-Saharan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(Cote d‘lvoire, Kenya 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Nigeria).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40224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it would be more profitable relative to exporting.</w:t>
      </w:r>
      <w:r>
        <w:rPr>
          <w:spacing w:val="1"/>
        </w:rPr>
        <w:t> </w:t>
      </w:r>
      <w:r>
        <w:rPr/>
        <w:t>Likewise, in Cushman‘s (1985)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risk-adjusted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(domestic)</w:t>
      </w:r>
      <w:r>
        <w:rPr>
          <w:spacing w:val="1"/>
        </w:rPr>
        <w:t> </w:t>
      </w:r>
      <w:r>
        <w:rPr/>
        <w:t>currency</w:t>
      </w:r>
      <w:r>
        <w:rPr>
          <w:spacing w:val="1"/>
        </w:rPr>
        <w:t> </w:t>
      </w:r>
      <w:r>
        <w:rPr/>
        <w:t>appreciation (depreciation) is to raise foreign (domestic) capital cost, thus stimulating</w:t>
      </w:r>
      <w:r>
        <w:rPr>
          <w:spacing w:val="1"/>
        </w:rPr>
        <w:t> </w:t>
      </w:r>
      <w:r>
        <w:rPr/>
        <w:t>direct investment.</w:t>
      </w:r>
      <w:r>
        <w:rPr>
          <w:spacing w:val="1"/>
        </w:rPr>
        <w:t> </w:t>
      </w:r>
      <w:r>
        <w:rPr/>
        <w:t>In a free market economy, where exchange rate is determined by the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of demand and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the withholding of FDI flows</w:t>
      </w:r>
      <w:r>
        <w:rPr>
          <w:spacing w:val="1"/>
        </w:rPr>
        <w:t> </w:t>
      </w:r>
      <w:r>
        <w:rPr/>
        <w:t>by foreign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anticipation of domestic currency depreciation might lessen the flow of foreign currency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depreciation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</w:t>
      </w:r>
      <w:r>
        <w:rPr>
          <w:spacing w:val="-57"/>
        </w:rPr>
        <w:t> </w:t>
      </w:r>
      <w:r>
        <w:rPr/>
        <w:t>currency.   In a fixed exchange rate economy, a fall in FDI inflows equally puts pressure</w:t>
      </w:r>
      <w:r>
        <w:rPr>
          <w:spacing w:val="1"/>
        </w:rPr>
        <w:t> </w:t>
      </w:r>
      <w:r>
        <w:rPr/>
        <w:t>on the domestic government to devalue its currency, which will then be pursued by an</w:t>
      </w:r>
      <w:r>
        <w:rPr>
          <w:spacing w:val="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FDI</w:t>
      </w:r>
      <w:r>
        <w:rPr>
          <w:spacing w:val="-4"/>
        </w:rPr>
        <w:t> </w:t>
      </w:r>
      <w:r>
        <w:rPr/>
        <w:t>inflows.</w:t>
      </w:r>
    </w:p>
    <w:p>
      <w:pPr>
        <w:pStyle w:val="BodyText"/>
        <w:spacing w:line="360" w:lineRule="auto" w:before="201"/>
        <w:ind w:left="811" w:right="993"/>
        <w:jc w:val="both"/>
      </w:pPr>
      <w:r>
        <w:rPr/>
        <w:t>Market imperfections also have a significant stake in explaining causality between FDI</w:t>
      </w:r>
      <w:r>
        <w:rPr>
          <w:spacing w:val="1"/>
        </w:rPr>
        <w:t> </w:t>
      </w:r>
      <w:r>
        <w:rPr/>
        <w:t>flows and real exchange rates.</w:t>
      </w:r>
      <w:r>
        <w:rPr>
          <w:spacing w:val="1"/>
        </w:rPr>
        <w:t> </w:t>
      </w:r>
      <w:r>
        <w:rPr/>
        <w:t>For instance, imperfect capital mobility may play a role by</w:t>
      </w:r>
      <w:r>
        <w:rPr>
          <w:spacing w:val="-57"/>
        </w:rPr>
        <w:t> </w:t>
      </w:r>
      <w:r>
        <w:rPr/>
        <w:t>altering the relative wealth of firms across countries and regions.</w:t>
      </w:r>
      <w:r>
        <w:rPr>
          <w:spacing w:val="1"/>
        </w:rPr>
        <w:t> </w:t>
      </w:r>
      <w:r>
        <w:rPr/>
        <w:t>In this context, a real</w:t>
      </w:r>
      <w:r>
        <w:rPr>
          <w:spacing w:val="1"/>
        </w:rPr>
        <w:t> </w:t>
      </w:r>
      <w:r>
        <w:rPr/>
        <w:t>depreciation favours foreign purchasers of domestic assets and its associated with an</w:t>
      </w:r>
      <w:r>
        <w:rPr>
          <w:spacing w:val="1"/>
        </w:rPr>
        <w:t> </w:t>
      </w:r>
      <w:r>
        <w:rPr/>
        <w:t>increase in FDI inflows (Froot and Stein, 1991).</w:t>
      </w:r>
      <w:r>
        <w:rPr>
          <w:spacing w:val="1"/>
        </w:rPr>
        <w:t> </w:t>
      </w:r>
      <w:r>
        <w:rPr/>
        <w:t>The role of market imperfections also</w:t>
      </w:r>
      <w:r>
        <w:rPr>
          <w:spacing w:val="1"/>
        </w:rPr>
        <w:t> </w:t>
      </w:r>
      <w:r>
        <w:rPr/>
        <w:t>plays out through relative labour costs.</w:t>
      </w:r>
      <w:r>
        <w:rPr>
          <w:spacing w:val="1"/>
        </w:rPr>
        <w:t> </w:t>
      </w:r>
      <w:r>
        <w:rPr/>
        <w:t>Klein and Rosengren (1994) asserted that FDI</w:t>
      </w:r>
      <w:r>
        <w:rPr>
          <w:spacing w:val="1"/>
        </w:rPr>
        <w:t> </w:t>
      </w:r>
      <w:r>
        <w:rPr/>
        <w:t>represents capital seeking relatively cheap labour so that a depreciation of a country‘s</w:t>
      </w:r>
      <w:r>
        <w:rPr>
          <w:spacing w:val="1"/>
        </w:rPr>
        <w:t> </w:t>
      </w:r>
      <w:r>
        <w:rPr/>
        <w:t>currency</w:t>
      </w:r>
      <w:r>
        <w:rPr>
          <w:spacing w:val="-6"/>
        </w:rPr>
        <w:t> </w:t>
      </w:r>
      <w:r>
        <w:rPr/>
        <w:t>is associated</w:t>
      </w:r>
      <w:r>
        <w:rPr>
          <w:spacing w:val="2"/>
        </w:rPr>
        <w:t> </w:t>
      </w:r>
      <w:r>
        <w:rPr/>
        <w:t>with an increase</w:t>
      </w:r>
      <w:r>
        <w:rPr>
          <w:spacing w:val="-1"/>
        </w:rPr>
        <w:t> </w:t>
      </w:r>
      <w:r>
        <w:rPr/>
        <w:t>in its FDI</w:t>
      </w:r>
      <w:r>
        <w:rPr>
          <w:spacing w:val="-4"/>
        </w:rPr>
        <w:t> </w:t>
      </w:r>
      <w:r>
        <w:rPr/>
        <w:t>inflows.</w:t>
      </w:r>
    </w:p>
    <w:p>
      <w:pPr>
        <w:pStyle w:val="BodyText"/>
        <w:spacing w:line="360" w:lineRule="auto" w:before="199"/>
        <w:ind w:left="811" w:right="997"/>
        <w:jc w:val="both"/>
      </w:pPr>
      <w:r>
        <w:rPr/>
        <w:t>Risk attitudes play a major role in informing the investment decisions of individuals and</w:t>
      </w:r>
      <w:r>
        <w:rPr>
          <w:spacing w:val="1"/>
        </w:rPr>
        <w:t> </w:t>
      </w:r>
      <w:r>
        <w:rPr/>
        <w:t>firms and may, as such, explain the findings of Kodongo </w:t>
      </w:r>
      <w:r>
        <w:rPr>
          <w:i/>
        </w:rPr>
        <w:t>et al., </w:t>
      </w:r>
      <w:r>
        <w:rPr/>
        <w:t>(2011) that real exchange</w:t>
      </w:r>
      <w:r>
        <w:rPr>
          <w:spacing w:val="1"/>
        </w:rPr>
        <w:t> </w:t>
      </w:r>
      <w:r>
        <w:rPr/>
        <w:t>rate appreciation are generally associated with net FDI inflows. The same conclusion had</w:t>
      </w:r>
      <w:r>
        <w:rPr>
          <w:spacing w:val="1"/>
        </w:rPr>
        <w:t> </w:t>
      </w:r>
      <w:r>
        <w:rPr/>
        <w:t>been reached by Goldberg and Kolstad (1995).</w:t>
      </w:r>
      <w:r>
        <w:rPr>
          <w:spacing w:val="1"/>
        </w:rPr>
        <w:t> </w:t>
      </w:r>
      <w:r>
        <w:rPr/>
        <w:t>Their model however, envisaged no</w:t>
      </w:r>
      <w:r>
        <w:rPr>
          <w:spacing w:val="1"/>
        </w:rPr>
        <w:t> </w:t>
      </w:r>
      <w:r>
        <w:rPr/>
        <w:t>statistical relationship between exchange rate volatility and the allocation of production</w:t>
      </w:r>
      <w:r>
        <w:rPr>
          <w:spacing w:val="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markets provided</w:t>
      </w:r>
      <w:r>
        <w:rPr>
          <w:spacing w:val="-1"/>
        </w:rPr>
        <w:t> </w:t>
      </w:r>
      <w:r>
        <w:rPr/>
        <w:t>investors</w:t>
      </w:r>
      <w:r>
        <w:rPr>
          <w:spacing w:val="-1"/>
        </w:rPr>
        <w:t> </w:t>
      </w:r>
      <w:r>
        <w:rPr/>
        <w:t>are risk</w:t>
      </w:r>
      <w:r>
        <w:rPr>
          <w:spacing w:val="-1"/>
        </w:rPr>
        <w:t> </w:t>
      </w:r>
      <w:r>
        <w:rPr/>
        <w:t>neutral.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119" w:after="0"/>
        <w:ind w:left="1531" w:right="0" w:hanging="721"/>
        <w:jc w:val="left"/>
      </w:pP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Portfolio</w:t>
      </w:r>
      <w:r>
        <w:rPr>
          <w:spacing w:val="-1"/>
        </w:rPr>
        <w:t> </w:t>
      </w:r>
      <w:r>
        <w:rPr/>
        <w:t>Investments</w:t>
      </w:r>
      <w:r>
        <w:rPr>
          <w:vertAlign w:val="superscript"/>
        </w:rPr>
        <w:t>24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1000"/>
        <w:jc w:val="both"/>
      </w:pPr>
      <w:r>
        <w:rPr/>
        <w:drawing>
          <wp:anchor distT="0" distB="0" distL="0" distR="0" allowOverlap="1" layoutInCell="1" locked="0" behindDoc="1" simplePos="0" relativeHeight="477940736">
            <wp:simplePos x="0" y="0"/>
            <wp:positionH relativeFrom="page">
              <wp:posOffset>1485138</wp:posOffset>
            </wp:positionH>
            <wp:positionV relativeFrom="paragraph">
              <wp:posOffset>1180631</wp:posOffset>
            </wp:positionV>
            <wp:extent cx="5102225" cy="5044439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continents,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portfolio</w:t>
      </w:r>
      <w:r>
        <w:rPr>
          <w:spacing w:val="1"/>
        </w:rPr>
        <w:t> </w:t>
      </w:r>
      <w:r>
        <w:rPr/>
        <w:t>investments but due to the financial crisis in the late 2000, and the limited return potential</w:t>
      </w:r>
      <w:r>
        <w:rPr>
          <w:spacing w:val="-57"/>
        </w:rPr>
        <w:t> </w:t>
      </w:r>
      <w:r>
        <w:rPr/>
        <w:t>in the developed world, investors have been more willing to invest in emerging markets</w:t>
      </w:r>
      <w:r>
        <w:rPr>
          <w:spacing w:val="1"/>
        </w:rPr>
        <w:t> </w:t>
      </w:r>
      <w:r>
        <w:rPr/>
        <w:t>and sub-Saharan Africa countries.</w:t>
      </w:r>
      <w:r>
        <w:rPr>
          <w:spacing w:val="1"/>
        </w:rPr>
        <w:t> </w:t>
      </w:r>
      <w:r>
        <w:rPr/>
        <w:t>This sudden change in investors‘ behaviour is that</w:t>
      </w:r>
      <w:r>
        <w:rPr>
          <w:spacing w:val="1"/>
        </w:rPr>
        <w:t> </w:t>
      </w:r>
      <w:r>
        <w:rPr/>
        <w:t>emerging markets give a high yield at a lower risk than what could be obtained through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(Jeanneret,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Asia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whole 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 of foreign investors because of the high GDP growth rates of the individual</w:t>
      </w:r>
      <w:r>
        <w:rPr>
          <w:spacing w:val="1"/>
        </w:rPr>
        <w:t> </w:t>
      </w:r>
      <w:r>
        <w:rPr/>
        <w:t>economies and therefore potential for high returns, hence, impacting positively on their</w:t>
      </w:r>
      <w:r>
        <w:rPr>
          <w:spacing w:val="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 payments positions than ever before.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t>Kohlhagen (1977) concluded that the level of portfolio investment inflows was linked to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political</w:t>
      </w:r>
      <w:r>
        <w:rPr>
          <w:spacing w:val="16"/>
        </w:rPr>
        <w:t> </w:t>
      </w:r>
      <w:r>
        <w:rPr/>
        <w:t>risk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country,</w:t>
      </w:r>
      <w:r>
        <w:rPr>
          <w:spacing w:val="15"/>
        </w:rPr>
        <w:t> </w:t>
      </w:r>
      <w:r>
        <w:rPr/>
        <w:t>macroeconomic</w:t>
      </w:r>
      <w:r>
        <w:rPr>
          <w:spacing w:val="15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also</w:t>
      </w:r>
      <w:r>
        <w:rPr>
          <w:spacing w:val="17"/>
        </w:rPr>
        <w:t> </w:t>
      </w:r>
      <w:r>
        <w:rPr/>
        <w:t>considered</w:t>
      </w:r>
      <w:r>
        <w:rPr>
          <w:spacing w:val="-58"/>
        </w:rPr>
        <w:t> </w:t>
      </w:r>
      <w:r>
        <w:rPr/>
        <w:t>as a major driving force of portfolio investment inflows.</w:t>
      </w:r>
      <w:r>
        <w:rPr>
          <w:spacing w:val="1"/>
        </w:rPr>
        <w:t> </w:t>
      </w:r>
      <w:r>
        <w:rPr/>
        <w:t>For instance, potential investors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invest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GDP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fluctuations, interest rate and inflation fluctuations, among others.</w:t>
      </w:r>
      <w:r>
        <w:rPr>
          <w:spacing w:val="1"/>
        </w:rPr>
        <w:t> </w:t>
      </w:r>
      <w:r>
        <w:rPr/>
        <w:t>According to Kodongo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Ojah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countries‘</w:t>
      </w:r>
      <w:r>
        <w:rPr>
          <w:spacing w:val="1"/>
        </w:rPr>
        <w:t> </w:t>
      </w:r>
      <w:r>
        <w:rPr/>
        <w:t>GDP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remarkable in the last two decades.</w:t>
      </w:r>
      <w:r>
        <w:rPr>
          <w:spacing w:val="1"/>
        </w:rPr>
        <w:t> </w:t>
      </w:r>
      <w:r>
        <w:rPr/>
        <w:t>From their analysis, it could be deduced that sub-</w:t>
      </w:r>
      <w:r>
        <w:rPr>
          <w:spacing w:val="1"/>
        </w:rPr>
        <w:t> </w:t>
      </w:r>
      <w:r>
        <w:rPr/>
        <w:t>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continent, like the Asian countries in terms of attracting investment flows.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similar trends, Africa countries are among the world‘s ten fastest growing economies</w:t>
      </w:r>
      <w:r>
        <w:rPr>
          <w:spacing w:val="1"/>
        </w:rPr>
        <w:t> </w:t>
      </w:r>
      <w:r>
        <w:rPr/>
        <w:t>measured on annual GDP growth in the last decade.</w:t>
      </w:r>
      <w:r>
        <w:rPr>
          <w:spacing w:val="1"/>
        </w:rPr>
        <w:t> </w:t>
      </w:r>
      <w:r>
        <w:rPr/>
        <w:t>This implies that SSA region has a</w:t>
      </w:r>
      <w:r>
        <w:rPr>
          <w:spacing w:val="1"/>
        </w:rPr>
        <w:t> </w:t>
      </w:r>
      <w:r>
        <w:rPr/>
        <w:t>great potential relative to other regions in attracting foreign investments.</w:t>
      </w:r>
      <w:r>
        <w:rPr>
          <w:spacing w:val="1"/>
        </w:rPr>
        <w:t> </w:t>
      </w:r>
      <w:r>
        <w:rPr/>
        <w:t>With these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developments,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reshape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domestic economic to further propel their growth potentials to take advantage of the new</w:t>
      </w:r>
      <w:r>
        <w:rPr>
          <w:spacing w:val="1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opportunities.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811" w:right="998" w:firstLine="0"/>
        <w:jc w:val="both"/>
        <w:rPr>
          <w:sz w:val="20"/>
        </w:rPr>
      </w:pPr>
      <w:r>
        <w:rPr/>
        <w:pict>
          <v:rect style="position:absolute;margin-left:106.580002pt;margin-top:-5.544092pt;width:144.020pt;height:.72003pt;mso-position-horizontal-relative:page;mso-position-vertical-relative:paragraph;z-index:-2537523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24</w:t>
      </w:r>
      <w:r>
        <w:rPr>
          <w:sz w:val="20"/>
          <w:vertAlign w:val="baseline"/>
        </w:rPr>
        <w:t> According to the IMF, 2010, portfolio investment is defined as cross-border transactions and positions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involving debt or equity securities, other than those included in direct investment or reserves asset.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Equity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investments exceeding 10% ownership of a company is listed under FDI.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Thus, portfolio investment is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equity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securities, debt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securities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money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market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investment.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320" w:bottom="1200" w:left="1320" w:right="440"/>
        </w:sect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43" w:id="31"/>
      <w:r>
        <w:rPr/>
        <w:t>Empirical</w:t>
      </w:r>
      <w:r>
        <w:rPr>
          <w:spacing w:val="-3"/>
        </w:rPr>
        <w:t> </w:t>
      </w:r>
      <w:r>
        <w:rPr/>
        <w:t>Evidence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Rates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Portfolio</w:t>
      </w:r>
      <w:r>
        <w:rPr>
          <w:spacing w:val="-2"/>
        </w:rPr>
        <w:t> </w:t>
      </w:r>
      <w:bookmarkEnd w:id="31"/>
      <w:r>
        <w:rPr/>
        <w:t>Investments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41760">
            <wp:simplePos x="0" y="0"/>
            <wp:positionH relativeFrom="page">
              <wp:posOffset>1485138</wp:posOffset>
            </wp:positionH>
            <wp:positionV relativeFrom="paragraph">
              <wp:posOffset>1180631</wp:posOffset>
            </wp:positionV>
            <wp:extent cx="5102225" cy="5044439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exiting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portfolio</w:t>
      </w:r>
      <w:r>
        <w:rPr>
          <w:spacing w:val="1"/>
        </w:rPr>
        <w:t> </w:t>
      </w:r>
      <w:r>
        <w:rPr/>
        <w:t>investments is mostly on developed and emerging market economies.</w:t>
      </w:r>
      <w:r>
        <w:rPr>
          <w:spacing w:val="1"/>
        </w:rPr>
        <w:t> </w:t>
      </w:r>
      <w:r>
        <w:rPr/>
        <w:t>Much has not been</w:t>
      </w:r>
      <w:r>
        <w:rPr>
          <w:spacing w:val="1"/>
        </w:rPr>
        <w:t> </w:t>
      </w:r>
      <w:r>
        <w:rPr/>
        <w:t>done for developing economies due to the slow growth in the financial sector and capital</w:t>
      </w:r>
      <w:r>
        <w:rPr>
          <w:spacing w:val="1"/>
        </w:rPr>
        <w:t> </w:t>
      </w:r>
      <w:r>
        <w:rPr/>
        <w:t>markets.</w:t>
      </w:r>
      <w:r>
        <w:rPr>
          <w:spacing w:val="1"/>
        </w:rPr>
        <w:t> </w:t>
      </w:r>
      <w:r>
        <w:rPr/>
        <w:t>Some of the early studies in this field include the following: Eun and Resnick</w:t>
      </w:r>
      <w:r>
        <w:rPr>
          <w:spacing w:val="1"/>
        </w:rPr>
        <w:t> </w:t>
      </w:r>
      <w:r>
        <w:rPr/>
        <w:t>(1998)</w:t>
      </w:r>
      <w:r>
        <w:rPr>
          <w:spacing w:val="-1"/>
        </w:rPr>
        <w:t> </w:t>
      </w:r>
      <w:r>
        <w:rPr/>
        <w:t>and Markusen (1998)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4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Markusen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earning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securities</w:t>
      </w:r>
      <w:r>
        <w:rPr>
          <w:spacing w:val="1"/>
        </w:rPr>
        <w:t> </w:t>
      </w:r>
      <w:r>
        <w:rPr/>
        <w:t>comprised the investment returns (dividends and capital gains) on the securities and the</w:t>
      </w:r>
      <w:r>
        <w:rPr>
          <w:spacing w:val="1"/>
        </w:rPr>
        <w:t> </w:t>
      </w:r>
      <w:r>
        <w:rPr/>
        <w:t>changes in the exchange rate during the holding period.   The researcher confirmed that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sharpening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exchange</w:t>
      </w:r>
      <w:r>
        <w:rPr>
          <w:spacing w:val="58"/>
        </w:rPr>
        <w:t> </w:t>
      </w:r>
      <w:r>
        <w:rPr/>
        <w:t>rate</w:t>
      </w:r>
      <w:r>
        <w:rPr>
          <w:spacing w:val="59"/>
        </w:rPr>
        <w:t> </w:t>
      </w:r>
      <w:r>
        <w:rPr/>
        <w:t>fluctuations</w:t>
      </w:r>
      <w:r>
        <w:rPr>
          <w:spacing w:val="59"/>
        </w:rPr>
        <w:t> </w:t>
      </w:r>
      <w:r>
        <w:rPr/>
        <w:t>during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late</w:t>
      </w:r>
      <w:r>
        <w:rPr>
          <w:spacing w:val="58"/>
        </w:rPr>
        <w:t> </w:t>
      </w:r>
      <w:r>
        <w:rPr/>
        <w:t>1960s  spate</w:t>
      </w:r>
      <w:r>
        <w:rPr>
          <w:spacing w:val="58"/>
        </w:rPr>
        <w:t> </w:t>
      </w:r>
      <w:r>
        <w:rPr/>
        <w:t>speculative</w:t>
      </w:r>
      <w:r>
        <w:rPr>
          <w:spacing w:val="-57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1970s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investment in the thirteen sampled countries mostly from Europe while South Africa was</w:t>
      </w:r>
      <w:r>
        <w:rPr>
          <w:spacing w:val="1"/>
        </w:rPr>
        <w:t> </w:t>
      </w:r>
      <w:r>
        <w:rPr/>
        <w:t>the only Africa country considered in his study.</w:t>
      </w:r>
      <w:r>
        <w:rPr>
          <w:spacing w:val="1"/>
        </w:rPr>
        <w:t> </w:t>
      </w:r>
      <w:r>
        <w:rPr/>
        <w:t>Eun and Resnick (1998) also confirmed</w:t>
      </w:r>
      <w:r>
        <w:rPr>
          <w:spacing w:val="1"/>
        </w:rPr>
        <w:t> </w:t>
      </w:r>
      <w:r>
        <w:rPr/>
        <w:t>from monthly data for a group of countries, the U.S. and six others that exchange rate</w:t>
      </w:r>
      <w:r>
        <w:rPr>
          <w:spacing w:val="1"/>
        </w:rPr>
        <w:t> </w:t>
      </w:r>
      <w:r>
        <w:rPr/>
        <w:t>fluctuation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risky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aggravated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diversification in those economies.</w:t>
      </w:r>
      <w:r>
        <w:rPr>
          <w:spacing w:val="1"/>
        </w:rPr>
        <w:t> </w:t>
      </w:r>
      <w:r>
        <w:rPr/>
        <w:t>Markusen (1998) found that firms diverged most of</w:t>
      </w:r>
      <w:r>
        <w:rPr>
          <w:spacing w:val="1"/>
        </w:rPr>
        <w:t> </w:t>
      </w:r>
      <w:r>
        <w:rPr/>
        <w:t>their investments away from portfolio to foreign direct investment in order to avoid</w:t>
      </w:r>
      <w:r>
        <w:rPr>
          <w:spacing w:val="1"/>
        </w:rPr>
        <w:t> </w:t>
      </w:r>
      <w:r>
        <w:rPr/>
        <w:t>foreign exchange rate risk which was considered as the cost of international trade.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provides evidence for the existence of long term investment being directed to developing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with even</w:t>
      </w:r>
      <w:r>
        <w:rPr>
          <w:spacing w:val="-1"/>
        </w:rPr>
        <w:t> </w:t>
      </w:r>
      <w:r>
        <w:rPr/>
        <w:t>high</w:t>
      </w:r>
      <w:r>
        <w:rPr>
          <w:spacing w:val="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macroeconomic</w:t>
      </w:r>
      <w:r>
        <w:rPr>
          <w:spacing w:val="-1"/>
        </w:rPr>
        <w:t> </w:t>
      </w:r>
      <w:r>
        <w:rPr/>
        <w:t>instability</w:t>
      </w:r>
      <w:r>
        <w:rPr>
          <w:spacing w:val="-8"/>
        </w:rPr>
        <w:t> </w:t>
      </w:r>
      <w:r>
        <w:rPr/>
        <w:t>such</w:t>
      </w:r>
      <w:r>
        <w:rPr>
          <w:spacing w:val="-1"/>
        </w:rPr>
        <w:t> </w:t>
      </w:r>
      <w:r>
        <w:rPr/>
        <w:t>as exchange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risk.</w:t>
      </w:r>
    </w:p>
    <w:p>
      <w:pPr>
        <w:pStyle w:val="BodyText"/>
        <w:spacing w:line="360" w:lineRule="auto" w:before="202"/>
        <w:ind w:left="811" w:right="995"/>
        <w:jc w:val="both"/>
      </w:pPr>
      <w:r>
        <w:rPr/>
        <w:t>Exploring the empirical relationship between portfolio investments and real exchange rate</w:t>
      </w:r>
      <w:r>
        <w:rPr>
          <w:spacing w:val="-57"/>
        </w:rPr>
        <w:t> </w:t>
      </w:r>
      <w:r>
        <w:rPr/>
        <w:t>volatility, Serven (2003) drew from a large cross-country time series data set on private</w:t>
      </w:r>
      <w:r>
        <w:rPr>
          <w:spacing w:val="1"/>
        </w:rPr>
        <w:t> </w:t>
      </w:r>
      <w:r>
        <w:rPr/>
        <w:t>investment and its determinants comprising sixty-one developing countries and spanning</w:t>
      </w:r>
      <w:r>
        <w:rPr>
          <w:spacing w:val="1"/>
        </w:rPr>
        <w:t> </w:t>
      </w:r>
      <w:r>
        <w:rPr/>
        <w:t>from 1970 to 1995.</w:t>
      </w:r>
      <w:r>
        <w:rPr>
          <w:spacing w:val="1"/>
        </w:rPr>
        <w:t> </w:t>
      </w:r>
      <w:r>
        <w:rPr/>
        <w:t>To measure real exchange rate uncertainty, the researcher used</w:t>
      </w:r>
      <w:r>
        <w:rPr>
          <w:spacing w:val="1"/>
        </w:rPr>
        <w:t> </w:t>
      </w:r>
      <w:r>
        <w:rPr/>
        <w:t>GARCH (1,1) specification and the estimation of a dynamic equation based on GMM</w:t>
      </w:r>
      <w:r>
        <w:rPr>
          <w:spacing w:val="1"/>
        </w:rPr>
        <w:t> </w:t>
      </w:r>
      <w:r>
        <w:rPr/>
        <w:t>estimator proposed by Arellano and Bond (1991). The conclusion was that exchange rate</w:t>
      </w:r>
      <w:r>
        <w:rPr>
          <w:spacing w:val="1"/>
        </w:rPr>
        <w:t> </w:t>
      </w:r>
      <w:r>
        <w:rPr/>
        <w:t>volatility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uncertain</w:t>
      </w:r>
      <w:r>
        <w:rPr>
          <w:spacing w:val="1"/>
        </w:rPr>
        <w:t> </w:t>
      </w:r>
      <w:r>
        <w:rPr/>
        <w:t>ambiance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difficult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forecast.</w:t>
      </w:r>
      <w:r>
        <w:rPr>
          <w:spacing w:val="24"/>
        </w:rPr>
        <w:t> </w:t>
      </w:r>
      <w:r>
        <w:rPr/>
        <w:t>It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further</w:t>
      </w:r>
      <w:r>
        <w:rPr>
          <w:spacing w:val="8"/>
        </w:rPr>
        <w:t> </w:t>
      </w:r>
      <w:r>
        <w:rPr/>
        <w:t>revealed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negative</w:t>
      </w:r>
      <w:r>
        <w:rPr>
          <w:spacing w:val="8"/>
        </w:rPr>
        <w:t> </w:t>
      </w:r>
      <w:r>
        <w:rPr/>
        <w:t>effect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real</w:t>
      </w:r>
      <w:r>
        <w:rPr>
          <w:spacing w:val="10"/>
        </w:rPr>
        <w:t> </w:t>
      </w:r>
      <w:r>
        <w:rPr/>
        <w:t>exchange</w:t>
      </w:r>
      <w:r>
        <w:rPr>
          <w:spacing w:val="8"/>
        </w:rPr>
        <w:t> </w:t>
      </w:r>
      <w:r>
        <w:rPr/>
        <w:t>rate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t>uncertainty on investment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larger in</w:t>
      </w:r>
      <w:r>
        <w:rPr>
          <w:spacing w:val="1"/>
        </w:rPr>
        <w:t> </w:t>
      </w:r>
      <w:r>
        <w:rPr/>
        <w:t>economies</w:t>
      </w:r>
      <w:r>
        <w:rPr>
          <w:spacing w:val="60"/>
        </w:rPr>
        <w:t> </w:t>
      </w:r>
      <w:r>
        <w:rPr/>
        <w:t>that were highly open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developed financial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Solomon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Ruiz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investments.</w:t>
      </w:r>
      <w:r>
        <w:rPr>
          <w:spacing w:val="1"/>
        </w:rPr>
        <w:t> </w:t>
      </w:r>
      <w:r>
        <w:rPr/>
        <w:t>This indicates that rationally high portfolio investment level will occur in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stable exchange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policies than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countries with</w:t>
      </w:r>
      <w:r>
        <w:rPr>
          <w:spacing w:val="-1"/>
        </w:rPr>
        <w:t> </w:t>
      </w:r>
      <w:r>
        <w:rPr/>
        <w:t>volatile</w:t>
      </w:r>
      <w:r>
        <w:rPr>
          <w:spacing w:val="-2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rate.</w:t>
      </w:r>
    </w:p>
    <w:p>
      <w:pPr>
        <w:pStyle w:val="BodyText"/>
        <w:spacing w:line="360" w:lineRule="auto" w:before="201"/>
        <w:ind w:left="811" w:right="998"/>
        <w:jc w:val="both"/>
      </w:pPr>
      <w:r>
        <w:rPr/>
        <w:drawing>
          <wp:anchor distT="0" distB="0" distL="0" distR="0" allowOverlap="1" layoutInCell="1" locked="0" behindDoc="1" simplePos="0" relativeHeight="477942272">
            <wp:simplePos x="0" y="0"/>
            <wp:positionH relativeFrom="page">
              <wp:posOffset>1485138</wp:posOffset>
            </wp:positionH>
            <wp:positionV relativeFrom="paragraph">
              <wp:posOffset>281090</wp:posOffset>
            </wp:positionV>
            <wp:extent cx="5102225" cy="5044439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Assessing these studies, apart from Serven (2003) who employed the GARCH-based</w:t>
      </w:r>
      <w:r>
        <w:rPr>
          <w:spacing w:val="1"/>
        </w:rPr>
        <w:t> </w:t>
      </w:r>
      <w:r>
        <w:rPr/>
        <w:t>measure of real-exchange rate volatility and the GMM estimator, none was subject to a</w:t>
      </w:r>
      <w:r>
        <w:rPr>
          <w:spacing w:val="1"/>
        </w:rPr>
        <w:t> </w:t>
      </w:r>
      <w:r>
        <w:rPr/>
        <w:t>rigorous econometric analysis.</w:t>
      </w:r>
      <w:r>
        <w:rPr>
          <w:spacing w:val="1"/>
        </w:rPr>
        <w:t> </w:t>
      </w:r>
      <w:r>
        <w:rPr/>
        <w:t>Due to widespread macroeconomic shocks in variables, it</w:t>
      </w:r>
      <w:r>
        <w:rPr>
          <w:spacing w:val="1"/>
        </w:rPr>
        <w:t> </w:t>
      </w:r>
      <w:r>
        <w:rPr/>
        <w:t>would be necessary to subdue such empirical works to sound policy recommendations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credible</w:t>
      </w:r>
      <w:r>
        <w:rPr>
          <w:spacing w:val="-1"/>
        </w:rPr>
        <w:t> </w:t>
      </w:r>
      <w:r>
        <w:rPr/>
        <w:t>econometric analysis</w:t>
      </w:r>
      <w:r>
        <w:rPr>
          <w:spacing w:val="-1"/>
        </w:rPr>
        <w:t> </w:t>
      </w:r>
      <w:r>
        <w:rPr/>
        <w:t>and interpretation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results.</w:t>
      </w:r>
    </w:p>
    <w:p>
      <w:pPr>
        <w:pStyle w:val="BodyText"/>
        <w:spacing w:line="360" w:lineRule="auto"/>
        <w:ind w:left="811" w:right="993"/>
        <w:jc w:val="both"/>
      </w:pPr>
      <w:r>
        <w:rPr/>
        <w:t>The recent available empirical studies that might attract significant discussion is the one</w:t>
      </w:r>
      <w:r>
        <w:rPr>
          <w:spacing w:val="1"/>
        </w:rPr>
        <w:t> </w:t>
      </w:r>
      <w:r>
        <w:rPr/>
        <w:t>by Jongwanich and Kohpaiboon (2013).</w:t>
      </w:r>
      <w:r>
        <w:rPr>
          <w:spacing w:val="1"/>
        </w:rPr>
        <w:t> </w:t>
      </w:r>
      <w:r>
        <w:rPr/>
        <w:t>They based their analysis on nine emerging Asia</w:t>
      </w:r>
      <w:r>
        <w:rPr>
          <w:spacing w:val="-57"/>
        </w:rPr>
        <w:t> </w:t>
      </w:r>
      <w:r>
        <w:rPr/>
        <w:t>economies by investigating the impact of capital flows on the real exchange rates in the</w:t>
      </w:r>
      <w:r>
        <w:rPr>
          <w:spacing w:val="1"/>
        </w:rPr>
        <w:t> </w:t>
      </w:r>
      <w:r>
        <w:rPr/>
        <w:t>nine Asian countries using a dynamic panel-data model.</w:t>
      </w:r>
      <w:r>
        <w:rPr>
          <w:spacing w:val="1"/>
        </w:rPr>
        <w:t> </w:t>
      </w:r>
      <w:r>
        <w:rPr/>
        <w:t>The researchers reported that the</w:t>
      </w:r>
      <w:r>
        <w:rPr>
          <w:spacing w:val="-57"/>
        </w:rPr>
        <w:t> </w:t>
      </w:r>
      <w:r>
        <w:rPr/>
        <w:t>speed of real exchange rate adjustment associated with the different types of capital flows</w:t>
      </w:r>
      <w:r>
        <w:rPr>
          <w:spacing w:val="-57"/>
        </w:rPr>
        <w:t> </w:t>
      </w:r>
      <w:r>
        <w:rPr/>
        <w:t>differed. While an increase in net portfolio capital inflows immediately or simultaneously</w:t>
      </w:r>
      <w:r>
        <w:rPr>
          <w:spacing w:val="1"/>
        </w:rPr>
        <w:t> </w:t>
      </w:r>
      <w:r>
        <w:rPr/>
        <w:t>resulted in real exchange rate appreciation, the effect of foreign direct investments on real</w:t>
      </w:r>
      <w:r>
        <w:rPr>
          <w:spacing w:val="-57"/>
        </w:rPr>
        <w:t> </w:t>
      </w:r>
      <w:r>
        <w:rPr/>
        <w:t>exchange rates occurred with time lags.</w:t>
      </w:r>
      <w:r>
        <w:rPr>
          <w:spacing w:val="1"/>
        </w:rPr>
        <w:t> </w:t>
      </w:r>
      <w:r>
        <w:rPr/>
        <w:t>The result illustrated the statistical insignificance</w:t>
      </w:r>
      <w:r>
        <w:rPr>
          <w:spacing w:val="-57"/>
        </w:rPr>
        <w:t> </w:t>
      </w:r>
      <w:r>
        <w:rPr/>
        <w:t>of net foreign direct investment flows on real exchange rates in the initial period, but this</w:t>
      </w:r>
      <w:r>
        <w:rPr>
          <w:spacing w:val="1"/>
        </w:rPr>
        <w:t> </w:t>
      </w:r>
      <w:r>
        <w:rPr/>
        <w:t>relationship (between foreign direct investment and exchange rates) became statistically</w:t>
      </w:r>
      <w:r>
        <w:rPr>
          <w:spacing w:val="1"/>
        </w:rPr>
        <w:t> </w:t>
      </w:r>
      <w:r>
        <w:rPr/>
        <w:t>significant in the subsequent periods.</w:t>
      </w:r>
      <w:r>
        <w:rPr>
          <w:spacing w:val="1"/>
        </w:rPr>
        <w:t> </w:t>
      </w:r>
      <w:r>
        <w:rPr/>
        <w:t>This implies that the response of exchange rate to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direct investment inflows is not</w:t>
      </w:r>
      <w:r>
        <w:rPr>
          <w:spacing w:val="-1"/>
        </w:rPr>
        <w:t> </w:t>
      </w:r>
      <w:r>
        <w:rPr/>
        <w:t>instantaneous.</w:t>
      </w:r>
    </w:p>
    <w:p>
      <w:pPr>
        <w:pStyle w:val="BodyText"/>
        <w:spacing w:line="360" w:lineRule="auto" w:before="200"/>
        <w:ind w:left="811" w:right="993"/>
        <w:jc w:val="both"/>
      </w:pPr>
      <w:r>
        <w:rPr/>
        <w:t>Specifically,</w:t>
      </w:r>
      <w:r>
        <w:rPr>
          <w:spacing w:val="18"/>
        </w:rPr>
        <w:t> </w:t>
      </w:r>
      <w:r>
        <w:rPr/>
        <w:t>interpretations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estimated</w:t>
      </w:r>
      <w:r>
        <w:rPr>
          <w:spacing w:val="18"/>
        </w:rPr>
        <w:t> </w:t>
      </w:r>
      <w:r>
        <w:rPr/>
        <w:t>coefficients</w:t>
      </w:r>
      <w:r>
        <w:rPr>
          <w:spacing w:val="18"/>
        </w:rPr>
        <w:t> </w:t>
      </w:r>
      <w:r>
        <w:rPr/>
        <w:t>were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follows: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1%</w:t>
      </w:r>
      <w:r>
        <w:rPr>
          <w:spacing w:val="17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 portfolio investment led to an immediate appreciation of real exchange rates by 0.15%,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lag 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portfolio</w:t>
      </w:r>
      <w:r>
        <w:rPr>
          <w:spacing w:val="-57"/>
        </w:rPr>
        <w:t> </w:t>
      </w:r>
      <w:r>
        <w:rPr/>
        <w:t>investment flows in the following periods.</w:t>
      </w:r>
      <w:r>
        <w:rPr>
          <w:spacing w:val="60"/>
        </w:rPr>
        <w:t> </w:t>
      </w:r>
      <w:r>
        <w:rPr/>
        <w:t>That is, a 1% rise in net FDI inflows resulted</w:t>
      </w:r>
      <w:r>
        <w:rPr>
          <w:spacing w:val="1"/>
        </w:rPr>
        <w:t> </w:t>
      </w:r>
      <w:r>
        <w:rPr/>
        <w:t>in an appreciation of the real exchange rate in the following period by 0.14%.</w:t>
      </w:r>
      <w:r>
        <w:rPr>
          <w:spacing w:val="1"/>
        </w:rPr>
        <w:t> </w:t>
      </w:r>
      <w:r>
        <w:rPr/>
        <w:t>The slow</w:t>
      </w:r>
      <w:r>
        <w:rPr>
          <w:spacing w:val="1"/>
        </w:rPr>
        <w:t> </w:t>
      </w:r>
      <w:r>
        <w:rPr/>
        <w:t>adjustment of the real exchange rates to foreign investment flows could be attributed to</w:t>
      </w:r>
      <w:r>
        <w:rPr>
          <w:spacing w:val="1"/>
        </w:rPr>
        <w:t> </w:t>
      </w:r>
      <w:r>
        <w:rPr/>
        <w:t>two</w:t>
      </w:r>
      <w:r>
        <w:rPr>
          <w:spacing w:val="10"/>
        </w:rPr>
        <w:t> </w:t>
      </w:r>
      <w:r>
        <w:rPr/>
        <w:t>main</w:t>
      </w:r>
      <w:r>
        <w:rPr>
          <w:spacing w:val="10"/>
        </w:rPr>
        <w:t> </w:t>
      </w:r>
      <w:r>
        <w:rPr/>
        <w:t>factors:</w:t>
      </w:r>
      <w:r>
        <w:rPr>
          <w:spacing w:val="23"/>
        </w:rPr>
        <w:t> </w:t>
      </w:r>
      <w:r>
        <w:rPr/>
        <w:t>(i)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decision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undertake</w:t>
      </w:r>
      <w:r>
        <w:rPr>
          <w:spacing w:val="11"/>
        </w:rPr>
        <w:t> </w:t>
      </w:r>
      <w:r>
        <w:rPr/>
        <w:t>foreign</w:t>
      </w:r>
      <w:r>
        <w:rPr>
          <w:spacing w:val="12"/>
        </w:rPr>
        <w:t> </w:t>
      </w:r>
      <w:r>
        <w:rPr/>
        <w:t>direct</w:t>
      </w:r>
      <w:r>
        <w:rPr>
          <w:spacing w:val="11"/>
        </w:rPr>
        <w:t> </w:t>
      </w:r>
      <w:r>
        <w:rPr/>
        <w:t>investment</w:t>
      </w:r>
      <w:r>
        <w:rPr>
          <w:spacing w:val="13"/>
        </w:rPr>
        <w:t> </w:t>
      </w:r>
      <w:r>
        <w:rPr/>
        <w:t>might</w:t>
      </w:r>
      <w:r>
        <w:rPr>
          <w:spacing w:val="12"/>
        </w:rPr>
        <w:t> </w:t>
      </w:r>
      <w:r>
        <w:rPr/>
        <w:t>require</w:t>
      </w:r>
      <w:r>
        <w:rPr>
          <w:spacing w:val="12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t>considerable amount of time to assess both the risky nature of the venture and the returns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may not</w:t>
      </w:r>
      <w:r>
        <w:rPr>
          <w:spacing w:val="1"/>
        </w:rPr>
        <w:t> </w:t>
      </w:r>
      <w:r>
        <w:rPr/>
        <w:t>respond</w:t>
      </w:r>
      <w:r>
        <w:rPr>
          <w:spacing w:val="60"/>
        </w:rPr>
        <w:t> </w:t>
      </w:r>
      <w:r>
        <w:rPr/>
        <w:t>immediately to</w:t>
      </w:r>
      <w:r>
        <w:rPr>
          <w:spacing w:val="-57"/>
        </w:rPr>
        <w:t> </w:t>
      </w:r>
      <w:r>
        <w:rPr/>
        <w:t>certain macroeconomic shocks due to its stable nature of investment whose relocation</w:t>
      </w:r>
      <w:r>
        <w:rPr>
          <w:spacing w:val="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might not be</w:t>
      </w:r>
      <w:r>
        <w:rPr>
          <w:spacing w:val="-1"/>
        </w:rPr>
        <w:t> </w:t>
      </w:r>
      <w:r>
        <w:rPr/>
        <w:t>taken instantly.</w:t>
      </w:r>
    </w:p>
    <w:p>
      <w:pPr>
        <w:pStyle w:val="BodyText"/>
        <w:spacing w:line="360" w:lineRule="auto" w:before="200"/>
        <w:ind w:left="811" w:right="1000"/>
        <w:jc w:val="both"/>
      </w:pPr>
      <w:r>
        <w:rPr/>
        <w:drawing>
          <wp:anchor distT="0" distB="0" distL="0" distR="0" allowOverlap="1" layoutInCell="1" locked="0" behindDoc="1" simplePos="0" relativeHeight="477942784">
            <wp:simplePos x="0" y="0"/>
            <wp:positionH relativeFrom="page">
              <wp:posOffset>1485138</wp:posOffset>
            </wp:positionH>
            <wp:positionV relativeFrom="paragraph">
              <wp:posOffset>544107</wp:posOffset>
            </wp:positionV>
            <wp:extent cx="5102225" cy="5044439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Much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Athukorala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Rajapatirana,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had</w:t>
      </w:r>
      <w:r>
        <w:rPr>
          <w:spacing w:val="-57"/>
        </w:rPr>
        <w:t> </w:t>
      </w:r>
      <w:r>
        <w:rPr/>
        <w:t>provided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portfolio</w:t>
      </w:r>
      <w:r>
        <w:rPr>
          <w:spacing w:val="1"/>
        </w:rPr>
        <w:t> </w:t>
      </w:r>
      <w:r>
        <w:rPr/>
        <w:t>inflows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any other</w:t>
      </w:r>
      <w:r>
        <w:rPr>
          <w:spacing w:val="-57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inflows such as</w:t>
      </w:r>
      <w:r>
        <w:rPr>
          <w:spacing w:val="-1"/>
        </w:rPr>
        <w:t> </w:t>
      </w:r>
      <w:r>
        <w:rPr/>
        <w:t>foreign direct investment</w:t>
      </w:r>
      <w:r>
        <w:rPr>
          <w:spacing w:val="-1"/>
        </w:rPr>
        <w:t> </w:t>
      </w:r>
      <w:r>
        <w:rPr/>
        <w:t>and bank lending</w:t>
      </w:r>
      <w:r>
        <w:rPr>
          <w:spacing w:val="-3"/>
        </w:rPr>
        <w:t> </w:t>
      </w:r>
      <w:r>
        <w:rPr/>
        <w:t>inflows.</w:t>
      </w:r>
    </w:p>
    <w:p>
      <w:pPr>
        <w:pStyle w:val="BodyText"/>
        <w:spacing w:line="360" w:lineRule="auto" w:before="202"/>
        <w:ind w:left="811" w:right="998"/>
        <w:jc w:val="both"/>
      </w:pPr>
      <w:r>
        <w:rPr/>
        <w:t>Analyzing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portfolio</w:t>
      </w:r>
      <w:r>
        <w:rPr>
          <w:spacing w:val="1"/>
        </w:rPr>
        <w:t> </w:t>
      </w:r>
      <w:r>
        <w:rPr/>
        <w:t>investment,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movements, Ajayi and Mougoue (1996) used a high-frequency statistical relationship to</w:t>
      </w:r>
      <w:r>
        <w:rPr>
          <w:spacing w:val="1"/>
        </w:rPr>
        <w:t> </w:t>
      </w:r>
      <w:r>
        <w:rPr/>
        <w:t>examine both</w:t>
      </w:r>
      <w:r>
        <w:rPr>
          <w:spacing w:val="1"/>
        </w:rPr>
        <w:t> </w:t>
      </w:r>
      <w:r>
        <w:rPr/>
        <w:t>their short-run and</w:t>
      </w:r>
      <w:r>
        <w:rPr>
          <w:spacing w:val="1"/>
        </w:rPr>
        <w:t> </w:t>
      </w:r>
      <w:r>
        <w:rPr/>
        <w:t>long-run relationships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eight</w:t>
      </w:r>
      <w:r>
        <w:rPr>
          <w:spacing w:val="60"/>
        </w:rPr>
        <w:t> </w:t>
      </w:r>
      <w:r>
        <w:rPr/>
        <w:t>advanced</w:t>
      </w:r>
      <w:r>
        <w:rPr>
          <w:spacing w:val="60"/>
        </w:rPr>
        <w:t> </w:t>
      </w:r>
      <w:r>
        <w:rPr/>
        <w:t>economies.</w:t>
      </w:r>
      <w:r>
        <w:rPr>
          <w:spacing w:val="1"/>
        </w:rPr>
        <w:t> </w:t>
      </w:r>
      <w:r>
        <w:rPr/>
        <w:t>The results showed that an increase in stock prices caused the domestic currencies of the</w:t>
      </w:r>
      <w:r>
        <w:rPr>
          <w:spacing w:val="1"/>
        </w:rPr>
        <w:t> </w:t>
      </w:r>
      <w:r>
        <w:rPr/>
        <w:t>sampled economies to depreciate.</w:t>
      </w:r>
      <w:r>
        <w:rPr>
          <w:spacing w:val="1"/>
        </w:rPr>
        <w:t> </w:t>
      </w:r>
      <w:r>
        <w:rPr/>
        <w:t>It can be deduced that growth in stock market might be</w:t>
      </w:r>
      <w:r>
        <w:rPr>
          <w:spacing w:val="-57"/>
        </w:rPr>
        <w:t> </w:t>
      </w:r>
      <w:r>
        <w:rPr/>
        <w:t>an indicator of an expanding economy that move simultaneously with higher inflation</w:t>
      </w:r>
      <w:r>
        <w:rPr>
          <w:spacing w:val="1"/>
        </w:rPr>
        <w:t> </w:t>
      </w:r>
      <w:r>
        <w:rPr/>
        <w:t>expectations.</w:t>
      </w:r>
      <w:r>
        <w:rPr>
          <w:spacing w:val="1"/>
        </w:rPr>
        <w:t> </w:t>
      </w:r>
      <w:r>
        <w:rPr/>
        <w:t>However, foreign investors perceive higher inflation negatively to lead to a</w:t>
      </w:r>
      <w:r>
        <w:rPr>
          <w:spacing w:val="1"/>
        </w:rPr>
        <w:t> </w:t>
      </w:r>
      <w:r>
        <w:rPr/>
        <w:t>fall in the demand for the currency.</w:t>
      </w:r>
      <w:r>
        <w:rPr>
          <w:spacing w:val="1"/>
        </w:rPr>
        <w:t> </w:t>
      </w:r>
      <w:r>
        <w:rPr/>
        <w:t>The negative consequence is that higher inflation in</w:t>
      </w:r>
      <w:r>
        <w:rPr>
          <w:spacing w:val="1"/>
        </w:rPr>
        <w:t> </w:t>
      </w:r>
      <w:r>
        <w:rPr/>
        <w:t>the future may stem through exchange rate depreciation, which further makes investors</w:t>
      </w:r>
      <w:r>
        <w:rPr>
          <w:spacing w:val="1"/>
        </w:rPr>
        <w:t> </w:t>
      </w:r>
      <w:r>
        <w:rPr/>
        <w:t>doubtful about the future performance of their investments.</w:t>
      </w:r>
      <w:r>
        <w:rPr>
          <w:spacing w:val="1"/>
        </w:rPr>
        <w:t> </w:t>
      </w:r>
      <w:r>
        <w:rPr/>
        <w:t>In another study (Granger,</w:t>
      </w:r>
      <w:r>
        <w:rPr>
          <w:spacing w:val="1"/>
        </w:rPr>
        <w:t> </w:t>
      </w:r>
      <w:r>
        <w:rPr/>
        <w:t>Huang and Yang; 2000)-during the Asian crisis in 1997- evidence of mixed results were</w:t>
      </w:r>
      <w:r>
        <w:rPr>
          <w:spacing w:val="1"/>
        </w:rPr>
        <w:t> </w:t>
      </w:r>
      <w:r>
        <w:rPr/>
        <w:t>reported. It was found that stock prices responded obscurely to exchange rate movements</w:t>
      </w:r>
      <w:r>
        <w:rPr>
          <w:spacing w:val="1"/>
        </w:rPr>
        <w:t> </w:t>
      </w:r>
      <w:r>
        <w:rPr/>
        <w:t>but Granger-causality results were generally mixed.</w:t>
      </w:r>
      <w:r>
        <w:rPr>
          <w:spacing w:val="1"/>
        </w:rPr>
        <w:t> </w:t>
      </w:r>
      <w:r>
        <w:rPr/>
        <w:t>Those being unidirectional were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to be</w:t>
      </w:r>
      <w:r>
        <w:rPr>
          <w:spacing w:val="-1"/>
        </w:rPr>
        <w:t> </w:t>
      </w:r>
      <w:r>
        <w:rPr/>
        <w:t>negative, 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bi-directional exhibited</w:t>
      </w:r>
      <w:r>
        <w:rPr>
          <w:spacing w:val="-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joint causality.</w:t>
      </w:r>
    </w:p>
    <w:p>
      <w:pPr>
        <w:pStyle w:val="BodyText"/>
        <w:spacing w:line="360" w:lineRule="auto" w:before="200"/>
        <w:ind w:left="811" w:right="996"/>
        <w:jc w:val="both"/>
      </w:pPr>
      <w:r>
        <w:rPr/>
        <w:t>In their research, Pavlova and Rigobon (2007) assumed a framework in which all stock</w:t>
      </w:r>
      <w:r>
        <w:rPr>
          <w:spacing w:val="1"/>
        </w:rPr>
        <w:t> </w:t>
      </w:r>
      <w:r>
        <w:rPr/>
        <w:t>markets moved in the same direction in response to a supply shock in any of the other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A positive output shock led to a positive return on the domestic stock market</w:t>
      </w:r>
      <w:r>
        <w:rPr>
          <w:spacing w:val="1"/>
        </w:rPr>
        <w:t> </w:t>
      </w:r>
      <w:r>
        <w:rPr/>
        <w:t>that was, however, accompanied by a deterioration in the terms of trade.</w:t>
      </w:r>
      <w:r>
        <w:rPr>
          <w:spacing w:val="61"/>
        </w:rPr>
        <w:t> </w:t>
      </w:r>
      <w:r>
        <w:rPr/>
        <w:t>The latter</w:t>
      </w:r>
      <w:r>
        <w:rPr>
          <w:spacing w:val="1"/>
        </w:rPr>
        <w:t> </w:t>
      </w:r>
      <w:r>
        <w:rPr/>
        <w:t>implied that an increase in the relative prices of foreign goods would lead to a rise in 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countries‘</w:t>
      </w:r>
      <w:r>
        <w:rPr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boosting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markets.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framework,</w:t>
      </w:r>
      <w:r>
        <w:rPr>
          <w:spacing w:val="30"/>
        </w:rPr>
        <w:t> </w:t>
      </w:r>
      <w:r>
        <w:rPr/>
        <w:t>supply</w:t>
      </w:r>
      <w:r>
        <w:rPr>
          <w:spacing w:val="26"/>
        </w:rPr>
        <w:t> </w:t>
      </w:r>
      <w:r>
        <w:rPr/>
        <w:t>shocks</w:t>
      </w:r>
      <w:r>
        <w:rPr>
          <w:spacing w:val="31"/>
        </w:rPr>
        <w:t> </w:t>
      </w:r>
      <w:r>
        <w:rPr/>
        <w:t>might</w:t>
      </w:r>
      <w:r>
        <w:rPr>
          <w:spacing w:val="31"/>
        </w:rPr>
        <w:t> </w:t>
      </w:r>
      <w:r>
        <w:rPr/>
        <w:t>generate</w:t>
      </w:r>
      <w:r>
        <w:rPr>
          <w:spacing w:val="30"/>
        </w:rPr>
        <w:t> </w:t>
      </w:r>
      <w:r>
        <w:rPr/>
        <w:t>positive</w:t>
      </w:r>
      <w:r>
        <w:rPr>
          <w:spacing w:val="30"/>
        </w:rPr>
        <w:t> </w:t>
      </w:r>
      <w:r>
        <w:rPr/>
        <w:t>co-movement</w:t>
      </w:r>
      <w:r>
        <w:rPr>
          <w:spacing w:val="31"/>
        </w:rPr>
        <w:t> </w:t>
      </w:r>
      <w:r>
        <w:rPr/>
        <w:t>among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stock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1003"/>
        <w:jc w:val="both"/>
      </w:pPr>
      <w:r>
        <w:rPr/>
        <w:t>markets, and the foreign</w:t>
      </w:r>
      <w:r>
        <w:rPr>
          <w:spacing w:val="1"/>
        </w:rPr>
        <w:t> </w:t>
      </w:r>
      <w:r>
        <w:rPr/>
        <w:t>exchange market may acts as a channel through</w:t>
      </w:r>
      <w:r>
        <w:rPr>
          <w:spacing w:val="60"/>
        </w:rPr>
        <w:t> </w:t>
      </w:r>
      <w:r>
        <w:rPr/>
        <w:t>which shocks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propagated internationally.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9"/>
        <w:jc w:val="both"/>
      </w:pPr>
      <w:r>
        <w:rPr/>
        <w:drawing>
          <wp:anchor distT="0" distB="0" distL="0" distR="0" allowOverlap="1" layoutInCell="1" locked="0" behindDoc="1" simplePos="0" relativeHeight="477943296">
            <wp:simplePos x="0" y="0"/>
            <wp:positionH relativeFrom="page">
              <wp:posOffset>1485138</wp:posOffset>
            </wp:positionH>
            <wp:positionV relativeFrom="paragraph">
              <wp:posOffset>917614</wp:posOffset>
            </wp:positionV>
            <wp:extent cx="5102225" cy="5044439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major work on exchange rate and stock pricing that paved the way for Africa but with</w:t>
      </w:r>
      <w:r>
        <w:rPr>
          <w:spacing w:val="1"/>
        </w:rPr>
        <w:t> </w:t>
      </w:r>
      <w:r>
        <w:rPr/>
        <w:t>little econometric analysis was the one by Twerefou and Nimo (2005) in Ghana.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 tested the stock pricing mechanism of the Ghanaian stocks listed at the Ghana</w:t>
      </w:r>
      <w:r>
        <w:rPr>
          <w:spacing w:val="1"/>
        </w:rPr>
        <w:t> </w:t>
      </w:r>
      <w:r>
        <w:rPr/>
        <w:t>Stock Exchange and found the short-term interest rate and inflation risk being the major</w:t>
      </w:r>
      <w:r>
        <w:rPr>
          <w:spacing w:val="1"/>
        </w:rPr>
        <w:t> </w:t>
      </w:r>
      <w:r>
        <w:rPr/>
        <w:t>macroeconomic risk factors associated with such an investment decision.</w:t>
      </w:r>
      <w:r>
        <w:rPr>
          <w:spacing w:val="1"/>
        </w:rPr>
        <w:t> </w:t>
      </w:r>
      <w:r>
        <w:rPr/>
        <w:t>The researchers</w:t>
      </w:r>
      <w:r>
        <w:rPr>
          <w:spacing w:val="-57"/>
        </w:rPr>
        <w:t> </w:t>
      </w:r>
      <w:r>
        <w:rPr/>
        <w:t>observed that rational investors may take macroeconomic risk into high consideration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decisions</w:t>
      </w:r>
      <w:r>
        <w:rPr>
          <w:spacing w:val="2"/>
        </w:rPr>
        <w:t> </w:t>
      </w:r>
      <w:r>
        <w:rPr/>
        <w:t>with regard to their</w:t>
      </w:r>
      <w:r>
        <w:rPr>
          <w:spacing w:val="-1"/>
        </w:rPr>
        <w:t> </w:t>
      </w:r>
      <w:r>
        <w:rPr/>
        <w:t>investments.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11" w:right="994"/>
        <w:jc w:val="both"/>
      </w:pPr>
      <w:r>
        <w:rPr/>
        <w:t>Following the findings and policy implications of these researches, not much emphasizes</w:t>
      </w:r>
      <w:r>
        <w:rPr>
          <w:spacing w:val="1"/>
        </w:rPr>
        <w:t> </w:t>
      </w:r>
      <w:r>
        <w:rPr/>
        <w:t>were laid on exchange rate as a determinant of portfolio investment flows but the contrary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highly observed.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risk,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risks</w:t>
      </w:r>
      <w:r>
        <w:rPr>
          <w:spacing w:val="-57"/>
        </w:rPr>
        <w:t> </w:t>
      </w:r>
      <w:r>
        <w:rPr/>
        <w:t>(interest rates, inflations) featured with the exception of exchange rate behaviour.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 for balance of payments position of the relationship between investment</w:t>
      </w:r>
      <w:r>
        <w:rPr>
          <w:spacing w:val="1"/>
        </w:rPr>
        <w:t> </w:t>
      </w:r>
      <w:r>
        <w:rPr/>
        <w:t>inflows</w:t>
      </w:r>
      <w:r>
        <w:rPr>
          <w:spacing w:val="-1"/>
        </w:rPr>
        <w:t> </w:t>
      </w:r>
      <w:r>
        <w:rPr/>
        <w:t>and exchange</w:t>
      </w:r>
      <w:r>
        <w:rPr>
          <w:spacing w:val="-1"/>
        </w:rPr>
        <w:t> </w:t>
      </w:r>
      <w:r>
        <w:rPr/>
        <w:t>rate appreciation are</w:t>
      </w:r>
      <w:r>
        <w:rPr>
          <w:spacing w:val="-1"/>
        </w:rPr>
        <w:t> </w:t>
      </w:r>
      <w:r>
        <w:rPr/>
        <w:t>two-folds:</w:t>
      </w:r>
    </w:p>
    <w:p>
      <w:pPr>
        <w:pStyle w:val="ListParagraph"/>
        <w:numPr>
          <w:ilvl w:val="0"/>
          <w:numId w:val="13"/>
        </w:numPr>
        <w:tabs>
          <w:tab w:pos="2252" w:val="left" w:leader="none"/>
        </w:tabs>
        <w:spacing w:line="360" w:lineRule="auto" w:before="0" w:after="0"/>
        <w:ind w:left="2251" w:right="1000" w:hanging="720"/>
        <w:jc w:val="both"/>
        <w:rPr>
          <w:sz w:val="24"/>
        </w:rPr>
      </w:pPr>
      <w:r>
        <w:rPr>
          <w:sz w:val="24"/>
        </w:rPr>
        <w:t>Since investment inflows are funds directed to an economy; it would leads</w:t>
      </w:r>
      <w:r>
        <w:rPr>
          <w:spacing w:val="1"/>
          <w:sz w:val="24"/>
        </w:rPr>
        <w:t> </w:t>
      </w:r>
      <w:r>
        <w:rPr>
          <w:sz w:val="24"/>
        </w:rPr>
        <w:t>an increase in the foreign currency held in the foreign reserves of the</w:t>
      </w:r>
      <w:r>
        <w:rPr>
          <w:spacing w:val="1"/>
          <w:sz w:val="24"/>
        </w:rPr>
        <w:t> </w:t>
      </w:r>
      <w:r>
        <w:rPr>
          <w:sz w:val="24"/>
        </w:rPr>
        <w:t>economy.</w:t>
      </w:r>
      <w:r>
        <w:rPr>
          <w:spacing w:val="1"/>
          <w:sz w:val="24"/>
        </w:rPr>
        <w:t> </w:t>
      </w:r>
      <w:r>
        <w:rPr>
          <w:sz w:val="24"/>
        </w:rPr>
        <w:t>Investment inflows therefore, lead to a favorable balance of</w:t>
      </w:r>
      <w:r>
        <w:rPr>
          <w:spacing w:val="1"/>
          <w:sz w:val="24"/>
        </w:rPr>
        <w:t> </w:t>
      </w:r>
      <w:r>
        <w:rPr>
          <w:sz w:val="24"/>
        </w:rPr>
        <w:t>payments</w:t>
      </w:r>
      <w:r>
        <w:rPr>
          <w:spacing w:val="-1"/>
          <w:sz w:val="24"/>
        </w:rPr>
        <w:t> </w:t>
      </w:r>
      <w:r>
        <w:rPr>
          <w:sz w:val="24"/>
        </w:rPr>
        <w:t>position.</w:t>
      </w:r>
    </w:p>
    <w:p>
      <w:pPr>
        <w:pStyle w:val="ListParagraph"/>
        <w:numPr>
          <w:ilvl w:val="0"/>
          <w:numId w:val="13"/>
        </w:numPr>
        <w:tabs>
          <w:tab w:pos="2252" w:val="left" w:leader="none"/>
        </w:tabs>
        <w:spacing w:line="360" w:lineRule="auto" w:before="1" w:after="0"/>
        <w:ind w:left="2251" w:right="998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appreciation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investment</w:t>
      </w:r>
      <w:r>
        <w:rPr>
          <w:spacing w:val="1"/>
          <w:sz w:val="24"/>
        </w:rPr>
        <w:t> </w:t>
      </w:r>
      <w:r>
        <w:rPr>
          <w:sz w:val="24"/>
        </w:rPr>
        <w:t>inflows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appreciation of the exchange rate.</w:t>
      </w:r>
      <w:r>
        <w:rPr>
          <w:spacing w:val="1"/>
          <w:sz w:val="24"/>
        </w:rPr>
        <w:t> </w:t>
      </w:r>
      <w:r>
        <w:rPr>
          <w:sz w:val="24"/>
        </w:rPr>
        <w:t>An appreciation of the exchange rate</w:t>
      </w:r>
      <w:r>
        <w:rPr>
          <w:spacing w:val="1"/>
          <w:sz w:val="24"/>
        </w:rPr>
        <w:t> </w:t>
      </w:r>
      <w:r>
        <w:rPr>
          <w:sz w:val="24"/>
        </w:rPr>
        <w:t>makes imports to become cheaper and exports expensive.</w:t>
      </w:r>
      <w:r>
        <w:rPr>
          <w:spacing w:val="1"/>
          <w:sz w:val="24"/>
        </w:rPr>
        <w:t> </w:t>
      </w:r>
      <w:r>
        <w:rPr>
          <w:sz w:val="24"/>
        </w:rPr>
        <w:t>This process if</w:t>
      </w:r>
      <w:r>
        <w:rPr>
          <w:spacing w:val="1"/>
          <w:sz w:val="24"/>
        </w:rPr>
        <w:t> </w:t>
      </w:r>
      <w:r>
        <w:rPr>
          <w:sz w:val="24"/>
        </w:rPr>
        <w:t>not reverted may lead to trade deficit.   </w:t>
      </w:r>
      <w:r>
        <w:rPr>
          <w:spacing w:val="1"/>
          <w:sz w:val="24"/>
        </w:rPr>
        <w:t> </w:t>
      </w:r>
      <w:r>
        <w:rPr>
          <w:sz w:val="24"/>
        </w:rPr>
        <w:t>A deficit in the trade balance</w:t>
      </w:r>
      <w:r>
        <w:rPr>
          <w:spacing w:val="1"/>
          <w:sz w:val="24"/>
        </w:rPr>
        <w:t> </w:t>
      </w:r>
      <w:r>
        <w:rPr>
          <w:sz w:val="24"/>
        </w:rPr>
        <w:t>tended to correspondingly lead to a deficit in the current account balance.</w:t>
      </w:r>
      <w:r>
        <w:rPr>
          <w:spacing w:val="1"/>
          <w:sz w:val="24"/>
        </w:rPr>
        <w:t> </w:t>
      </w:r>
      <w:r>
        <w:rPr>
          <w:sz w:val="24"/>
        </w:rPr>
        <w:t>Also, the current account being a key component greatly influences the</w:t>
      </w:r>
      <w:r>
        <w:rPr>
          <w:spacing w:val="1"/>
          <w:sz w:val="24"/>
        </w:rPr>
        <w:t> </w:t>
      </w:r>
      <w:r>
        <w:rPr>
          <w:sz w:val="24"/>
        </w:rPr>
        <w:t>BoP</w:t>
      </w:r>
      <w:r>
        <w:rPr>
          <w:spacing w:val="-1"/>
          <w:sz w:val="24"/>
        </w:rPr>
        <w:t> </w:t>
      </w:r>
      <w:r>
        <w:rPr>
          <w:sz w:val="24"/>
        </w:rPr>
        <w:t>position.</w:t>
      </w:r>
    </w:p>
    <w:p>
      <w:pPr>
        <w:pStyle w:val="BodyText"/>
        <w:spacing w:line="360" w:lineRule="auto" w:before="2"/>
        <w:ind w:left="811" w:right="1002"/>
        <w:jc w:val="both"/>
      </w:pPr>
      <w:r>
        <w:rPr/>
        <w:t>Therefore, the exchange rate-investment relationship has an ambiguous influence on the</w:t>
      </w:r>
      <w:r>
        <w:rPr>
          <w:spacing w:val="1"/>
        </w:rPr>
        <w:t> </w:t>
      </w:r>
      <w:r>
        <w:rPr/>
        <w:t>country‘s BoP positions and it is no doubt that this would require empirical findings.   As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thesis,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empirically</w:t>
      </w:r>
      <w:r>
        <w:rPr>
          <w:spacing w:val="-3"/>
        </w:rPr>
        <w:t> </w:t>
      </w:r>
      <w:r>
        <w:rPr/>
        <w:t>analyzed.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943808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Specifically for Sierra Leone, limited studies have been completed on exchange rate</w:t>
      </w:r>
      <w:r>
        <w:rPr>
          <w:spacing w:val="1"/>
        </w:rPr>
        <w:t> </w:t>
      </w:r>
      <w:r>
        <w:rPr/>
        <w:t>matters (see for examples, Korsu (2008), Korsu and Braima (2010) and Daboh (2010)).</w:t>
      </w:r>
      <w:r>
        <w:rPr>
          <w:spacing w:val="1"/>
        </w:rPr>
        <w:t> </w:t>
      </w:r>
      <w:r>
        <w:rPr/>
        <w:t>Among these three studies, the research by Korsu (2008) was the only one that examined</w:t>
      </w:r>
      <w:r>
        <w:rPr>
          <w:spacing w:val="1"/>
        </w:rPr>
        <w:t> </w:t>
      </w:r>
      <w:r>
        <w:rPr/>
        <w:t>the relationship between exchange rate and BoP in Sierra Leone using annual data for the</w:t>
      </w:r>
      <w:r>
        <w:rPr>
          <w:spacing w:val="1"/>
        </w:rPr>
        <w:t> </w:t>
      </w:r>
      <w:r>
        <w:rPr/>
        <w:t>period 1975 to 2005.</w:t>
      </w:r>
      <w:r>
        <w:rPr>
          <w:spacing w:val="1"/>
        </w:rPr>
        <w:t> </w:t>
      </w:r>
      <w:r>
        <w:rPr/>
        <w:t>The researcher concentrated on the absorption approach to BoP and</w:t>
      </w:r>
      <w:r>
        <w:rPr>
          <w:spacing w:val="-57"/>
        </w:rPr>
        <w:t> </w:t>
      </w:r>
      <w:r>
        <w:rPr/>
        <w:t>concluded the analysis of trade balance as a proxy to explain BoP for the country.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openness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 ways.   As observed, the financial account balance that accounts for investment</w:t>
      </w:r>
      <w:r>
        <w:rPr>
          <w:spacing w:val="1"/>
        </w:rPr>
        <w:t> </w:t>
      </w:r>
      <w:r>
        <w:rPr/>
        <w:t>in the BoP statistics was not accorded much attention.</w:t>
      </w:r>
      <w:r>
        <w:rPr>
          <w:spacing w:val="1"/>
        </w:rPr>
        <w:t> </w:t>
      </w:r>
      <w:r>
        <w:rPr/>
        <w:t>Considering the Sierra Leone</w:t>
      </w:r>
      <w:r>
        <w:rPr>
          <w:spacing w:val="1"/>
        </w:rPr>
        <w:t> </w:t>
      </w:r>
      <w:r>
        <w:rPr/>
        <w:t>predicament, investment</w:t>
      </w:r>
      <w:r>
        <w:rPr>
          <w:spacing w:val="1"/>
        </w:rPr>
        <w:t> </w:t>
      </w:r>
      <w:r>
        <w:rPr/>
        <w:t>inflows especially to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resources,</w:t>
      </w:r>
      <w:r>
        <w:rPr>
          <w:spacing w:val="60"/>
        </w:rPr>
        <w:t> </w:t>
      </w:r>
      <w:r>
        <w:rPr/>
        <w:t>had been one of the</w:t>
      </w:r>
      <w:r>
        <w:rPr>
          <w:spacing w:val="1"/>
        </w:rPr>
        <w:t> </w:t>
      </w:r>
      <w:r>
        <w:rPr/>
        <w:t>major drivers of foreign currency inflows used to correct BoP problems.</w:t>
      </w:r>
      <w:r>
        <w:rPr>
          <w:spacing w:val="1"/>
        </w:rPr>
        <w:t> </w:t>
      </w:r>
      <w:r>
        <w:rPr/>
        <w:t>Ignoring this</w:t>
      </w:r>
      <w:r>
        <w:rPr>
          <w:spacing w:val="1"/>
        </w:rPr>
        <w:t> </w:t>
      </w:r>
      <w:r>
        <w:rPr/>
        <w:t>aspect from the analysis will not be adequate enough in investigating the relationship</w:t>
      </w:r>
      <w:r>
        <w:rPr>
          <w:spacing w:val="1"/>
        </w:rPr>
        <w:t> </w:t>
      </w:r>
      <w:r>
        <w:rPr/>
        <w:t>between exchange rate and the BoP for such an economy.</w:t>
      </w:r>
      <w:r>
        <w:rPr>
          <w:spacing w:val="1"/>
        </w:rPr>
        <w:t> </w:t>
      </w:r>
      <w:r>
        <w:rPr/>
        <w:t>Also, the short-and-long-runs</w:t>
      </w:r>
      <w:r>
        <w:rPr>
          <w:spacing w:val="1"/>
        </w:rPr>
        <w:t> </w:t>
      </w:r>
      <w:r>
        <w:rPr/>
        <w:t>relationships might have been weakly observed due to the low (annual) frequency data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Such examination requires high frequency data, which will show out how exchange</w:t>
      </w:r>
      <w:r>
        <w:rPr>
          <w:spacing w:val="-57"/>
        </w:rPr>
        <w:t> </w:t>
      </w:r>
      <w:r>
        <w:rPr/>
        <w:t>rate</w:t>
      </w:r>
      <w:r>
        <w:rPr>
          <w:spacing w:val="-1"/>
        </w:rPr>
        <w:t> </w:t>
      </w:r>
      <w:r>
        <w:rPr/>
        <w:t>movements influence</w:t>
      </w:r>
      <w:r>
        <w:rPr>
          <w:spacing w:val="-1"/>
        </w:rPr>
        <w:t> </w:t>
      </w:r>
      <w:r>
        <w:rPr/>
        <w:t>the various components of the</w:t>
      </w:r>
      <w:r>
        <w:rPr>
          <w:spacing w:val="-1"/>
        </w:rPr>
        <w:t> </w:t>
      </w:r>
      <w:r>
        <w:rPr/>
        <w:t>BoP.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Daboh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short-and</w:t>
      </w:r>
      <w:r>
        <w:rPr>
          <w:spacing w:val="1"/>
        </w:rPr>
        <w:t> </w:t>
      </w:r>
      <w:r>
        <w:rPr/>
        <w:t>–long-runs</w:t>
      </w:r>
      <w:r>
        <w:rPr>
          <w:spacing w:val="1"/>
        </w:rPr>
        <w:t> </w:t>
      </w:r>
      <w:r>
        <w:rPr/>
        <w:t>determinants of real exchange rate using annual data spanning from 1970 to 2005 in an</w:t>
      </w:r>
      <w:r>
        <w:rPr>
          <w:spacing w:val="1"/>
        </w:rPr>
        <w:t> </w:t>
      </w:r>
      <w:r>
        <w:rPr/>
        <w:t>intertemporal optimimzation framework of Edwards (1989). While Korsu and Braima</w:t>
      </w:r>
      <w:r>
        <w:rPr>
          <w:spacing w:val="1"/>
        </w:rPr>
        <w:t> </w:t>
      </w:r>
      <w:r>
        <w:rPr/>
        <w:t>(2010) controlled the effects of price changes and the findings considered trade openness</w:t>
      </w:r>
      <w:r>
        <w:rPr>
          <w:spacing w:val="1"/>
        </w:rPr>
        <w:t> </w:t>
      </w:r>
      <w:r>
        <w:rPr/>
        <w:t>to be one of the major determinants of real exchange rate, Daboh (2010) analyzed the</w:t>
      </w:r>
      <w:r>
        <w:rPr>
          <w:spacing w:val="1"/>
        </w:rPr>
        <w:t> </w:t>
      </w:r>
      <w:r>
        <w:rPr/>
        <w:t>determinants of exchange rate misalignments in four West African Monetary Zone‘s</w:t>
      </w:r>
      <w:r>
        <w:rPr>
          <w:spacing w:val="1"/>
        </w:rPr>
        <w:t> </w:t>
      </w:r>
      <w:r>
        <w:rPr/>
        <w:t>countries</w:t>
      </w:r>
      <w:r>
        <w:rPr>
          <w:vertAlign w:val="superscript"/>
        </w:rPr>
        <w:t>25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researcher incorporated both the monetary and fiscal variables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determination of such effects.   </w:t>
      </w:r>
      <w:r>
        <w:rPr>
          <w:spacing w:val="1"/>
          <w:vertAlign w:val="baseline"/>
        </w:rPr>
        <w:t> </w:t>
      </w:r>
      <w:r>
        <w:rPr>
          <w:vertAlign w:val="baseline"/>
        </w:rPr>
        <w:t>The use of annual data and the ordinary least square</w:t>
      </w:r>
      <w:r>
        <w:rPr>
          <w:spacing w:val="1"/>
          <w:vertAlign w:val="baseline"/>
        </w:rPr>
        <w:t> </w:t>
      </w:r>
      <w:r>
        <w:rPr>
          <w:vertAlign w:val="baseline"/>
        </w:rPr>
        <w:t>(OLS) estimation technique also accounted for the abnormal behaviour of the 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121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.505911pt;width:144.020pt;height:.72003pt;mso-position-horizontal-relative:page;mso-position-vertical-relative:paragraph;z-index:-2537216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Gambia,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Ghana,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Sierra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Leone.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42" w:id="32"/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1"/>
        </w:rPr>
        <w:t> </w:t>
      </w:r>
      <w:r>
        <w:rPr/>
        <w:t>Pass-through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bookmarkEnd w:id="32"/>
      <w:r>
        <w:rPr/>
        <w:t>Price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44832">
            <wp:simplePos x="0" y="0"/>
            <wp:positionH relativeFrom="page">
              <wp:posOffset>1485138</wp:posOffset>
            </wp:positionH>
            <wp:positionV relativeFrom="paragraph">
              <wp:posOffset>1180631</wp:posOffset>
            </wp:positionV>
            <wp:extent cx="5102225" cy="5044439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</w:t>
      </w:r>
      <w:r>
        <w:rPr>
          <w:spacing w:val="1"/>
        </w:rPr>
        <w:t>x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n</w:t>
      </w:r>
      <w:r>
        <w:rPr>
          <w:spacing w:val="-3"/>
        </w:rPr>
        <w:t>g</w:t>
      </w:r>
      <w:r>
        <w:rPr/>
        <w:t>e</w:t>
      </w:r>
      <w:r>
        <w:rPr>
          <w:spacing w:val="3"/>
        </w:rPr>
        <w:t> </w:t>
      </w:r>
      <w:r>
        <w:rPr/>
        <w:t>r</w:t>
      </w:r>
      <w:r>
        <w:rPr>
          <w:spacing w:val="-2"/>
        </w:rPr>
        <w:t>a</w:t>
      </w:r>
      <w:r>
        <w:rPr/>
        <w:t>te</w:t>
      </w:r>
      <w:r>
        <w:rPr>
          <w:spacing w:val="1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-</w:t>
      </w:r>
      <w:r>
        <w:rPr>
          <w:w w:val="99"/>
        </w:rPr>
        <w:t>thro</w:t>
      </w:r>
      <w:r>
        <w:rPr>
          <w:spacing w:val="1"/>
          <w:w w:val="99"/>
        </w:rPr>
        <w:t>u</w:t>
      </w:r>
      <w:r>
        <w:rPr>
          <w:spacing w:val="-3"/>
          <w:w w:val="99"/>
        </w:rPr>
        <w:t>g</w:t>
      </w:r>
      <w:r>
        <w:rPr>
          <w:w w:val="99"/>
        </w:rPr>
        <w:t>h</w:t>
      </w:r>
      <w:r>
        <w:rPr>
          <w:spacing w:val="4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fin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4"/>
          <w:w w:val="99"/>
        </w:rPr>
        <w:t> b</w:t>
      </w:r>
      <w:r>
        <w:rPr>
          <w:w w:val="99"/>
        </w:rPr>
        <w:t>y</w:t>
      </w:r>
      <w:r>
        <w:rPr>
          <w:spacing w:val="-3"/>
          <w:w w:val="99"/>
        </w:rPr>
        <w:t> </w:t>
      </w:r>
      <w:r>
        <w:rPr>
          <w:spacing w:val="-1"/>
          <w:w w:val="99"/>
        </w:rPr>
        <w:t>Goldbe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2"/>
          <w:w w:val="99"/>
        </w:rPr>
        <w:t> </w:t>
      </w:r>
      <w:r>
        <w:rPr>
          <w:spacing w:val="-1"/>
          <w:w w:val="99"/>
        </w:rPr>
        <w:t>Kn</w:t>
      </w:r>
      <w:r>
        <w:rPr>
          <w:spacing w:val="-2"/>
          <w:w w:val="99"/>
        </w:rPr>
        <w:t>e</w:t>
      </w:r>
      <w:r>
        <w:rPr>
          <w:w w:val="99"/>
        </w:rPr>
        <w:t>tt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1"/>
          <w:w w:val="99"/>
        </w:rPr>
        <w:t> </w:t>
      </w:r>
      <w:r>
        <w:rPr>
          <w:w w:val="99"/>
        </w:rPr>
        <w:t>(199</w:t>
      </w:r>
      <w:r>
        <w:rPr>
          <w:spacing w:val="-1"/>
          <w:w w:val="99"/>
        </w:rPr>
        <w:t>7</w:t>
      </w:r>
      <w:r>
        <w:rPr>
          <w:w w:val="99"/>
        </w:rPr>
        <w:t>)</w:t>
      </w:r>
      <w:r>
        <w:rPr>
          <w:spacing w:val="1"/>
          <w:w w:val="99"/>
        </w:rPr>
        <w:t> </w:t>
      </w:r>
      <w:r>
        <w:rPr>
          <w:w w:val="99"/>
        </w:rPr>
        <w:t>is</w:t>
      </w:r>
      <w:r>
        <w:rPr>
          <w:spacing w:val="5"/>
          <w:w w:val="99"/>
        </w:rPr>
        <w:t> </w:t>
      </w:r>
      <w:r>
        <w:rPr>
          <w:spacing w:val="1"/>
          <w:w w:val="44"/>
        </w:rPr>
        <w:t>―</w:t>
      </w:r>
      <w:r>
        <w:rPr/>
        <w:t>the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</w:t>
      </w:r>
      <w:r>
        <w:rPr/>
        <w:t>rc</w:t>
      </w:r>
      <w:r>
        <w:rPr>
          <w:spacing w:val="-1"/>
        </w:rPr>
        <w:t>e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currency</w:t>
      </w:r>
      <w:r>
        <w:rPr>
          <w:spacing w:val="1"/>
        </w:rPr>
        <w:t> </w:t>
      </w:r>
      <w:r>
        <w:rPr/>
        <w:t>import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exchange rate between the exporting and importing countries.‖</w:t>
      </w:r>
      <w:r>
        <w:rPr>
          <w:spacing w:val="1"/>
        </w:rPr>
        <w:t> </w:t>
      </w:r>
      <w:r>
        <w:rPr/>
        <w:t>What has been most</w:t>
      </w:r>
      <w:r>
        <w:rPr>
          <w:spacing w:val="1"/>
        </w:rPr>
        <w:t> </w:t>
      </w:r>
      <w:r>
        <w:rPr/>
        <w:t>relevant to economic analysts and policymakers in this relationship is whether the pass-</w:t>
      </w:r>
      <w:r>
        <w:rPr>
          <w:spacing w:val="1"/>
        </w:rPr>
        <w:t> </w:t>
      </w:r>
      <w:r>
        <w:rPr/>
        <w:t>through is complete or incomplete.</w:t>
      </w:r>
      <w:r>
        <w:rPr>
          <w:spacing w:val="1"/>
        </w:rPr>
        <w:t> </w:t>
      </w:r>
      <w:r>
        <w:rPr/>
        <w:t>In a complete pass-through, there is a one-to-one</w:t>
      </w:r>
      <w:r>
        <w:rPr>
          <w:spacing w:val="1"/>
        </w:rPr>
        <w:t> </w:t>
      </w:r>
      <w:r>
        <w:rPr/>
        <w:t>response of domestic prices to exchange rate changes, whereas, a less than one-to-one</w:t>
      </w:r>
      <w:r>
        <w:rPr>
          <w:spacing w:val="1"/>
        </w:rPr>
        <w:t> </w:t>
      </w:r>
      <w:r>
        <w:rPr/>
        <w:t>response of domestic prices to exchange rate changes occurs in the incomplete pass-</w:t>
      </w:r>
      <w:r>
        <w:rPr>
          <w:spacing w:val="1"/>
        </w:rPr>
        <w:t> </w:t>
      </w:r>
      <w:r>
        <w:rPr/>
        <w:t>through.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implications 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scenarios are enormous.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t>According to Eckstein and Soffer (2008), the existence of exchange rate pass-through</w:t>
      </w:r>
      <w:r>
        <w:rPr>
          <w:spacing w:val="1"/>
        </w:rPr>
        <w:t> </w:t>
      </w:r>
      <w:r>
        <w:rPr/>
        <w:t>(ERPT) is based on the law of one price (LOOP) and purchasing power parity (PPP).</w:t>
      </w:r>
      <w:r>
        <w:rPr>
          <w:spacing w:val="1"/>
        </w:rPr>
        <w:t> </w:t>
      </w:r>
      <w:r>
        <w:rPr/>
        <w:t>There are two economic issues that may emerge from this theory.</w:t>
      </w:r>
      <w:r>
        <w:rPr>
          <w:spacing w:val="1"/>
        </w:rPr>
        <w:t> </w:t>
      </w:r>
      <w:r>
        <w:rPr/>
        <w:t>A divergence from</w:t>
      </w:r>
      <w:r>
        <w:rPr>
          <w:spacing w:val="1"/>
        </w:rPr>
        <w:t> </w:t>
      </w:r>
      <w:r>
        <w:rPr/>
        <w:t>LOOP may occur when changes in the price of goods in local currency do not follow</w:t>
      </w:r>
      <w:r>
        <w:rPr>
          <w:spacing w:val="1"/>
        </w:rPr>
        <w:t> </w:t>
      </w:r>
      <w:r>
        <w:rPr/>
        <w:t>exchange rate changes.</w:t>
      </w:r>
      <w:r>
        <w:rPr>
          <w:spacing w:val="1"/>
        </w:rPr>
        <w:t> </w:t>
      </w:r>
      <w:r>
        <w:rPr/>
        <w:t>A convergence is supposed to transpire through the market forces</w:t>
      </w:r>
      <w:r>
        <w:rPr>
          <w:spacing w:val="-57"/>
        </w:rPr>
        <w:t> </w:t>
      </w:r>
      <w:r>
        <w:rPr/>
        <w:t>of demand and supply in order to bring about the necessary changes in local prices, which</w:t>
      </w:r>
      <w:r>
        <w:rPr>
          <w:spacing w:val="-57"/>
        </w:rPr>
        <w:t> </w:t>
      </w:r>
      <w:r>
        <w:rPr/>
        <w:t>will force the foreign and domestic prices back to the same level.</w:t>
      </w:r>
      <w:r>
        <w:rPr>
          <w:spacing w:val="1"/>
        </w:rPr>
        <w:t> </w:t>
      </w:r>
      <w:r>
        <w:rPr/>
        <w:t>The inference is that</w:t>
      </w:r>
      <w:r>
        <w:rPr>
          <w:spacing w:val="1"/>
        </w:rPr>
        <w:t> </w:t>
      </w:r>
      <w:r>
        <w:rPr/>
        <w:t>exchange rate pass-through should be complete or close to 100% in the long run if the</w:t>
      </w:r>
      <w:r>
        <w:rPr>
          <w:spacing w:val="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is sufficiently</w:t>
      </w:r>
      <w:r>
        <w:rPr>
          <w:spacing w:val="-5"/>
        </w:rPr>
        <w:t> </w:t>
      </w:r>
      <w:r>
        <w:rPr/>
        <w:t>open.</w:t>
      </w:r>
    </w:p>
    <w:p>
      <w:pPr>
        <w:pStyle w:val="BodyText"/>
        <w:spacing w:line="360" w:lineRule="auto" w:before="201"/>
        <w:ind w:left="811" w:right="995"/>
        <w:jc w:val="both"/>
      </w:pPr>
      <w:r>
        <w:rPr/>
        <w:t>Exchange rate changes might influence domestic prices through two main channels, the</w:t>
      </w:r>
      <w:r>
        <w:rPr>
          <w:spacing w:val="1"/>
        </w:rPr>
        <w:t> </w:t>
      </w:r>
      <w:r>
        <w:rPr/>
        <w:t>direct and indirect channels.</w:t>
      </w:r>
      <w:r>
        <w:rPr>
          <w:spacing w:val="1"/>
        </w:rPr>
        <w:t> </w:t>
      </w:r>
      <w:r>
        <w:rPr/>
        <w:t>As expressed by Hyde and Shah (2004), exchange rate</w:t>
      </w:r>
      <w:r>
        <w:rPr>
          <w:spacing w:val="1"/>
        </w:rPr>
        <w:t> </w:t>
      </w:r>
      <w:r>
        <w:rPr/>
        <w:t>movements may affect domestic prices directly through changes in the price of imported</w:t>
      </w:r>
      <w:r>
        <w:rPr>
          <w:spacing w:val="1"/>
        </w:rPr>
        <w:t> </w:t>
      </w:r>
      <w:r>
        <w:rPr/>
        <w:t>finished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goods.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this,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appreciation of the domestic currency will make import prices of finished goods and</w:t>
      </w:r>
      <w:r>
        <w:rPr>
          <w:spacing w:val="1"/>
        </w:rPr>
        <w:t> </w:t>
      </w:r>
      <w:r>
        <w:rPr/>
        <w:t>inputs to fall.</w:t>
      </w:r>
      <w:r>
        <w:rPr>
          <w:spacing w:val="61"/>
        </w:rPr>
        <w:t> </w:t>
      </w:r>
      <w:r>
        <w:rPr/>
        <w:t>Whereas, a depreciation of the domestic currency will result in higher</w:t>
      </w:r>
      <w:r>
        <w:rPr>
          <w:spacing w:val="1"/>
        </w:rPr>
        <w:t> </w:t>
      </w:r>
      <w:r>
        <w:rPr/>
        <w:t>import prices of both finished goods and inputs.</w:t>
      </w:r>
      <w:r>
        <w:rPr>
          <w:spacing w:val="1"/>
        </w:rPr>
        <w:t> </w:t>
      </w:r>
      <w:r>
        <w:rPr/>
        <w:t>Along the supply chain, increases in</w:t>
      </w:r>
      <w:r>
        <w:rPr>
          <w:spacing w:val="1"/>
        </w:rPr>
        <w:t> </w:t>
      </w:r>
      <w:r>
        <w:rPr/>
        <w:t>import prices of goods are more likely to be passed on to consumer prices.</w:t>
      </w:r>
      <w:r>
        <w:rPr>
          <w:spacing w:val="1"/>
        </w:rPr>
        <w:t> </w:t>
      </w:r>
      <w:r>
        <w:rPr/>
        <w:t>Likewise, an</w:t>
      </w:r>
      <w:r>
        <w:rPr>
          <w:spacing w:val="1"/>
        </w:rPr>
        <w:t> </w:t>
      </w:r>
      <w:r>
        <w:rPr/>
        <w:t>increase in import prices of inputs may result in producers increasing their marginal costs</w:t>
      </w:r>
      <w:r>
        <w:rPr>
          <w:spacing w:val="1"/>
        </w:rPr>
        <w:t> </w:t>
      </w:r>
      <w:r>
        <w:rPr/>
        <w:t>thus leading to higher prices of domestically produced goods. The indirect channel of</w:t>
      </w:r>
      <w:r>
        <w:rPr>
          <w:spacing w:val="1"/>
        </w:rPr>
        <w:t> </w:t>
      </w:r>
      <w:r>
        <w:rPr/>
        <w:t>ERPT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clarified</w:t>
      </w:r>
      <w:r>
        <w:rPr>
          <w:spacing w:val="38"/>
        </w:rPr>
        <w:t> </w:t>
      </w:r>
      <w:r>
        <w:rPr/>
        <w:t>by</w:t>
      </w:r>
      <w:r>
        <w:rPr>
          <w:spacing w:val="35"/>
        </w:rPr>
        <w:t> </w:t>
      </w:r>
      <w:r>
        <w:rPr/>
        <w:t>Hofner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Schroder</w:t>
      </w:r>
      <w:r>
        <w:rPr>
          <w:spacing w:val="39"/>
        </w:rPr>
        <w:t> </w:t>
      </w:r>
      <w:r>
        <w:rPr/>
        <w:t>(2002)</w:t>
      </w:r>
      <w:r>
        <w:rPr>
          <w:spacing w:val="41"/>
        </w:rPr>
        <w:t> </w:t>
      </w:r>
      <w:r>
        <w:rPr/>
        <w:t>as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competitiveness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domestic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9"/>
        <w:jc w:val="both"/>
      </w:pPr>
      <w:r>
        <w:rPr/>
        <w:t>goods in the international market.</w:t>
      </w:r>
      <w:r>
        <w:rPr>
          <w:spacing w:val="1"/>
        </w:rPr>
        <w:t> </w:t>
      </w:r>
      <w:r>
        <w:rPr/>
        <w:t>The general perception is that when the domestic</w:t>
      </w:r>
      <w:r>
        <w:rPr>
          <w:spacing w:val="1"/>
        </w:rPr>
        <w:t> </w:t>
      </w:r>
      <w:r>
        <w:rPr/>
        <w:t>currency depreciates, the prices of the domestically produced goods will fall, thereby</w:t>
      </w:r>
      <w:r>
        <w:rPr>
          <w:spacing w:val="1"/>
        </w:rPr>
        <w:t> </w:t>
      </w:r>
      <w:r>
        <w:rPr/>
        <w:t>making them relatively cheaper to foreign consumers.</w:t>
      </w:r>
      <w:r>
        <w:rPr>
          <w:spacing w:val="1"/>
        </w:rPr>
        <w:t> </w:t>
      </w:r>
      <w:r>
        <w:rPr/>
        <w:t>This will induce an increase in</w:t>
      </w:r>
      <w:r>
        <w:rPr>
          <w:spacing w:val="1"/>
        </w:rPr>
        <w:t> </w:t>
      </w:r>
      <w:r>
        <w:rPr/>
        <w:t>aggregate demand and an increase in the volume of exports. As a result, domestic prices</w:t>
      </w:r>
      <w:r>
        <w:rPr>
          <w:spacing w:val="1"/>
        </w:rPr>
        <w:t> </w:t>
      </w:r>
      <w:r>
        <w:rPr/>
        <w:t>increase.</w:t>
      </w:r>
    </w:p>
    <w:p>
      <w:pPr>
        <w:pStyle w:val="BodyText"/>
        <w:spacing w:line="360" w:lineRule="auto" w:before="201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945344">
            <wp:simplePos x="0" y="0"/>
            <wp:positionH relativeFrom="page">
              <wp:posOffset>1485138</wp:posOffset>
            </wp:positionH>
            <wp:positionV relativeFrom="paragraph">
              <wp:posOffset>281090</wp:posOffset>
            </wp:positionV>
            <wp:extent cx="5102225" cy="5044439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 factors may also affect exchange rate to influence domestic prices.</w:t>
      </w:r>
      <w:r>
        <w:rPr>
          <w:spacing w:val="1"/>
        </w:rPr>
        <w:t> </w:t>
      </w:r>
      <w:r>
        <w:rPr/>
        <w:t>Akofio-Sowah</w:t>
      </w:r>
      <w:r>
        <w:rPr>
          <w:spacing w:val="1"/>
        </w:rPr>
        <w:t> </w:t>
      </w:r>
      <w:r>
        <w:rPr/>
        <w:t>(2009) argued that the structure of the market, production costs of goods to be exported,</w:t>
      </w:r>
      <w:r>
        <w:rPr>
          <w:spacing w:val="1"/>
        </w:rPr>
        <w:t> </w:t>
      </w:r>
      <w:r>
        <w:rPr/>
        <w:t>pricing 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firms,</w:t>
      </w:r>
      <w:r>
        <w:rPr>
          <w:spacing w:val="1"/>
        </w:rPr>
        <w:t> </w:t>
      </w:r>
      <w:r>
        <w:rPr/>
        <w:t>volatility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fundamentals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inflation and exchange rate), share of imports and the composition of imports, size of the</w:t>
      </w:r>
      <w:r>
        <w:rPr>
          <w:spacing w:val="1"/>
        </w:rPr>
        <w:t> </w:t>
      </w:r>
      <w:r>
        <w:rPr/>
        <w:t>economy,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degree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trade</w:t>
      </w:r>
      <w:r>
        <w:rPr>
          <w:spacing w:val="57"/>
        </w:rPr>
        <w:t> </w:t>
      </w:r>
      <w:r>
        <w:rPr/>
        <w:t>openness</w:t>
      </w:r>
      <w:r>
        <w:rPr>
          <w:spacing w:val="58"/>
        </w:rPr>
        <w:t> </w:t>
      </w:r>
      <w:r>
        <w:rPr/>
        <w:t>as</w:t>
      </w:r>
      <w:r>
        <w:rPr>
          <w:spacing w:val="1"/>
        </w:rPr>
        <w:t> </w:t>
      </w:r>
      <w:r>
        <w:rPr/>
        <w:t>major</w:t>
      </w:r>
      <w:r>
        <w:rPr>
          <w:spacing w:val="57"/>
        </w:rPr>
        <w:t> </w:t>
      </w:r>
      <w:r>
        <w:rPr/>
        <w:t>determinants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exchange</w:t>
      </w:r>
      <w:r>
        <w:rPr>
          <w:spacing w:val="57"/>
        </w:rPr>
        <w:t> </w:t>
      </w:r>
      <w:r>
        <w:rPr/>
        <w:t>rate</w:t>
      </w:r>
      <w:r>
        <w:rPr>
          <w:spacing w:val="-58"/>
        </w:rPr>
        <w:t> </w:t>
      </w:r>
      <w:r>
        <w:rPr/>
        <w:t>movement that would eventually influence domestic prices.</w:t>
      </w:r>
      <w:r>
        <w:rPr>
          <w:spacing w:val="1"/>
        </w:rPr>
        <w:t> </w:t>
      </w:r>
      <w:r>
        <w:rPr/>
        <w:t>Knetter (1994) posited that if</w:t>
      </w:r>
      <w:r>
        <w:rPr>
          <w:spacing w:val="-57"/>
        </w:rPr>
        <w:t> </w:t>
      </w:r>
      <w:r>
        <w:rPr/>
        <w:t>the size of the export market for a product is sufficiently large and competitive, then</w:t>
      </w:r>
      <w:r>
        <w:rPr>
          <w:spacing w:val="1"/>
        </w:rPr>
        <w:t> </w:t>
      </w:r>
      <w:r>
        <w:rPr/>
        <w:t>exporting firms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willing to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a 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exchange rate</w:t>
      </w:r>
      <w:r>
        <w:rPr>
          <w:spacing w:val="60"/>
        </w:rPr>
        <w:t> </w:t>
      </w:r>
      <w:r>
        <w:rPr/>
        <w:t>change in</w:t>
      </w:r>
      <w:r>
        <w:rPr>
          <w:spacing w:val="-57"/>
        </w:rPr>
        <w:t> </w:t>
      </w:r>
      <w:r>
        <w:rPr/>
        <w:t>order not to lose the market share.</w:t>
      </w:r>
      <w:r>
        <w:rPr>
          <w:spacing w:val="1"/>
        </w:rPr>
        <w:t> </w:t>
      </w:r>
      <w:r>
        <w:rPr/>
        <w:t>On the other hand, if high product differential exists</w:t>
      </w:r>
      <w:r>
        <w:rPr>
          <w:spacing w:val="1"/>
        </w:rPr>
        <w:t> </w:t>
      </w:r>
      <w:r>
        <w:rPr/>
        <w:t>with low competition, then export prices may be rather less responsive to exchange rate</w:t>
      </w:r>
      <w:r>
        <w:rPr>
          <w:spacing w:val="1"/>
        </w:rPr>
        <w:t> </w:t>
      </w:r>
      <w:r>
        <w:rPr/>
        <w:t>changes. In this case, pricing-to-market will be lower and the corresponding pass-through</w:t>
      </w:r>
      <w:r>
        <w:rPr>
          <w:spacing w:val="1"/>
        </w:rPr>
        <w:t> </w:t>
      </w:r>
      <w:r>
        <w:rPr/>
        <w:t>will be higher.</w:t>
      </w:r>
      <w:r>
        <w:rPr>
          <w:spacing w:val="1"/>
        </w:rPr>
        <w:t> </w:t>
      </w:r>
      <w:r>
        <w:rPr/>
        <w:t>Similarly, a pass-through will be higher if exporting firms have a higher</w:t>
      </w:r>
      <w:r>
        <w:rPr>
          <w:spacing w:val="1"/>
        </w:rPr>
        <w:t> </w:t>
      </w:r>
      <w:r>
        <w:rPr/>
        <w:t>market share in the industry as they tend to set prices in their own currency, whereas,</w:t>
      </w:r>
      <w:r>
        <w:rPr>
          <w:spacing w:val="1"/>
        </w:rPr>
        <w:t> </w:t>
      </w:r>
      <w:r>
        <w:rPr/>
        <w:t>when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imports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denominated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currency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imported</w:t>
      </w:r>
      <w:r>
        <w:rPr>
          <w:spacing w:val="13"/>
        </w:rPr>
        <w:t> </w:t>
      </w:r>
      <w:r>
        <w:rPr/>
        <w:t>country,</w:t>
      </w:r>
      <w:r>
        <w:rPr>
          <w:spacing w:val="15"/>
        </w:rPr>
        <w:t> </w:t>
      </w:r>
      <w:r>
        <w:rPr/>
        <w:t>pass</w:t>
      </w:r>
      <w:r>
        <w:rPr>
          <w:spacing w:val="13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expected to be</w:t>
      </w:r>
      <w:r>
        <w:rPr>
          <w:spacing w:val="-1"/>
        </w:rPr>
        <w:t> </w:t>
      </w:r>
      <w:r>
        <w:rPr/>
        <w:t>relatively</w:t>
      </w:r>
      <w:r>
        <w:rPr>
          <w:spacing w:val="-3"/>
        </w:rPr>
        <w:t> </w:t>
      </w:r>
      <w:r>
        <w:rPr/>
        <w:t>less</w:t>
      </w:r>
      <w:r>
        <w:rPr>
          <w:spacing w:val="1"/>
        </w:rPr>
        <w:t> </w:t>
      </w:r>
      <w:r>
        <w:rPr/>
        <w:t>(AI-Abri and Goodwin, 2007).</w:t>
      </w:r>
    </w:p>
    <w:p>
      <w:pPr>
        <w:pStyle w:val="BodyText"/>
        <w:spacing w:line="360" w:lineRule="auto" w:before="200"/>
        <w:ind w:left="811" w:right="996"/>
        <w:jc w:val="both"/>
      </w:pPr>
      <w:r>
        <w:rPr/>
        <w:t>Another contribution of exchange rate pass-through is the Taylor‘s (2000) hypothesis.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states that the responsiveness of prices to exchange rate movements depends positively on</w:t>
      </w:r>
      <w:r>
        <w:rPr>
          <w:spacing w:val="-57"/>
        </w:rPr>
        <w:t> </w:t>
      </w:r>
      <w:r>
        <w:rPr/>
        <w:t>inflation. The theoretical basis is that a positive correlation exists between inflation and</w:t>
      </w:r>
      <w:r>
        <w:rPr>
          <w:spacing w:val="1"/>
        </w:rPr>
        <w:t> </w:t>
      </w:r>
      <w:r>
        <w:rPr/>
        <w:t>pass-through.</w:t>
      </w:r>
      <w:r>
        <w:rPr>
          <w:spacing w:val="1"/>
        </w:rPr>
        <w:t> </w:t>
      </w:r>
      <w:r>
        <w:rPr/>
        <w:t>Accordingly,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overshadow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 and thus firms might respond via price-adjustments.   This hypothesis has</w:t>
      </w:r>
      <w:r>
        <w:rPr>
          <w:spacing w:val="1"/>
        </w:rPr>
        <w:t> </w:t>
      </w:r>
      <w:r>
        <w:rPr/>
        <w:t>been supported in number of studies (see, for example, Devereux </w:t>
      </w:r>
      <w:r>
        <w:rPr>
          <w:i/>
        </w:rPr>
        <w:t>et. al., </w:t>
      </w:r>
      <w:r>
        <w:rPr/>
        <w:t>(2004) and,</w:t>
      </w:r>
      <w:r>
        <w:rPr>
          <w:spacing w:val="1"/>
        </w:rPr>
        <w:t> </w:t>
      </w:r>
      <w:r>
        <w:rPr/>
        <w:t>Choudhri and Hakura (2006)).</w:t>
      </w:r>
      <w:r>
        <w:rPr>
          <w:spacing w:val="1"/>
        </w:rPr>
        <w:t> </w:t>
      </w:r>
      <w:r>
        <w:rPr/>
        <w:t>Their conclusion was that the hypothesis is reflected to a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in developing</w:t>
      </w:r>
      <w:r>
        <w:rPr>
          <w:spacing w:val="-4"/>
        </w:rPr>
        <w:t> </w:t>
      </w:r>
      <w:r>
        <w:rPr/>
        <w:t>economies that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known for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rates of</w:t>
      </w:r>
      <w:r>
        <w:rPr>
          <w:spacing w:val="-1"/>
        </w:rPr>
        <w:t> </w:t>
      </w:r>
      <w:r>
        <w:rPr/>
        <w:t>inflation.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45856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Ca'zorzi </w:t>
      </w:r>
      <w:r>
        <w:rPr>
          <w:i/>
        </w:rPr>
        <w:t>et al., </w:t>
      </w:r>
      <w:r>
        <w:rPr/>
        <w:t>(2007), the more a country is open the more movements in</w:t>
      </w:r>
      <w:r>
        <w:rPr>
          <w:spacing w:val="1"/>
        </w:rPr>
        <w:t> </w:t>
      </w:r>
      <w:r>
        <w:rPr/>
        <w:t>exchange rates are transmitted via import prices into CPI changes. The implication is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larger the</w:t>
      </w:r>
      <w:r>
        <w:rPr>
          <w:spacing w:val="1"/>
        </w:rPr>
        <w:t> </w:t>
      </w:r>
      <w:r>
        <w:rPr/>
        <w:t>volume of imports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degree of ERPT.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channel of this pass-through may be direct or indirect or both as the case may be.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barriers to trade such as tariffs and other restrictions like quotas act might lead to low</w:t>
      </w:r>
      <w:r>
        <w:rPr>
          <w:spacing w:val="1"/>
        </w:rPr>
        <w:t> </w:t>
      </w:r>
      <w:r>
        <w:rPr/>
        <w:t>degree of pass-through.</w:t>
      </w:r>
      <w:r>
        <w:rPr>
          <w:spacing w:val="1"/>
        </w:rPr>
        <w:t> </w:t>
      </w:r>
      <w:r>
        <w:rPr/>
        <w:t>This preposition of tariffs leading to low degree of ERPT may,</w:t>
      </w:r>
      <w:r>
        <w:rPr>
          <w:spacing w:val="1"/>
        </w:rPr>
        <w:t> </w:t>
      </w:r>
      <w:r>
        <w:rPr/>
        <w:t>however, be wooly.</w:t>
      </w:r>
      <w:r>
        <w:rPr>
          <w:spacing w:val="1"/>
        </w:rPr>
        <w:t> </w:t>
      </w:r>
      <w:r>
        <w:rPr/>
        <w:t>If a country is a net importer of a particular good like 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domestically, no amount of tariffs will lower the level of exchange rate pass-through.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rather</w:t>
      </w:r>
      <w:r>
        <w:rPr>
          <w:spacing w:val="-2"/>
        </w:rPr>
        <w:t> </w:t>
      </w:r>
      <w:r>
        <w:rPr/>
        <w:t>propound the exchange</w:t>
      </w:r>
      <w:r>
        <w:rPr>
          <w:spacing w:val="-1"/>
        </w:rPr>
        <w:t> </w:t>
      </w:r>
      <w:r>
        <w:rPr/>
        <w:t>rate pass-through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531" w:val="left" w:leader="none"/>
          <w:tab w:pos="1532" w:val="left" w:leader="none"/>
        </w:tabs>
        <w:spacing w:line="240" w:lineRule="auto" w:before="187" w:after="0"/>
        <w:ind w:left="1531" w:right="0" w:hanging="721"/>
        <w:jc w:val="left"/>
      </w:pPr>
      <w:bookmarkStart w:name="_TOC_250041" w:id="33"/>
      <w:r>
        <w:rPr/>
        <w:t>Empirical</w:t>
      </w:r>
      <w:r>
        <w:rPr>
          <w:spacing w:val="-2"/>
        </w:rPr>
        <w:t> </w:t>
      </w:r>
      <w:r>
        <w:rPr/>
        <w:t>Review of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bookmarkEnd w:id="33"/>
      <w:r>
        <w:rPr/>
        <w:t>Pass-through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t>Several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economies on exchange rate pass-through to domestic prices</w:t>
      </w:r>
      <w:r>
        <w:rPr>
          <w:vertAlign w:val="superscript"/>
        </w:rPr>
        <w:t>26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general conclusion is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-1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pass-through</w:t>
      </w:r>
      <w:r>
        <w:rPr>
          <w:spacing w:val="2"/>
          <w:vertAlign w:val="baseline"/>
        </w:rPr>
        <w:t> </w:t>
      </w:r>
      <w:r>
        <w:rPr>
          <w:vertAlign w:val="baseline"/>
        </w:rPr>
        <w:t>(ERPT)</w:t>
      </w:r>
      <w:r>
        <w:rPr>
          <w:spacing w:val="-2"/>
          <w:vertAlign w:val="baseline"/>
        </w:rPr>
        <w:t> </w:t>
      </w:r>
      <w:r>
        <w:rPr>
          <w:vertAlign w:val="baseline"/>
        </w:rPr>
        <w:t>was incomplete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most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countries examined.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Using panel data from 1979 to 2000 period for a group of 71 countries, Choudhri and</w:t>
      </w:r>
      <w:r>
        <w:rPr>
          <w:spacing w:val="1"/>
        </w:rPr>
        <w:t> </w:t>
      </w:r>
      <w:r>
        <w:rPr/>
        <w:t>Hakura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Taylor‘s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hypothesis,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propounded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inflationary environment leads to a low ERPT to domestic prices.</w:t>
      </w:r>
      <w:r>
        <w:rPr>
          <w:spacing w:val="1"/>
        </w:rPr>
        <w:t> </w:t>
      </w:r>
      <w:r>
        <w:rPr/>
        <w:t>The authors derived a</w:t>
      </w:r>
      <w:r>
        <w:rPr>
          <w:spacing w:val="1"/>
        </w:rPr>
        <w:t> </w:t>
      </w:r>
      <w:r>
        <w:rPr/>
        <w:t>pass-through relation based on new open economy macroeconomic models.</w:t>
      </w:r>
      <w:r>
        <w:rPr>
          <w:spacing w:val="1"/>
        </w:rPr>
        <w:t> </w:t>
      </w:r>
      <w:r>
        <w:rPr/>
        <w:t>A strong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pass-through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average inflation across countries and periods was found.</w:t>
      </w:r>
      <w:r>
        <w:rPr>
          <w:spacing w:val="1"/>
        </w:rPr>
        <w:t> </w:t>
      </w:r>
      <w:r>
        <w:rPr/>
        <w:t>The inflation rate significantly</w:t>
      </w:r>
      <w:r>
        <w:rPr>
          <w:spacing w:val="1"/>
        </w:rPr>
        <w:t> </w:t>
      </w:r>
      <w:r>
        <w:rPr/>
        <w:t>dominated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analysis in</w:t>
      </w:r>
      <w:r>
        <w:rPr>
          <w:spacing w:val="-1"/>
        </w:rPr>
        <w:t> </w:t>
      </w:r>
      <w:r>
        <w:rPr/>
        <w:t>explaining</w:t>
      </w:r>
      <w:r>
        <w:rPr>
          <w:spacing w:val="-2"/>
        </w:rPr>
        <w:t> </w:t>
      </w:r>
      <w:r>
        <w:rPr/>
        <w:t>cross-regime</w:t>
      </w:r>
      <w:r>
        <w:rPr>
          <w:spacing w:val="-1"/>
        </w:rPr>
        <w:t> </w:t>
      </w:r>
      <w:r>
        <w:rPr/>
        <w:t>differences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pass-through.</w:t>
      </w:r>
    </w:p>
    <w:p>
      <w:pPr>
        <w:pStyle w:val="BodyText"/>
        <w:spacing w:line="360" w:lineRule="auto" w:before="199"/>
        <w:ind w:left="811" w:right="993"/>
        <w:jc w:val="both"/>
      </w:pPr>
      <w:r>
        <w:rPr/>
        <w:pict>
          <v:rect style="position:absolute;margin-left:106.580002pt;margin-top:118.6231pt;width:144.020pt;height:.72003pt;mso-position-horizontal-relative:page;mso-position-vertical-relative:paragraph;z-index:-25370112" filled="true" fillcolor="#000000" stroked="false">
            <v:fill type="solid"/>
            <w10:wrap type="none"/>
          </v:rect>
        </w:pict>
      </w:r>
      <w:r>
        <w:rPr/>
        <w:t>Examining ERPT from regional point of view, Beirne and Bijsterbosch (2009) assessed</w:t>
      </w:r>
      <w:r>
        <w:rPr>
          <w:spacing w:val="1"/>
        </w:rPr>
        <w:t> </w:t>
      </w:r>
      <w:r>
        <w:rPr/>
        <w:t>the degree of ERPT to consumer prices for nine Central and Eastern European Union</w:t>
      </w:r>
      <w:r>
        <w:rPr>
          <w:spacing w:val="1"/>
        </w:rPr>
        <w:t> </w:t>
      </w:r>
      <w:r>
        <w:rPr/>
        <w:t>member states</w:t>
      </w:r>
      <w:r>
        <w:rPr>
          <w:vertAlign w:val="superscript"/>
        </w:rPr>
        <w:t>27</w:t>
      </w:r>
      <w:r>
        <w:rPr>
          <w:vertAlign w:val="baseline"/>
        </w:rPr>
        <w:t> for the period 1998 to 2008.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researchers incorporated features of a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 chain pricing framework that controlled for the impact of supply and demand</w:t>
      </w:r>
      <w:r>
        <w:rPr>
          <w:spacing w:val="1"/>
          <w:vertAlign w:val="baseline"/>
        </w:rPr>
        <w:t> </w:t>
      </w:r>
      <w:r>
        <w:rPr>
          <w:vertAlign w:val="baseline"/>
        </w:rPr>
        <w:t>shocks.</w:t>
      </w:r>
      <w:r>
        <w:rPr>
          <w:spacing w:val="18"/>
          <w:vertAlign w:val="baseline"/>
        </w:rPr>
        <w:t> </w:t>
      </w:r>
      <w:r>
        <w:rPr>
          <w:vertAlign w:val="baseline"/>
        </w:rPr>
        <w:t>Due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lack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monthly</w:t>
      </w:r>
      <w:r>
        <w:rPr>
          <w:spacing w:val="2"/>
          <w:vertAlign w:val="baseline"/>
        </w:rPr>
        <w:t> </w:t>
      </w:r>
      <w:r>
        <w:rPr>
          <w:vertAlign w:val="baseline"/>
        </w:rPr>
        <w:t>import</w:t>
      </w:r>
      <w:r>
        <w:rPr>
          <w:spacing w:val="8"/>
          <w:vertAlign w:val="baseline"/>
        </w:rPr>
        <w:t> </w:t>
      </w:r>
      <w:r>
        <w:rPr>
          <w:vertAlign w:val="baseline"/>
        </w:rPr>
        <w:t>price</w:t>
      </w:r>
      <w:r>
        <w:rPr>
          <w:spacing w:val="10"/>
          <w:vertAlign w:val="baseline"/>
        </w:rPr>
        <w:t> </w:t>
      </w:r>
      <w:r>
        <w:rPr>
          <w:vertAlign w:val="baseline"/>
        </w:rPr>
        <w:t>data,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8"/>
          <w:vertAlign w:val="baseline"/>
        </w:rPr>
        <w:t> </w:t>
      </w:r>
      <w:r>
        <w:rPr>
          <w:vertAlign w:val="baseline"/>
        </w:rPr>
        <w:t>chain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model</w:t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811" w:right="999" w:firstLine="0"/>
        <w:jc w:val="both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  <w:vertAlign w:val="baseline"/>
        </w:rPr>
        <w:t> Among them include Taylor, 2000; Choudhri and Hakura, 2001; Campa and Goldberg, 2005; Frankel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et.al, 2005; Marazzi et aI, 2005;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Barhoumi, 2006; Mumtaz et aI, 2006; Devereux and Yetman, 2008;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AI-Arbi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Goodwin, 2009.</w:t>
      </w:r>
    </w:p>
    <w:p>
      <w:pPr>
        <w:spacing w:line="229" w:lineRule="exact" w:before="0"/>
        <w:ind w:left="811" w:right="0" w:firstLine="0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Bulgaria,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Czech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Republic,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Estonia,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Hungary,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Latvia, Lithuania,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Poland,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Romania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Slovakia.</w:t>
      </w:r>
    </w:p>
    <w:p>
      <w:pPr>
        <w:spacing w:after="0" w:line="229" w:lineRule="exact"/>
        <w:jc w:val="both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46880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was constructed to reflect producer and consumer prices as a proxy for import prices, and</w:t>
      </w:r>
      <w:r>
        <w:rPr>
          <w:spacing w:val="1"/>
        </w:rPr>
        <w:t> </w:t>
      </w:r>
      <w:r>
        <w:rPr/>
        <w:t>the euro area consumer prices.</w:t>
      </w:r>
      <w:r>
        <w:rPr>
          <w:spacing w:val="1"/>
        </w:rPr>
        <w:t> </w:t>
      </w:r>
      <w:r>
        <w:rPr/>
        <w:t>The model then allowed exchange rate fluctuations to</w:t>
      </w:r>
      <w:r>
        <w:rPr>
          <w:spacing w:val="1"/>
        </w:rPr>
        <w:t> </w:t>
      </w:r>
      <w:r>
        <w:rPr/>
        <w:t>affect consumer prices both directly and indirectly via producer prices.   The assumption</w:t>
      </w:r>
      <w:r>
        <w:rPr>
          <w:spacing w:val="1"/>
        </w:rPr>
        <w:t> </w:t>
      </w:r>
      <w:r>
        <w:rPr/>
        <w:t>of a full exchange rate</w:t>
      </w:r>
      <w:r>
        <w:rPr>
          <w:spacing w:val="60"/>
        </w:rPr>
        <w:t> </w:t>
      </w:r>
      <w:r>
        <w:rPr/>
        <w:t>pass-through to import prices was built on the premise that the</w:t>
      </w:r>
      <w:r>
        <w:rPr>
          <w:spacing w:val="1"/>
        </w:rPr>
        <w:t> </w:t>
      </w:r>
      <w:r>
        <w:rPr/>
        <w:t>bulk of the foreign trade was quoted in foreign currencies, which implies that exporting</w:t>
      </w:r>
      <w:r>
        <w:rPr>
          <w:spacing w:val="1"/>
        </w:rPr>
        <w:t> </w:t>
      </w:r>
      <w:r>
        <w:rPr/>
        <w:t>countries‘</w:t>
      </w:r>
      <w:r>
        <w:rPr>
          <w:spacing w:val="1"/>
        </w:rPr>
        <w:t> </w:t>
      </w:r>
      <w:r>
        <w:rPr/>
        <w:t>currencies</w:t>
      </w:r>
      <w:r>
        <w:rPr>
          <w:spacing w:val="1"/>
        </w:rPr>
        <w:t> </w:t>
      </w:r>
      <w:r>
        <w:rPr/>
        <w:t>pricing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currency</w:t>
      </w:r>
      <w:r>
        <w:rPr>
          <w:spacing w:val="1"/>
        </w:rPr>
        <w:t> </w:t>
      </w:r>
      <w:r>
        <w:rPr/>
        <w:t>pricing.</w:t>
      </w:r>
      <w:r>
        <w:rPr>
          <w:spacing w:val="61"/>
        </w:rPr>
        <w:t> </w:t>
      </w:r>
      <w:r>
        <w:rPr/>
        <w:t>In</w:t>
      </w:r>
      <w:r>
        <w:rPr>
          <w:spacing w:val="-57"/>
        </w:rPr>
        <w:t> </w:t>
      </w:r>
      <w:r>
        <w:rPr/>
        <w:t>addition to exchange rate fluctuations, inflation at each stage of the chain was assumed to</w:t>
      </w:r>
      <w:r>
        <w:rPr>
          <w:spacing w:val="1"/>
        </w:rPr>
        <w:t> </w:t>
      </w:r>
      <w:r>
        <w:rPr/>
        <w:t>be affected by supply and demand shocks.</w:t>
      </w:r>
      <w:r>
        <w:rPr>
          <w:spacing w:val="1"/>
        </w:rPr>
        <w:t> </w:t>
      </w:r>
      <w:r>
        <w:rPr/>
        <w:t>The supply shocks were represented by oil</w:t>
      </w:r>
      <w:r>
        <w:rPr>
          <w:spacing w:val="1"/>
        </w:rPr>
        <w:t> </w:t>
      </w:r>
      <w:r>
        <w:rPr/>
        <w:t>price</w:t>
      </w:r>
      <w:r>
        <w:rPr>
          <w:spacing w:val="-3"/>
        </w:rPr>
        <w:t> </w:t>
      </w:r>
      <w:r>
        <w:rPr/>
        <w:t>in local currency, whereas demand</w:t>
      </w:r>
      <w:r>
        <w:rPr>
          <w:spacing w:val="-1"/>
        </w:rPr>
        <w:t> </w:t>
      </w:r>
      <w:r>
        <w:rPr/>
        <w:t>shocks were</w:t>
      </w:r>
      <w:r>
        <w:rPr>
          <w:spacing w:val="-2"/>
        </w:rPr>
        <w:t> </w:t>
      </w:r>
      <w:r>
        <w:rPr/>
        <w:t>proxied by</w:t>
      </w:r>
      <w:r>
        <w:rPr>
          <w:spacing w:val="-5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line="360" w:lineRule="auto" w:before="202"/>
        <w:ind w:left="811" w:right="998"/>
        <w:jc w:val="both"/>
      </w:pPr>
      <w:r>
        <w:rPr/>
        <w:t>The estimation techniques used were a multivariate cointegration approach and impulse</w:t>
      </w:r>
      <w:r>
        <w:rPr>
          <w:spacing w:val="1"/>
        </w:rPr>
        <w:t> </w:t>
      </w:r>
      <w:r>
        <w:rPr/>
        <w:t>responses derived from VECM.</w:t>
      </w:r>
      <w:r>
        <w:rPr>
          <w:spacing w:val="60"/>
        </w:rPr>
        <w:t> </w:t>
      </w:r>
      <w:r>
        <w:rPr/>
        <w:t>The interpretations of the estimates were that a rise in</w:t>
      </w:r>
      <w:r>
        <w:rPr>
          <w:spacing w:val="1"/>
        </w:rPr>
        <w:t> </w:t>
      </w:r>
      <w:r>
        <w:rPr/>
        <w:t>PPI</w:t>
      </w:r>
      <w:r>
        <w:rPr>
          <w:spacing w:val="12"/>
        </w:rPr>
        <w:t> </w:t>
      </w:r>
      <w:r>
        <w:rPr/>
        <w:t>and</w:t>
      </w:r>
      <w:r>
        <w:rPr>
          <w:spacing w:val="21"/>
        </w:rPr>
        <w:t> </w:t>
      </w:r>
      <w:r>
        <w:rPr/>
        <w:t>oil</w:t>
      </w:r>
      <w:r>
        <w:rPr>
          <w:spacing w:val="19"/>
        </w:rPr>
        <w:t> </w:t>
      </w:r>
      <w:r>
        <w:rPr/>
        <w:t>prices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associated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rise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domestic</w:t>
      </w:r>
      <w:r>
        <w:rPr>
          <w:spacing w:val="18"/>
        </w:rPr>
        <w:t> </w:t>
      </w:r>
      <w:r>
        <w:rPr/>
        <w:t>prices,</w:t>
      </w:r>
      <w:r>
        <w:rPr>
          <w:spacing w:val="21"/>
        </w:rPr>
        <w:t> </w:t>
      </w:r>
      <w:r>
        <w:rPr/>
        <w:t>while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depreciation</w:t>
      </w:r>
      <w:r>
        <w:rPr>
          <w:spacing w:val="19"/>
        </w:rPr>
        <w:t> </w:t>
      </w:r>
      <w:r>
        <w:rPr/>
        <w:t>of</w:t>
      </w:r>
      <w:r>
        <w:rPr>
          <w:spacing w:val="-57"/>
        </w:rPr>
        <w:t> </w:t>
      </w:r>
      <w:r>
        <w:rPr/>
        <w:t>the domestic currency was associated with a rise in consumer prices.</w:t>
      </w:r>
      <w:r>
        <w:rPr>
          <w:spacing w:val="1"/>
        </w:rPr>
        <w:t> </w:t>
      </w:r>
      <w:r>
        <w:rPr/>
        <w:t>The sign of the</w:t>
      </w:r>
      <w:r>
        <w:rPr>
          <w:spacing w:val="1"/>
        </w:rPr>
        <w:t> </w:t>
      </w:r>
      <w:r>
        <w:rPr/>
        <w:t>coefficient of the industrial production was, however, inconsistent and also statistically</w:t>
      </w:r>
      <w:r>
        <w:rPr>
          <w:spacing w:val="1"/>
        </w:rPr>
        <w:t> </w:t>
      </w:r>
      <w:r>
        <w:rPr/>
        <w:t>insignificant.</w:t>
      </w:r>
      <w:r>
        <w:rPr>
          <w:spacing w:val="1"/>
        </w:rPr>
        <w:t> </w:t>
      </w:r>
      <w:r>
        <w:rPr/>
        <w:t>The trend term was significant for six out of the nine countries suggested</w:t>
      </w:r>
      <w:r>
        <w:rPr>
          <w:spacing w:val="1"/>
        </w:rPr>
        <w:t> </w:t>
      </w:r>
      <w:r>
        <w:rPr/>
        <w:t>that the Balassa-Samuelson effects have had a significant role on domestic prices for most</w:t>
      </w:r>
      <w:r>
        <w:rPr>
          <w:spacing w:val="-57"/>
        </w:rPr>
        <w:t> </w:t>
      </w:r>
      <w:r>
        <w:rPr/>
        <w:t>of the countries.</w:t>
      </w:r>
      <w:r>
        <w:rPr>
          <w:spacing w:val="1"/>
        </w:rPr>
        <w:t> </w:t>
      </w:r>
      <w:r>
        <w:rPr/>
        <w:t>The output of the impulse response function analysis was, however, too</w:t>
      </w:r>
      <w:r>
        <w:rPr>
          <w:spacing w:val="1"/>
        </w:rPr>
        <w:t> </w:t>
      </w:r>
      <w:r>
        <w:rPr/>
        <w:t>low for major discussions. This was mostly attributed to the longer time horizon in the</w:t>
      </w:r>
      <w:r>
        <w:rPr>
          <w:spacing w:val="1"/>
        </w:rPr>
        <w:t> </w:t>
      </w:r>
      <w:r>
        <w:rPr/>
        <w:t>cointegration analysis.</w:t>
      </w:r>
      <w:r>
        <w:rPr>
          <w:spacing w:val="61"/>
        </w:rPr>
        <w:t> </w:t>
      </w:r>
      <w:r>
        <w:rPr/>
        <w:t>On average, the pass-through to price after 48 months was less</w:t>
      </w:r>
      <w:r>
        <w:rPr>
          <w:spacing w:val="1"/>
        </w:rPr>
        <w:t> </w:t>
      </w:r>
      <w:r>
        <w:rPr/>
        <w:t>than 50 percent.</w:t>
      </w:r>
      <w:r>
        <w:rPr>
          <w:spacing w:val="60"/>
        </w:rPr>
        <w:t> </w:t>
      </w:r>
      <w:r>
        <w:rPr/>
        <w:t>The findings indicated a strong link between nominal variables and thus</w:t>
      </w:r>
      <w:r>
        <w:rPr>
          <w:spacing w:val="1"/>
        </w:rPr>
        <w:t> </w:t>
      </w:r>
      <w:r>
        <w:rPr/>
        <w:t>a higher ERPT to consumer prices.</w:t>
      </w:r>
      <w:r>
        <w:rPr>
          <w:spacing w:val="1"/>
        </w:rPr>
        <w:t> </w:t>
      </w:r>
      <w:r>
        <w:rPr/>
        <w:t>It was also reported that the ERPT was higher for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that had</w:t>
      </w:r>
      <w:r>
        <w:rPr>
          <w:spacing w:val="-1"/>
        </w:rPr>
        <w:t> </w:t>
      </w:r>
      <w:r>
        <w:rPr/>
        <w:t>adopted some</w:t>
      </w:r>
      <w:r>
        <w:rPr>
          <w:spacing w:val="-1"/>
        </w:rPr>
        <w:t> </w:t>
      </w:r>
      <w:r>
        <w:rPr/>
        <w:t>form of</w:t>
      </w:r>
      <w:r>
        <w:rPr>
          <w:spacing w:val="-1"/>
        </w:rPr>
        <w:t> </w:t>
      </w:r>
      <w:r>
        <w:rPr/>
        <w:t>fixed exchange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regime.</w:t>
      </w:r>
    </w:p>
    <w:p>
      <w:pPr>
        <w:pStyle w:val="BodyText"/>
        <w:spacing w:line="360" w:lineRule="auto" w:before="199"/>
        <w:ind w:left="811" w:right="995"/>
        <w:jc w:val="both"/>
      </w:pPr>
      <w:r>
        <w:rPr/>
        <w:t>Similarly, for the European Union but employing different estimation techniques, Maria-</w:t>
      </w:r>
      <w:r>
        <w:rPr>
          <w:spacing w:val="1"/>
        </w:rPr>
        <w:t> </w:t>
      </w:r>
      <w:r>
        <w:rPr/>
        <w:t>Dolores (2010) studied the degree of ERPT to domestic prices using monthly data on</w:t>
      </w:r>
      <w:r>
        <w:rPr>
          <w:spacing w:val="1"/>
        </w:rPr>
        <w:t> </w:t>
      </w:r>
      <w:r>
        <w:rPr/>
        <w:t>import unit values (IUVs) for nine different product categories in some New Member</w:t>
      </w:r>
      <w:r>
        <w:rPr>
          <w:spacing w:val="1"/>
        </w:rPr>
        <w:t> </w:t>
      </w:r>
      <w:r>
        <w:rPr/>
        <w:t>States (NMSs) of the European Union</w:t>
      </w:r>
      <w:r>
        <w:rPr>
          <w:vertAlign w:val="superscript"/>
        </w:rPr>
        <w:t>28</w:t>
      </w:r>
      <w:r>
        <w:rPr>
          <w:vertAlign w:val="baseline"/>
        </w:rPr>
        <w:t> from 2000 to 2006.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researcher used a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Campa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Gonzalez-Minguez</w:t>
      </w:r>
      <w:r>
        <w:rPr>
          <w:spacing w:val="1"/>
          <w:vertAlign w:val="baseline"/>
        </w:rPr>
        <w:t> </w:t>
      </w:r>
      <w:r>
        <w:rPr>
          <w:vertAlign w:val="baseline"/>
        </w:rPr>
        <w:t>(2006)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short-and</w:t>
      </w:r>
      <w:r>
        <w:rPr>
          <w:spacing w:val="15"/>
          <w:vertAlign w:val="baseline"/>
        </w:rPr>
        <w:t> </w:t>
      </w:r>
      <w:r>
        <w:rPr>
          <w:vertAlign w:val="baseline"/>
        </w:rPr>
        <w:t>long-run</w:t>
      </w:r>
      <w:r>
        <w:rPr>
          <w:spacing w:val="14"/>
          <w:vertAlign w:val="baseline"/>
        </w:rPr>
        <w:t> </w:t>
      </w:r>
      <w:r>
        <w:rPr>
          <w:vertAlign w:val="baseline"/>
        </w:rPr>
        <w:t>pass-through</w:t>
      </w:r>
      <w:r>
        <w:rPr>
          <w:spacing w:val="16"/>
          <w:vertAlign w:val="baseline"/>
        </w:rPr>
        <w:t> </w:t>
      </w:r>
      <w:r>
        <w:rPr>
          <w:vertAlign w:val="baseline"/>
        </w:rPr>
        <w:t>elasticities,</w:t>
      </w:r>
      <w:r>
        <w:rPr>
          <w:spacing w:val="15"/>
          <w:vertAlign w:val="baseline"/>
        </w:rPr>
        <w:t> </w:t>
      </w:r>
      <w:r>
        <w:rPr>
          <w:vertAlign w:val="baseline"/>
        </w:rPr>
        <w:t>where</w:t>
      </w:r>
      <w:r>
        <w:rPr>
          <w:spacing w:val="13"/>
          <w:vertAlign w:val="baseline"/>
        </w:rPr>
        <w:t> </w:t>
      </w:r>
      <w:r>
        <w:rPr>
          <w:vertAlign w:val="baseline"/>
        </w:rPr>
        <w:t>long-run</w:t>
      </w:r>
      <w:r>
        <w:rPr>
          <w:spacing w:val="17"/>
          <w:vertAlign w:val="baseline"/>
        </w:rPr>
        <w:t> </w:t>
      </w:r>
      <w:r>
        <w:rPr>
          <w:vertAlign w:val="baseline"/>
        </w:rPr>
        <w:t>elasticities</w:t>
      </w:r>
      <w:r>
        <w:rPr>
          <w:spacing w:val="15"/>
          <w:vertAlign w:val="baseline"/>
        </w:rPr>
        <w:t> </w:t>
      </w:r>
      <w:r>
        <w:rPr>
          <w:vertAlign w:val="baseline"/>
        </w:rPr>
        <w:t>are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0"/>
        <w:ind w:left="811" w:right="993" w:firstLine="0"/>
        <w:jc w:val="left"/>
        <w:rPr>
          <w:sz w:val="20"/>
        </w:rPr>
      </w:pPr>
      <w:r>
        <w:rPr/>
        <w:pict>
          <v:rect style="position:absolute;margin-left:106.580002pt;margin-top:-5.540032pt;width:144.020pt;height:.71997pt;mso-position-horizontal-relative:page;mso-position-vertical-relative:paragraph;z-index:-2536908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28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Cyprus,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Hungary,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Latvia,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Poland,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Czech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Republic,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Slovakia,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Slovenia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Romania)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one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candidate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country, Turkey.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8"/>
        <w:jc w:val="both"/>
      </w:pPr>
      <w:r>
        <w:rPr/>
        <w:drawing>
          <wp:anchor distT="0" distB="0" distL="0" distR="0" allowOverlap="1" layoutInCell="1" locked="0" behindDoc="1" simplePos="0" relativeHeight="477947904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defined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sum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pass-through</w:t>
      </w:r>
      <w:r>
        <w:rPr>
          <w:spacing w:val="34"/>
        </w:rPr>
        <w:t> </w:t>
      </w:r>
      <w:r>
        <w:rPr/>
        <w:t>coefficients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contemporaneous</w:t>
      </w:r>
      <w:r>
        <w:rPr>
          <w:spacing w:val="32"/>
        </w:rPr>
        <w:t> </w:t>
      </w:r>
      <w:r>
        <w:rPr/>
        <w:t>exchange</w:t>
      </w:r>
      <w:r>
        <w:rPr>
          <w:spacing w:val="-57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lags.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influenced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size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ERPT</w:t>
      </w:r>
      <w:r>
        <w:rPr>
          <w:spacing w:val="23"/>
        </w:rPr>
        <w:t> </w:t>
      </w:r>
      <w:r>
        <w:rPr/>
        <w:t>such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different</w:t>
      </w:r>
      <w:r>
        <w:rPr>
          <w:spacing w:val="24"/>
        </w:rPr>
        <w:t> </w:t>
      </w:r>
      <w:r>
        <w:rPr/>
        <w:t>exchange</w:t>
      </w:r>
      <w:r>
        <w:rPr>
          <w:spacing w:val="25"/>
        </w:rPr>
        <w:t> </w:t>
      </w:r>
      <w:r>
        <w:rPr/>
        <w:t>rate</w:t>
      </w:r>
      <w:r>
        <w:rPr>
          <w:spacing w:val="24"/>
        </w:rPr>
        <w:t> </w:t>
      </w:r>
      <w:r>
        <w:rPr/>
        <w:t>regimes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existed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the different countries</w:t>
      </w:r>
      <w:r>
        <w:rPr>
          <w:vertAlign w:val="superscript"/>
        </w:rPr>
        <w:t>29</w:t>
      </w:r>
      <w:r>
        <w:rPr>
          <w:vertAlign w:val="baseline"/>
        </w:rPr>
        <w:t> and the date of adoption of inflation targeting in some countries.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estimates showed the following, the hypothesis of LCP (zero pass-through) could not</w:t>
      </w:r>
      <w:r>
        <w:rPr>
          <w:spacing w:val="-57"/>
          <w:vertAlign w:val="baseline"/>
        </w:rPr>
        <w:t> </w:t>
      </w:r>
      <w:r>
        <w:rPr>
          <w:vertAlign w:val="baseline"/>
        </w:rPr>
        <w:t>be rejected for all the countries, while the hypothesis of PCP (complete pass-through)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clearly</w:t>
      </w:r>
      <w:r>
        <w:rPr>
          <w:spacing w:val="-6"/>
          <w:vertAlign w:val="baseline"/>
        </w:rPr>
        <w:t> </w:t>
      </w:r>
      <w:r>
        <w:rPr>
          <w:vertAlign w:val="baseline"/>
        </w:rPr>
        <w:t>rejected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all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countries, except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Slovenia and Cyprus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short-run.</w:t>
      </w:r>
    </w:p>
    <w:p>
      <w:pPr>
        <w:pStyle w:val="BodyText"/>
        <w:spacing w:line="360" w:lineRule="auto" w:before="201"/>
        <w:ind w:left="811" w:right="994"/>
        <w:jc w:val="both"/>
      </w:pPr>
      <w:r>
        <w:rPr/>
        <w:t>Also, examining ERPT but for countries in the</w:t>
      </w:r>
      <w:r>
        <w:rPr>
          <w:spacing w:val="1"/>
        </w:rPr>
        <w:t> </w:t>
      </w:r>
      <w:r>
        <w:rPr/>
        <w:t>Organisation of</w:t>
      </w:r>
      <w:r>
        <w:rPr>
          <w:spacing w:val="60"/>
        </w:rPr>
        <w:t> </w:t>
      </w:r>
      <w:r>
        <w:rPr/>
        <w:t>Economic Cooperation</w:t>
      </w:r>
      <w:r>
        <w:rPr>
          <w:spacing w:val="1"/>
        </w:rPr>
        <w:t> </w:t>
      </w:r>
      <w:r>
        <w:rPr/>
        <w:t>and Development (OECD), Junttila and Korhonen (2012) analyzed exchange rate pass-</w:t>
      </w:r>
      <w:r>
        <w:rPr>
          <w:spacing w:val="1"/>
        </w:rPr>
        <w:t> </w:t>
      </w:r>
      <w:r>
        <w:rPr/>
        <w:t>through (ERPT) into aggregate import prices for nine countries in this group.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empirical findings based on a nonlinear time series analysis were that, in a low inflation</w:t>
      </w:r>
      <w:r>
        <w:rPr>
          <w:spacing w:val="1"/>
        </w:rPr>
        <w:t> </w:t>
      </w:r>
      <w:r>
        <w:rPr/>
        <w:t>regime the ERPT elasticity was low, while the ERPT was higher in a high inflation</w:t>
      </w:r>
      <w:r>
        <w:rPr>
          <w:spacing w:val="1"/>
        </w:rPr>
        <w:t> </w:t>
      </w:r>
      <w:r>
        <w:rPr/>
        <w:t>regime.</w:t>
      </w:r>
      <w:r>
        <w:rPr>
          <w:spacing w:val="1"/>
        </w:rPr>
        <w:t> </w:t>
      </w:r>
      <w:r>
        <w:rPr/>
        <w:t>Their result is quite similar for both the larger and smaller countries used in the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differences</w:t>
      </w:r>
      <w:r>
        <w:rPr>
          <w:spacing w:val="60"/>
        </w:rPr>
        <w:t> </w:t>
      </w:r>
      <w:r>
        <w:rPr/>
        <w:t>across</w:t>
      </w:r>
      <w:r>
        <w:rPr>
          <w:spacing w:val="1"/>
        </w:rPr>
        <w:t> </w:t>
      </w:r>
      <w:r>
        <w:rPr/>
        <w:t>countries in terms of the pass-through coefficients.</w:t>
      </w:r>
      <w:r>
        <w:rPr>
          <w:spacing w:val="1"/>
        </w:rPr>
        <w:t> </w:t>
      </w:r>
      <w:r>
        <w:rPr/>
        <w:t>The decline of exchange rate pass-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regimes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countries after the 1990s. Their findings supported the Taylor (2000) conclusion of low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inducing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pass-through.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provided support for the role of the degree of price stickiness.</w:t>
      </w:r>
      <w:r>
        <w:rPr>
          <w:spacing w:val="1"/>
        </w:rPr>
        <w:t> </w:t>
      </w:r>
      <w:r>
        <w:rPr/>
        <w:t>In particular, at the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exporting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inflationary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 when they adjust their prices.</w:t>
      </w:r>
      <w:r>
        <w:rPr>
          <w:spacing w:val="1"/>
        </w:rPr>
        <w:t> </w:t>
      </w:r>
      <w:r>
        <w:rPr/>
        <w:t>As a policy recommendation, they advanced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pass-through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stickiness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economies,</w:t>
      </w:r>
      <w:r>
        <w:rPr>
          <w:spacing w:val="60"/>
        </w:rPr>
        <w:t> </w:t>
      </w:r>
      <w:r>
        <w:rPr/>
        <w:t>because</w:t>
      </w:r>
      <w:r>
        <w:rPr>
          <w:spacing w:val="60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regime</w:t>
      </w:r>
      <w:r>
        <w:rPr>
          <w:spacing w:val="-2"/>
        </w:rPr>
        <w:t> </w:t>
      </w:r>
      <w:r>
        <w:rPr/>
        <w:t>seemed to play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role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rate</w:t>
      </w:r>
      <w:r>
        <w:rPr>
          <w:spacing w:val="1"/>
        </w:rPr>
        <w:t> </w:t>
      </w:r>
      <w:r>
        <w:rPr/>
        <w:t>pass-through.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6"/>
        <w:jc w:val="both"/>
      </w:pPr>
      <w:r>
        <w:rPr/>
        <w:pict>
          <v:rect style="position:absolute;margin-left:106.580002pt;margin-top:112.199097pt;width:144.020pt;height:.72003pt;mso-position-horizontal-relative:page;mso-position-vertical-relative:paragraph;z-index:-25368064" filled="true" fillcolor="#000000" stroked="false">
            <v:fill type="solid"/>
            <w10:wrap type="none"/>
          </v:rect>
        </w:pict>
      </w:r>
      <w:r>
        <w:rPr/>
        <w:t>Exploring</w:t>
      </w:r>
      <w:r>
        <w:rPr>
          <w:spacing w:val="56"/>
        </w:rPr>
        <w:t> </w:t>
      </w:r>
      <w:r>
        <w:rPr/>
        <w:t>data</w:t>
      </w:r>
      <w:r>
        <w:rPr>
          <w:spacing w:val="58"/>
        </w:rPr>
        <w:t> </w:t>
      </w:r>
      <w:r>
        <w:rPr/>
        <w:t>from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group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countries</w:t>
      </w:r>
      <w:r>
        <w:rPr>
          <w:spacing w:val="59"/>
        </w:rPr>
        <w:t> </w:t>
      </w:r>
      <w:r>
        <w:rPr/>
        <w:t>from</w:t>
      </w:r>
      <w:r>
        <w:rPr>
          <w:spacing w:val="59"/>
        </w:rPr>
        <w:t> </w:t>
      </w:r>
      <w:r>
        <w:rPr/>
        <w:t>Asia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other</w:t>
      </w:r>
      <w:r>
        <w:rPr>
          <w:spacing w:val="57"/>
        </w:rPr>
        <w:t> </w:t>
      </w:r>
      <w:r>
        <w:rPr/>
        <w:t>regions</w:t>
      </w:r>
      <w:r>
        <w:rPr>
          <w:spacing w:val="59"/>
        </w:rPr>
        <w:t> </w:t>
      </w:r>
      <w:r>
        <w:rPr/>
        <w:t>with</w:t>
      </w:r>
      <w:r>
        <w:rPr>
          <w:spacing w:val="59"/>
        </w:rPr>
        <w:t> </w:t>
      </w:r>
      <w:r>
        <w:rPr/>
        <w:t>similar</w:t>
      </w:r>
      <w:r>
        <w:rPr>
          <w:spacing w:val="-58"/>
        </w:rPr>
        <w:t> </w:t>
      </w:r>
      <w:r>
        <w:rPr/>
        <w:t>economic activities, Takatoshi and Kiyotaka (2007) analyzed the degree of domestic price</w:t>
      </w:r>
      <w:r>
        <w:rPr>
          <w:spacing w:val="-57"/>
        </w:rPr>
        <w:t> </w:t>
      </w:r>
      <w:r>
        <w:rPr/>
        <w:t>responses to the exchange rate changes in crisis-hit countries in East Asian and Latin</w:t>
      </w:r>
      <w:r>
        <w:rPr>
          <w:spacing w:val="1"/>
        </w:rPr>
        <w:t> </w:t>
      </w:r>
      <w:r>
        <w:rPr/>
        <w:t>American countries and Turkey.</w:t>
      </w:r>
      <w:r>
        <w:rPr>
          <w:spacing w:val="1"/>
        </w:rPr>
        <w:t> </w:t>
      </w:r>
      <w:r>
        <w:rPr/>
        <w:t>The authors applied the SVAR technique to exam nature</w:t>
      </w:r>
      <w:r>
        <w:rPr>
          <w:spacing w:val="-57"/>
        </w:rPr>
        <w:t> </w:t>
      </w:r>
      <w:r>
        <w:rPr/>
        <w:t>of</w:t>
      </w:r>
      <w:r>
        <w:rPr>
          <w:spacing w:val="53"/>
        </w:rPr>
        <w:t> </w:t>
      </w:r>
      <w:r>
        <w:rPr/>
        <w:t>exchange</w:t>
      </w:r>
      <w:r>
        <w:rPr>
          <w:spacing w:val="54"/>
        </w:rPr>
        <w:t> </w:t>
      </w:r>
      <w:r>
        <w:rPr/>
        <w:t>rate</w:t>
      </w:r>
      <w:r>
        <w:rPr>
          <w:spacing w:val="54"/>
        </w:rPr>
        <w:t> </w:t>
      </w:r>
      <w:r>
        <w:rPr/>
        <w:t>pass-through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these</w:t>
      </w:r>
      <w:r>
        <w:rPr>
          <w:spacing w:val="54"/>
        </w:rPr>
        <w:t> </w:t>
      </w:r>
      <w:r>
        <w:rPr/>
        <w:t>countries.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findings</w:t>
      </w:r>
      <w:r>
        <w:rPr>
          <w:spacing w:val="55"/>
        </w:rPr>
        <w:t> </w:t>
      </w:r>
      <w:r>
        <w:rPr/>
        <w:t>from</w:t>
      </w:r>
      <w:r>
        <w:rPr>
          <w:spacing w:val="54"/>
        </w:rPr>
        <w:t> </w:t>
      </w:r>
      <w:r>
        <w:rPr/>
        <w:t>this</w:t>
      </w:r>
      <w:r>
        <w:rPr>
          <w:spacing w:val="55"/>
        </w:rPr>
        <w:t> </w:t>
      </w:r>
      <w:r>
        <w:rPr/>
        <w:t>study</w:t>
      </w:r>
      <w:r>
        <w:rPr>
          <w:spacing w:val="50"/>
        </w:rPr>
        <w:t> </w:t>
      </w:r>
      <w:r>
        <w:rPr/>
        <w:t>were</w:t>
      </w:r>
    </w:p>
    <w:p>
      <w:pPr>
        <w:pStyle w:val="BodyText"/>
        <w:spacing w:before="2"/>
        <w:rPr>
          <w:sz w:val="14"/>
        </w:rPr>
      </w:pPr>
    </w:p>
    <w:p>
      <w:pPr>
        <w:spacing w:before="121"/>
        <w:ind w:left="811" w:right="0" w:firstLine="0"/>
        <w:jc w:val="left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(Crawling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band,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float,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independent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float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flexible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exchange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rate).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48928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hardly statistically different from other studies.</w:t>
      </w:r>
      <w:r>
        <w:rPr>
          <w:spacing w:val="1"/>
        </w:rPr>
        <w:t> </w:t>
      </w:r>
      <w:r>
        <w:rPr/>
        <w:t>Findings indicated exchange rate pass-</w:t>
      </w:r>
      <w:r>
        <w:rPr>
          <w:spacing w:val="1"/>
        </w:rPr>
        <w:t> </w:t>
      </w:r>
      <w:r>
        <w:rPr/>
        <w:t>through was found to be higher in Latin American countries and Turkey than in East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Mexico,</w:t>
      </w:r>
      <w:r>
        <w:rPr>
          <w:spacing w:val="1"/>
        </w:rPr>
        <w:t> </w:t>
      </w:r>
      <w:r>
        <w:rPr/>
        <w:t>Turkey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Argentina showed strong response of CPI to exchange rate shock.</w:t>
      </w:r>
      <w:r>
        <w:rPr>
          <w:spacing w:val="61"/>
        </w:rPr>
        <w:t> </w:t>
      </w:r>
      <w:r>
        <w:rPr/>
        <w:t>More significantly,</w:t>
      </w:r>
      <w:r>
        <w:rPr>
          <w:spacing w:val="1"/>
        </w:rPr>
        <w:t> </w:t>
      </w:r>
      <w:r>
        <w:rPr/>
        <w:t>base money as a monetary variable played an important role in increasing the domestic</w:t>
      </w:r>
      <w:r>
        <w:rPr>
          <w:spacing w:val="1"/>
        </w:rPr>
        <w:t> </w:t>
      </w:r>
      <w:r>
        <w:rPr/>
        <w:t>inflation rate in Indonesia, while such was not evident in the other countries.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perhaps, exemplifies the relevance of the commitment of monetary Authorities to price</w:t>
      </w:r>
      <w:r>
        <w:rPr>
          <w:spacing w:val="1"/>
        </w:rPr>
        <w:t> </w:t>
      </w:r>
      <w:r>
        <w:rPr/>
        <w:t>stability.</w:t>
      </w:r>
      <w:r>
        <w:rPr>
          <w:spacing w:val="1"/>
        </w:rPr>
        <w:t> </w:t>
      </w:r>
      <w:r>
        <w:rPr/>
        <w:t>Also, shock transmission from import prices or producer price inflation to CPI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Mexico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Turkey.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transmission at different stage of the pricing chain may be an additional factor in fueling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inflation.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Reviewing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IMF,</w:t>
      </w:r>
      <w:r>
        <w:rPr>
          <w:spacing w:val="1"/>
        </w:rPr>
        <w:t> </w:t>
      </w:r>
      <w:r>
        <w:rPr/>
        <w:t>Masha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Park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techniques to examine the degree of exchange rate pass-through to both producer and</w:t>
      </w:r>
      <w:r>
        <w:rPr>
          <w:spacing w:val="1"/>
        </w:rPr>
        <w:t> </w:t>
      </w:r>
      <w:r>
        <w:rPr/>
        <w:t>consumer prices in Maldives.</w:t>
      </w:r>
      <w:r>
        <w:rPr>
          <w:spacing w:val="60"/>
        </w:rPr>
        <w:t> </w:t>
      </w:r>
      <w:r>
        <w:rPr/>
        <w:t>The authors first estimated ERPT to consumer prices using</w:t>
      </w:r>
      <w:r>
        <w:rPr>
          <w:spacing w:val="1"/>
        </w:rPr>
        <w:t> </w:t>
      </w:r>
      <w:r>
        <w:rPr/>
        <w:t>a nonparametric approach.</w:t>
      </w:r>
      <w:r>
        <w:rPr>
          <w:spacing w:val="1"/>
        </w:rPr>
        <w:t> </w:t>
      </w:r>
      <w:r>
        <w:rPr/>
        <w:t>The methodology developed by Campa and Goldberg (2005)</w:t>
      </w:r>
      <w:r>
        <w:rPr>
          <w:spacing w:val="1"/>
        </w:rPr>
        <w:t> </w:t>
      </w:r>
      <w:r>
        <w:rPr/>
        <w:t>computes the overall static sensitivity of CPI to exchange rate changes.</w:t>
      </w:r>
      <w:r>
        <w:rPr>
          <w:spacing w:val="1"/>
        </w:rPr>
        <w:t> </w:t>
      </w:r>
      <w:r>
        <w:rPr/>
        <w:t>The researcher</w:t>
      </w:r>
      <w:r>
        <w:rPr>
          <w:spacing w:val="1"/>
        </w:rPr>
        <w:t> </w:t>
      </w:r>
      <w:r>
        <w:rPr/>
        <w:t>then proceeded to model both the changes consumer and producer price indices using a</w:t>
      </w:r>
      <w:r>
        <w:rPr>
          <w:spacing w:val="1"/>
        </w:rPr>
        <w:t> </w:t>
      </w:r>
      <w:r>
        <w:rPr/>
        <w:t>recursive VAR technique with quarterly data for 1994-2010.</w:t>
      </w:r>
      <w:r>
        <w:rPr>
          <w:spacing w:val="1"/>
        </w:rPr>
        <w:t> </w:t>
      </w:r>
      <w:r>
        <w:rPr/>
        <w:t>The differences between</w:t>
      </w:r>
      <w:r>
        <w:rPr>
          <w:spacing w:val="1"/>
        </w:rPr>
        <w:t> </w:t>
      </w:r>
      <w:r>
        <w:rPr/>
        <w:t>these two techniques were that the first approach is a static analysis and provided a point</w:t>
      </w:r>
      <w:r>
        <w:rPr>
          <w:spacing w:val="1"/>
        </w:rPr>
        <w:t> </w:t>
      </w:r>
      <w:r>
        <w:rPr/>
        <w:t>estimate of the pass-through coefficient, while the second allowed for proper intuition of</w:t>
      </w:r>
      <w:r>
        <w:rPr>
          <w:spacing w:val="1"/>
        </w:rPr>
        <w:t> </w:t>
      </w:r>
      <w:r>
        <w:rPr/>
        <w:t>the speed of pass-through of exchange rate changes to prices in a longer time frame.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 were as follows: (i) the ERPT to consumer prices was very high, both in absolute</w:t>
      </w:r>
      <w:r>
        <w:rPr>
          <w:spacing w:val="1"/>
        </w:rPr>
        <w:t> </w:t>
      </w:r>
      <w:r>
        <w:rPr/>
        <w:t>terms and relative to other countries; and (ii) the VAR results showed that ERPT had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producer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pass-through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incomplete, and that shocks on producer and consumer price indices that occurred from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nominal</w:t>
      </w:r>
      <w:r>
        <w:rPr>
          <w:spacing w:val="-1"/>
        </w:rPr>
        <w:t> </w:t>
      </w:r>
      <w:r>
        <w:rPr/>
        <w:t>effective exchange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persisted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horizons.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Still on the subject matter, quantitative evidence from African countries is not statistically</w:t>
      </w:r>
      <w:r>
        <w:rPr>
          <w:spacing w:val="-57"/>
        </w:rPr>
        <w:t> </w:t>
      </w:r>
      <w:r>
        <w:rPr/>
        <w:t>different from those of other regions already reviewed.    Choudhri and Hakura (2001)</w:t>
      </w:r>
      <w:r>
        <w:rPr>
          <w:spacing w:val="1"/>
        </w:rPr>
        <w:t> </w:t>
      </w:r>
      <w:r>
        <w:rPr/>
        <w:t>used a panel data estimation technique and found that the level of inflation dominated the</w:t>
      </w:r>
      <w:r>
        <w:rPr>
          <w:spacing w:val="1"/>
        </w:rPr>
        <w:t> </w:t>
      </w:r>
      <w:r>
        <w:rPr/>
        <w:t>volatility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inflation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exchange</w:t>
      </w:r>
      <w:r>
        <w:rPr>
          <w:spacing w:val="3"/>
        </w:rPr>
        <w:t> </w:t>
      </w:r>
      <w:r>
        <w:rPr/>
        <w:t>rate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an</w:t>
      </w:r>
      <w:r>
        <w:rPr>
          <w:spacing w:val="6"/>
        </w:rPr>
        <w:t> </w:t>
      </w:r>
      <w:r>
        <w:rPr/>
        <w:t>explanation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cross-country</w:t>
      </w:r>
      <w:r>
        <w:rPr>
          <w:spacing w:val="-1"/>
        </w:rPr>
        <w:t> </w:t>
      </w:r>
      <w:r>
        <w:rPr/>
        <w:t>differences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t>in the pass-through. The estimates further indicated zero pass-through to inflation in</w:t>
      </w:r>
      <w:r>
        <w:rPr>
          <w:spacing w:val="1"/>
        </w:rPr>
        <w:t> </w:t>
      </w:r>
      <w:r>
        <w:rPr/>
        <w:t>Ethiopia and incomplete pass-through in other African countries during the period 1997–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Canetti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Greene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 and monetary expansion both negatively affected consumer price inflation 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-1"/>
        </w:rPr>
        <w:t> </w:t>
      </w:r>
      <w:r>
        <w:rPr/>
        <w:t>(SSA).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drawing>
          <wp:anchor distT="0" distB="0" distL="0" distR="0" allowOverlap="1" layoutInCell="1" locked="0" behindDoc="1" simplePos="0" relativeHeight="477949440">
            <wp:simplePos x="0" y="0"/>
            <wp:positionH relativeFrom="page">
              <wp:posOffset>1485138</wp:posOffset>
            </wp:positionH>
            <wp:positionV relativeFrom="paragraph">
              <wp:posOffset>129071</wp:posOffset>
            </wp:positionV>
            <wp:extent cx="5102225" cy="5044439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Exclusively for South Africa, Ocran (2010) examined the exchange rate pass-through to</w:t>
      </w:r>
      <w:r>
        <w:rPr>
          <w:spacing w:val="1"/>
        </w:rPr>
        <w:t> </w:t>
      </w:r>
      <w:r>
        <w:rPr/>
        <w:t>import, producer and consumer prices using 113 monthly data covering January, 2000 to</w:t>
      </w:r>
      <w:r>
        <w:rPr>
          <w:spacing w:val="1"/>
        </w:rPr>
        <w:t> </w:t>
      </w:r>
      <w:r>
        <w:rPr/>
        <w:t>May, 2009.</w:t>
      </w:r>
      <w:r>
        <w:rPr>
          <w:spacing w:val="1"/>
        </w:rPr>
        <w:t> </w:t>
      </w:r>
      <w:r>
        <w:rPr/>
        <w:t>Impulse response and variance decomposition techniques were explored</w:t>
      </w:r>
      <w:r>
        <w:rPr>
          <w:spacing w:val="1"/>
        </w:rPr>
        <w:t> </w:t>
      </w:r>
      <w:r>
        <w:rPr/>
        <w:t>within the framework of an unrestricted VAR to examine the degree of pass-through as</w:t>
      </w:r>
      <w:r>
        <w:rPr>
          <w:spacing w:val="1"/>
        </w:rPr>
        <w:t> </w:t>
      </w:r>
      <w:r>
        <w:rPr/>
        <w:t>well as the relative importance of key economic fundamentals in explaining changes in</w:t>
      </w:r>
      <w:r>
        <w:rPr>
          <w:spacing w:val="1"/>
        </w:rPr>
        <w:t> </w:t>
      </w:r>
      <w:r>
        <w:rPr/>
        <w:t>domestic prices. The findings suggested that after a 1.0% shock to nominal effective</w:t>
      </w:r>
      <w:r>
        <w:rPr>
          <w:spacing w:val="1"/>
        </w:rPr>
        <w:t> </w:t>
      </w:r>
      <w:r>
        <w:rPr/>
        <w:t>exchange rate, the level of CPI increased marginally by 0.1%, giving a pass-through</w:t>
      </w:r>
      <w:r>
        <w:rPr>
          <w:spacing w:val="1"/>
        </w:rPr>
        <w:t> </w:t>
      </w:r>
      <w:r>
        <w:rPr/>
        <w:t>elasticity of about 13.0%.</w:t>
      </w:r>
      <w:r>
        <w:rPr>
          <w:spacing w:val="1"/>
        </w:rPr>
        <w:t> </w:t>
      </w:r>
      <w:r>
        <w:rPr/>
        <w:t>The pass-through elasticity of producer price was 20% after 2</w:t>
      </w:r>
      <w:r>
        <w:rPr>
          <w:spacing w:val="1"/>
        </w:rPr>
        <w:t> </w:t>
      </w:r>
      <w:r>
        <w:rPr/>
        <w:t>years (24 months).</w:t>
      </w:r>
      <w:r>
        <w:rPr>
          <w:spacing w:val="1"/>
        </w:rPr>
        <w:t> </w:t>
      </w:r>
      <w:r>
        <w:rPr/>
        <w:t>This suggests that favourable shocks to producer price inflation may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effect on</w:t>
      </w:r>
      <w:r>
        <w:rPr>
          <w:spacing w:val="2"/>
        </w:rPr>
        <w:t> </w:t>
      </w:r>
      <w:r>
        <w:rPr/>
        <w:t>CPI</w:t>
      </w:r>
      <w:r>
        <w:rPr>
          <w:spacing w:val="-6"/>
        </w:rPr>
        <w:t> </w:t>
      </w:r>
      <w:r>
        <w:rPr/>
        <w:t>inflation.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9"/>
        <w:jc w:val="both"/>
      </w:pPr>
      <w:r>
        <w:rPr/>
        <w:t>Other studies on South Africa that provided similar conclusion were those by</w:t>
      </w:r>
      <w:r>
        <w:rPr>
          <w:spacing w:val="1"/>
        </w:rPr>
        <w:t> </w:t>
      </w:r>
      <w:r>
        <w:rPr/>
        <w:t>Aron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(2008) and Parsley (2010).</w:t>
      </w:r>
      <w:r>
        <w:rPr>
          <w:spacing w:val="1"/>
        </w:rPr>
        <w:t> </w:t>
      </w:r>
      <w:r>
        <w:rPr/>
        <w:t>Aron </w:t>
      </w:r>
      <w:r>
        <w:rPr>
          <w:i/>
        </w:rPr>
        <w:t>et al., </w:t>
      </w:r>
      <w:r>
        <w:rPr/>
        <w:t>(2008) examined how exchange rate influences</w:t>
      </w:r>
      <w:r>
        <w:rPr>
          <w:spacing w:val="1"/>
        </w:rPr>
        <w:t> </w:t>
      </w:r>
      <w:r>
        <w:rPr/>
        <w:t>import prices, inflation and monetary policy from the period 1980 to 2009.</w:t>
      </w:r>
      <w:r>
        <w:rPr>
          <w:spacing w:val="1"/>
        </w:rPr>
        <w:t> </w:t>
      </w:r>
      <w:r>
        <w:rPr/>
        <w:t>After various</w:t>
      </w:r>
      <w:r>
        <w:rPr>
          <w:spacing w:val="1"/>
        </w:rPr>
        <w:t> </w:t>
      </w:r>
      <w:r>
        <w:rPr/>
        <w:t>short-run pass-through estimates, the pass-through on average was incomplete at about</w:t>
      </w:r>
      <w:r>
        <w:rPr>
          <w:spacing w:val="1"/>
        </w:rPr>
        <w:t> </w:t>
      </w:r>
      <w:r>
        <w:rPr/>
        <w:t>30% in 6 months and 50% within a year.</w:t>
      </w:r>
      <w:r>
        <w:rPr>
          <w:spacing w:val="1"/>
        </w:rPr>
        <w:t> </w:t>
      </w:r>
      <w:r>
        <w:rPr/>
        <w:t>These results were confirmed by the impulse</w:t>
      </w:r>
      <w:r>
        <w:rPr>
          <w:spacing w:val="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1000"/>
        <w:jc w:val="both"/>
      </w:pPr>
      <w:r>
        <w:rPr/>
        <w:t>Parsley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pass-through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disaggregated</w:t>
      </w:r>
      <w:r>
        <w:rPr>
          <w:spacing w:val="60"/>
        </w:rPr>
        <w:t> </w:t>
      </w:r>
      <w:r>
        <w:rPr/>
        <w:t>level</w:t>
      </w:r>
      <w:r>
        <w:rPr>
          <w:spacing w:val="1"/>
        </w:rPr>
        <w:t> </w:t>
      </w:r>
      <w:r>
        <w:rPr/>
        <w:t>possible using two distinct panels of disaggregated data:</w:t>
      </w:r>
      <w:r>
        <w:rPr>
          <w:spacing w:val="1"/>
        </w:rPr>
        <w:t> </w:t>
      </w:r>
      <w:r>
        <w:rPr/>
        <w:t>(i) data set containing annual</w:t>
      </w:r>
      <w:r>
        <w:rPr>
          <w:spacing w:val="1"/>
        </w:rPr>
        <w:t> </w:t>
      </w:r>
      <w:r>
        <w:rPr/>
        <w:t>prices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158</w:t>
      </w:r>
      <w:r>
        <w:rPr>
          <w:spacing w:val="5"/>
        </w:rPr>
        <w:t> </w:t>
      </w:r>
      <w:r>
        <w:rPr/>
        <w:t>individual</w:t>
      </w:r>
      <w:r>
        <w:rPr>
          <w:spacing w:val="3"/>
        </w:rPr>
        <w:t> </w:t>
      </w:r>
      <w:r>
        <w:rPr/>
        <w:t>goods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services</w:t>
      </w:r>
      <w:r>
        <w:rPr>
          <w:spacing w:val="4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consumer</w:t>
      </w:r>
      <w:r>
        <w:rPr>
          <w:spacing w:val="2"/>
        </w:rPr>
        <w:t> </w:t>
      </w:r>
      <w:r>
        <w:rPr/>
        <w:t>level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1990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2009;</w:t>
      </w:r>
      <w:r>
        <w:rPr>
          <w:spacing w:val="4"/>
        </w:rPr>
        <w:t> </w:t>
      </w:r>
      <w:r>
        <w:rPr/>
        <w:t>and</w:t>
      </w:r>
    </w:p>
    <w:p>
      <w:pPr>
        <w:pStyle w:val="ListParagraph"/>
        <w:numPr>
          <w:ilvl w:val="0"/>
          <w:numId w:val="14"/>
        </w:numPr>
        <w:tabs>
          <w:tab w:pos="1201" w:val="left" w:leader="none"/>
        </w:tabs>
        <w:spacing w:line="360" w:lineRule="auto" w:before="1" w:after="0"/>
        <w:ind w:left="811" w:right="996" w:firstLine="0"/>
        <w:jc w:val="both"/>
        <w:rPr>
          <w:sz w:val="24"/>
        </w:rPr>
      </w:pPr>
      <w:r>
        <w:rPr>
          <w:sz w:val="24"/>
        </w:rPr>
        <w:t>panel containing quarterly average import unit-values for twenty-six 8-digit import</w:t>
      </w:r>
      <w:r>
        <w:rPr>
          <w:spacing w:val="1"/>
          <w:sz w:val="24"/>
        </w:rPr>
        <w:t> </w:t>
      </w:r>
      <w:r>
        <w:rPr>
          <w:sz w:val="24"/>
        </w:rPr>
        <w:t>categories from ten of South Africa‘s top trading partners covering 1998 Q1 to 2009 Q2.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pass-through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consumer</w:t>
      </w:r>
      <w:r>
        <w:rPr>
          <w:spacing w:val="1"/>
          <w:sz w:val="24"/>
        </w:rPr>
        <w:t> </w:t>
      </w:r>
      <w:r>
        <w:rPr>
          <w:sz w:val="24"/>
        </w:rPr>
        <w:t>prices</w:t>
      </w:r>
      <w:r>
        <w:rPr>
          <w:spacing w:val="1"/>
          <w:sz w:val="24"/>
        </w:rPr>
        <w:t> </w:t>
      </w:r>
      <w:r>
        <w:rPr>
          <w:sz w:val="24"/>
        </w:rPr>
        <w:t>(between</w:t>
      </w:r>
      <w:r>
        <w:rPr>
          <w:spacing w:val="1"/>
          <w:sz w:val="24"/>
        </w:rPr>
        <w:t> </w:t>
      </w:r>
      <w:r>
        <w:rPr>
          <w:sz w:val="24"/>
        </w:rPr>
        <w:t>15%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25%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60"/>
          <w:sz w:val="24"/>
        </w:rPr>
        <w:t> </w:t>
      </w:r>
      <w:r>
        <w:rPr>
          <w:sz w:val="24"/>
        </w:rPr>
        <w:t>years</w:t>
      </w:r>
      <w:r>
        <w:rPr>
          <w:spacing w:val="1"/>
          <w:sz w:val="24"/>
        </w:rPr>
        <w:t> </w:t>
      </w:r>
      <w:r>
        <w:rPr>
          <w:sz w:val="24"/>
        </w:rPr>
        <w:t>following an exchange rate change), slow convergence to long run purchasing power</w:t>
      </w:r>
      <w:r>
        <w:rPr>
          <w:spacing w:val="1"/>
          <w:sz w:val="24"/>
        </w:rPr>
        <w:t> </w:t>
      </w:r>
      <w:r>
        <w:rPr>
          <w:sz w:val="24"/>
        </w:rPr>
        <w:t>parity</w:t>
      </w:r>
      <w:r>
        <w:rPr>
          <w:spacing w:val="37"/>
          <w:sz w:val="24"/>
        </w:rPr>
        <w:t> </w:t>
      </w:r>
      <w:r>
        <w:rPr>
          <w:sz w:val="24"/>
        </w:rPr>
        <w:t>(for</w:t>
      </w:r>
      <w:r>
        <w:rPr>
          <w:spacing w:val="41"/>
          <w:sz w:val="24"/>
        </w:rPr>
        <w:t> </w:t>
      </w:r>
      <w:r>
        <w:rPr>
          <w:sz w:val="24"/>
        </w:rPr>
        <w:t>approximately,</w:t>
      </w:r>
      <w:r>
        <w:rPr>
          <w:spacing w:val="42"/>
          <w:sz w:val="24"/>
        </w:rPr>
        <w:t> </w:t>
      </w:r>
      <w:r>
        <w:rPr>
          <w:sz w:val="24"/>
        </w:rPr>
        <w:t>6</w:t>
      </w:r>
      <w:r>
        <w:rPr>
          <w:spacing w:val="47"/>
          <w:sz w:val="24"/>
        </w:rPr>
        <w:t> </w:t>
      </w:r>
      <w:r>
        <w:rPr>
          <w:sz w:val="24"/>
        </w:rPr>
        <w:t>years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5</w:t>
      </w:r>
      <w:r>
        <w:rPr>
          <w:spacing w:val="40"/>
          <w:sz w:val="24"/>
        </w:rPr>
        <w:t> </w:t>
      </w:r>
      <w:r>
        <w:rPr>
          <w:sz w:val="24"/>
        </w:rPr>
        <w:t>months),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no</w:t>
      </w:r>
      <w:r>
        <w:rPr>
          <w:spacing w:val="39"/>
          <w:sz w:val="24"/>
        </w:rPr>
        <w:t> </w:t>
      </w:r>
      <w:r>
        <w:rPr>
          <w:sz w:val="24"/>
        </w:rPr>
        <w:t>apparent</w:t>
      </w:r>
      <w:r>
        <w:rPr>
          <w:spacing w:val="40"/>
          <w:sz w:val="24"/>
        </w:rPr>
        <w:t> </w:t>
      </w:r>
      <w:r>
        <w:rPr>
          <w:sz w:val="24"/>
        </w:rPr>
        <w:t>tendency</w:t>
      </w:r>
      <w:r>
        <w:rPr>
          <w:spacing w:val="35"/>
          <w:sz w:val="24"/>
        </w:rPr>
        <w:t> </w:t>
      </w:r>
      <w:r>
        <w:rPr>
          <w:sz w:val="24"/>
        </w:rPr>
        <w:t>for</w:t>
      </w:r>
      <w:r>
        <w:rPr>
          <w:spacing w:val="38"/>
          <w:sz w:val="24"/>
        </w:rPr>
        <w:t> </w:t>
      </w:r>
      <w:r>
        <w:rPr>
          <w:sz w:val="24"/>
        </w:rPr>
        <w:t>pass-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t>through to have declined during the last twenty years.</w:t>
      </w:r>
      <w:r>
        <w:rPr>
          <w:spacing w:val="1"/>
        </w:rPr>
        <w:t> </w:t>
      </w:r>
      <w:r>
        <w:rPr/>
        <w:t>Relatively high estimates 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import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pass-through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Brazil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(75%),</w:t>
      </w:r>
      <w:r>
        <w:rPr>
          <w:spacing w:val="60"/>
        </w:rPr>
        <w:t> </w:t>
      </w:r>
      <w:r>
        <w:rPr/>
        <w:t>while</w:t>
      </w:r>
      <w:r>
        <w:rPr>
          <w:spacing w:val="1"/>
        </w:rPr>
        <w:t> </w:t>
      </w:r>
      <w:r>
        <w:rPr/>
        <w:t>Taiwan, Switzerland,</w:t>
      </w:r>
      <w:r>
        <w:rPr>
          <w:spacing w:val="60"/>
        </w:rPr>
        <w:t> </w:t>
      </w:r>
      <w:r>
        <w:rPr/>
        <w:t>India, Great Britain, and Germany were nearer the overall average</w:t>
      </w:r>
      <w:r>
        <w:rPr>
          <w:spacing w:val="1"/>
        </w:rPr>
        <w:t> </w:t>
      </w:r>
      <w:r>
        <w:rPr/>
        <w:t>of 60%.</w:t>
      </w:r>
      <w:r>
        <w:rPr>
          <w:spacing w:val="1"/>
        </w:rPr>
        <w:t> </w:t>
      </w:r>
      <w:r>
        <w:rPr/>
        <w:t>As with final consumer prices, there was little evidence of a decline in pass-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to import prices.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949952">
            <wp:simplePos x="0" y="0"/>
            <wp:positionH relativeFrom="page">
              <wp:posOffset>1485138</wp:posOffset>
            </wp:positionH>
            <wp:positionV relativeFrom="paragraph">
              <wp:posOffset>129071</wp:posOffset>
            </wp:positionV>
            <wp:extent cx="5102225" cy="5044439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Employing the popular Structural Vector Autoregressive (SVAR) estimation method on</w:t>
      </w:r>
      <w:r>
        <w:rPr>
          <w:spacing w:val="1"/>
        </w:rPr>
        <w:t> </w:t>
      </w:r>
      <w:r>
        <w:rPr/>
        <w:t>quarterly data from 1999 to 2010, Tandryen </w:t>
      </w:r>
      <w:r>
        <w:rPr>
          <w:i/>
        </w:rPr>
        <w:t>et al., </w:t>
      </w:r>
      <w:r>
        <w:rPr/>
        <w:t>(2012) investigated the impact of</w:t>
      </w:r>
      <w:r>
        <w:rPr>
          <w:spacing w:val="1"/>
        </w:rPr>
        <w:t> </w:t>
      </w:r>
      <w:r>
        <w:rPr/>
        <w:t>exchange rate movements and external shocks on import prices, domestic producer and</w:t>
      </w:r>
      <w:r>
        <w:rPr>
          <w:spacing w:val="1"/>
        </w:rPr>
        <w:t> </w:t>
      </w:r>
      <w:r>
        <w:rPr/>
        <w:t>consumer prices for the small island economy of Mauritius that is highly vulnerable to</w:t>
      </w:r>
      <w:r>
        <w:rPr>
          <w:spacing w:val="1"/>
        </w:rPr>
        <w:t> </w:t>
      </w:r>
      <w:r>
        <w:rPr/>
        <w:t>external economic shocks. The authors applied a model of pricing along production,</w:t>
      </w:r>
      <w:r>
        <w:rPr>
          <w:spacing w:val="1"/>
        </w:rPr>
        <w:t> </w:t>
      </w:r>
      <w:r>
        <w:rPr/>
        <w:t>distribution chain and consumers adopted from McCarthy (2000).</w:t>
      </w:r>
      <w:r>
        <w:rPr>
          <w:spacing w:val="1"/>
        </w:rPr>
        <w:t> </w:t>
      </w:r>
      <w:r>
        <w:rPr/>
        <w:t>The model was used to</w:t>
      </w:r>
      <w:r>
        <w:rPr>
          <w:spacing w:val="-57"/>
        </w:rPr>
        <w:t> </w:t>
      </w:r>
      <w:r>
        <w:rPr/>
        <w:t>track the pass-through from exchange rate fluctuations at each stage of the distribution</w:t>
      </w:r>
      <w:r>
        <w:rPr>
          <w:spacing w:val="1"/>
        </w:rPr>
        <w:t> </w:t>
      </w:r>
      <w:r>
        <w:rPr/>
        <w:t>chain.</w:t>
      </w:r>
      <w:r>
        <w:rPr>
          <w:spacing w:val="1"/>
        </w:rPr>
        <w:t> </w:t>
      </w:r>
      <w:r>
        <w:rPr/>
        <w:t>The result showed that exchange rate pass-through to consumer prices was much</w:t>
      </w:r>
      <w:r>
        <w:rPr>
          <w:spacing w:val="1"/>
        </w:rPr>
        <w:t> </w:t>
      </w:r>
      <w:r>
        <w:rPr/>
        <w:t>higher, followed by producer prices, while that to import prices was the lowest.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findings also revealed the existence of bidirectional causality only for the case of nominal</w:t>
      </w:r>
      <w:r>
        <w:rPr>
          <w:spacing w:val="-57"/>
        </w:rPr>
        <w:t> </w:t>
      </w:r>
      <w:r>
        <w:rPr/>
        <w:t>effective exchange rate and producer prices. Further, the variance decomposition results</w:t>
      </w:r>
      <w:r>
        <w:rPr>
          <w:spacing w:val="1"/>
        </w:rPr>
        <w:t> </w:t>
      </w:r>
      <w:r>
        <w:rPr/>
        <w:t>indicated that the variance of import and producer prices was explained mainly by oil</w:t>
      </w:r>
      <w:r>
        <w:rPr>
          <w:spacing w:val="1"/>
        </w:rPr>
        <w:t> </w:t>
      </w:r>
      <w:r>
        <w:rPr/>
        <w:t>price shocks while the variance of consumer prices was largely accounted by import price</w:t>
      </w:r>
      <w:r>
        <w:rPr>
          <w:spacing w:val="-57"/>
        </w:rPr>
        <w:t> </w:t>
      </w:r>
      <w:r>
        <w:rPr/>
        <w:t>shocks. This study showed that monetary policy had a role to play in stabilizing prices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 w:before="1"/>
        <w:ind w:left="811" w:right="997"/>
        <w:jc w:val="both"/>
      </w:pPr>
      <w:r>
        <w:rPr/>
        <w:t>Using annual data from 1980 to 2008, Oyinlola and Egwaikhide (2011) applied a Vector</w:t>
      </w:r>
      <w:r>
        <w:rPr>
          <w:spacing w:val="1"/>
        </w:rPr>
        <w:t> </w:t>
      </w:r>
      <w:r>
        <w:rPr/>
        <w:t>error correction model (VECM) to examine the exchange rate pass-through to different</w:t>
      </w:r>
      <w:r>
        <w:rPr>
          <w:spacing w:val="1"/>
        </w:rPr>
        <w:t> </w:t>
      </w:r>
      <w:r>
        <w:rPr/>
        <w:t>measures of domestic price in Nigeria.</w:t>
      </w:r>
      <w:r>
        <w:rPr>
          <w:spacing w:val="1"/>
        </w:rPr>
        <w:t> </w:t>
      </w:r>
      <w:r>
        <w:rPr/>
        <w:t>Apart from the exchange rate and consumer price</w:t>
      </w:r>
      <w:r>
        <w:rPr>
          <w:spacing w:val="1"/>
        </w:rPr>
        <w:t> </w:t>
      </w:r>
      <w:r>
        <w:rPr/>
        <w:t>index variables, the authors also considered other variables, such as money supply, world</w:t>
      </w:r>
      <w:r>
        <w:rPr>
          <w:spacing w:val="1"/>
        </w:rPr>
        <w:t> </w:t>
      </w:r>
      <w:r>
        <w:rPr/>
        <w:t>export price, income and tariff rate.</w:t>
      </w:r>
      <w:r>
        <w:rPr>
          <w:spacing w:val="1"/>
        </w:rPr>
        <w:t> </w:t>
      </w:r>
      <w:r>
        <w:rPr/>
        <w:t>The main finding was that a long run relationship</w:t>
      </w:r>
      <w:r>
        <w:rPr>
          <w:spacing w:val="1"/>
        </w:rPr>
        <w:t> </w:t>
      </w:r>
      <w:r>
        <w:rPr/>
        <w:t>existed between exchange rate and domestic price level, while the short run impact was</w:t>
      </w:r>
      <w:r>
        <w:rPr>
          <w:spacing w:val="1"/>
        </w:rPr>
        <w:t> </w:t>
      </w:r>
      <w:r>
        <w:rPr/>
        <w:t>not quite obvious.    This implies that short run variations in exchange rate might have</w:t>
      </w:r>
      <w:r>
        <w:rPr>
          <w:spacing w:val="1"/>
        </w:rPr>
        <w:t> </w:t>
      </w:r>
      <w:r>
        <w:rPr/>
        <w:t>been anticipated which made the impact not to be clearly observed in the analysis.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40"/>
        </w:rPr>
        <w:t> </w:t>
      </w:r>
      <w:r>
        <w:rPr/>
        <w:t>outcome</w:t>
      </w:r>
      <w:r>
        <w:rPr>
          <w:spacing w:val="45"/>
        </w:rPr>
        <w:t> </w:t>
      </w:r>
      <w:r>
        <w:rPr/>
        <w:t>was</w:t>
      </w:r>
      <w:r>
        <w:rPr>
          <w:spacing w:val="49"/>
        </w:rPr>
        <w:t> </w:t>
      </w:r>
      <w:r>
        <w:rPr/>
        <w:t>that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government</w:t>
      </w:r>
      <w:r>
        <w:rPr>
          <w:spacing w:val="47"/>
        </w:rPr>
        <w:t> </w:t>
      </w:r>
      <w:r>
        <w:rPr/>
        <w:t>should</w:t>
      </w:r>
      <w:r>
        <w:rPr>
          <w:spacing w:val="46"/>
        </w:rPr>
        <w:t> </w:t>
      </w:r>
      <w:r>
        <w:rPr/>
        <w:t>refrain</w:t>
      </w:r>
      <w:r>
        <w:rPr>
          <w:spacing w:val="46"/>
        </w:rPr>
        <w:t> </w:t>
      </w:r>
      <w:r>
        <w:rPr/>
        <w:t>from</w:t>
      </w:r>
      <w:r>
        <w:rPr>
          <w:spacing w:val="47"/>
        </w:rPr>
        <w:t> </w:t>
      </w:r>
      <w:r>
        <w:rPr/>
        <w:t>adopting</w:t>
      </w:r>
      <w:r>
        <w:rPr>
          <w:spacing w:val="46"/>
        </w:rPr>
        <w:t> </w:t>
      </w:r>
      <w:r>
        <w:rPr/>
        <w:t>devaluation</w:t>
      </w:r>
      <w:r>
        <w:rPr>
          <w:spacing w:val="47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1003"/>
        <w:jc w:val="both"/>
      </w:pPr>
      <w:r>
        <w:rPr/>
        <w:t>address domestic price in the short term, however, such a policy might prove useful in the</w:t>
      </w:r>
      <w:r>
        <w:rPr>
          <w:spacing w:val="-57"/>
        </w:rPr>
        <w:t> </w:t>
      </w:r>
      <w:r>
        <w:rPr/>
        <w:t>long</w:t>
      </w:r>
      <w:r>
        <w:rPr>
          <w:spacing w:val="-3"/>
        </w:rPr>
        <w:t> </w:t>
      </w:r>
      <w:r>
        <w:rPr/>
        <w:t>term.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50464">
            <wp:simplePos x="0" y="0"/>
            <wp:positionH relativeFrom="page">
              <wp:posOffset>1485138</wp:posOffset>
            </wp:positionH>
            <wp:positionV relativeFrom="paragraph">
              <wp:posOffset>917614</wp:posOffset>
            </wp:positionV>
            <wp:extent cx="5102225" cy="5044439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Frimpong and Adam (2010) examined the effect of exchange rate changes on consumer</w:t>
      </w:r>
      <w:r>
        <w:rPr>
          <w:spacing w:val="1"/>
        </w:rPr>
        <w:t> </w:t>
      </w:r>
      <w:r>
        <w:rPr/>
        <w:t>prices in Ghana using vector autoregressive (VAR) models. Using a data set covering the</w:t>
      </w:r>
      <w:r>
        <w:rPr>
          <w:spacing w:val="1"/>
        </w:rPr>
        <w:t> </w:t>
      </w:r>
      <w:r>
        <w:rPr/>
        <w:t>period 1990M01 to 2009M02, It was found that exchange rate pass-through to inflation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‗incomplete‘ and</w:t>
      </w:r>
      <w:r>
        <w:rPr>
          <w:spacing w:val="1"/>
        </w:rPr>
        <w:t> </w:t>
      </w:r>
      <w:r>
        <w:rPr/>
        <w:t>decreasing.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811" w:right="995"/>
        <w:jc w:val="both"/>
      </w:pPr>
      <w:r>
        <w:rPr/>
        <w:t>From all the analyses, there has been an extensive application of the Johansen‘s VAR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impulse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decomposition analysis which yielded similar results for countries with similar economic</w:t>
      </w:r>
      <w:r>
        <w:rPr>
          <w:spacing w:val="1"/>
        </w:rPr>
        <w:t> </w:t>
      </w:r>
      <w:r>
        <w:rPr/>
        <w:t>strength.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Autoregressive</w:t>
      </w:r>
      <w:r>
        <w:rPr>
          <w:spacing w:val="1"/>
        </w:rPr>
        <w:t> </w:t>
      </w:r>
      <w:r>
        <w:rPr/>
        <w:t>Distributed Lag (ARDL) and GMM for panel data analysis have not been given adequate</w:t>
      </w:r>
      <w:r>
        <w:rPr>
          <w:spacing w:val="1"/>
        </w:rPr>
        <w:t> </w:t>
      </w:r>
      <w:r>
        <w:rPr/>
        <w:t>attention in empirical work, especially for Sierra Leone.    This study therefore employs</w:t>
      </w:r>
      <w:r>
        <w:rPr>
          <w:spacing w:val="1"/>
        </w:rPr>
        <w:t> </w:t>
      </w:r>
      <w:r>
        <w:rPr/>
        <w:t>the ARDL estimation procedure to determine ERPT in Sierra Leone. The findings might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significant for</w:t>
      </w:r>
      <w:r>
        <w:rPr>
          <w:spacing w:val="-2"/>
        </w:rPr>
        <w:t> </w:t>
      </w:r>
      <w:r>
        <w:rPr/>
        <w:t>policymakers and the country‘s</w:t>
      </w:r>
      <w:r>
        <w:rPr>
          <w:spacing w:val="1"/>
        </w:rPr>
        <w:t> </w:t>
      </w:r>
      <w:r>
        <w:rPr/>
        <w:t>development partners.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0"/>
      </w:pPr>
      <w:bookmarkStart w:name="_TOC_250040" w:id="34"/>
      <w:r>
        <w:rPr/>
        <w:t>CHAPTER</w:t>
      </w:r>
      <w:r>
        <w:rPr>
          <w:spacing w:val="-4"/>
        </w:rPr>
        <w:t> </w:t>
      </w:r>
      <w:bookmarkEnd w:id="34"/>
      <w:r>
        <w:rPr/>
        <w:t>FOUR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Heading1"/>
        <w:spacing w:line="362" w:lineRule="auto" w:before="0"/>
        <w:ind w:left="823"/>
      </w:pPr>
      <w:r>
        <w:rPr/>
        <w:drawing>
          <wp:anchor distT="0" distB="0" distL="0" distR="0" allowOverlap="1" layoutInCell="1" locked="0" behindDoc="1" simplePos="0" relativeHeight="477950976">
            <wp:simplePos x="0" y="0"/>
            <wp:positionH relativeFrom="page">
              <wp:posOffset>1485138</wp:posOffset>
            </wp:positionH>
            <wp:positionV relativeFrom="paragraph">
              <wp:posOffset>65917</wp:posOffset>
            </wp:positionV>
            <wp:extent cx="5102225" cy="5044439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9" w:id="35"/>
      <w:r>
        <w:rPr/>
        <w:t>THEORETICAL</w:t>
      </w:r>
      <w:r>
        <w:rPr>
          <w:spacing w:val="-5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RESEARCH</w:t>
      </w:r>
      <w:r>
        <w:rPr>
          <w:spacing w:val="-67"/>
        </w:rPr>
        <w:t> </w:t>
      </w:r>
      <w:bookmarkEnd w:id="35"/>
      <w:r>
        <w:rPr/>
        <w:t>METHODOLOGY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360" w:lineRule="auto"/>
        <w:ind w:left="811" w:right="999"/>
        <w:jc w:val="both"/>
      </w:pPr>
      <w:r>
        <w:rPr/>
        <w:t>Theoretically,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Keynesian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(elasticities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</w:t>
      </w:r>
      <w:r>
        <w:rPr>
          <w:spacing w:val="18"/>
        </w:rPr>
        <w:t> </w:t>
      </w:r>
      <w:r>
        <w:rPr/>
        <w:t>theories),</w:t>
      </w:r>
      <w:r>
        <w:rPr>
          <w:spacing w:val="17"/>
        </w:rPr>
        <w:t> </w:t>
      </w:r>
      <w:r>
        <w:rPr/>
        <w:t>monetary</w:t>
      </w:r>
      <w:r>
        <w:rPr>
          <w:spacing w:val="13"/>
        </w:rPr>
        <w:t> </w:t>
      </w:r>
      <w:r>
        <w:rPr/>
        <w:t>theories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portfolio</w:t>
      </w:r>
      <w:r>
        <w:rPr>
          <w:spacing w:val="18"/>
        </w:rPr>
        <w:t> </w:t>
      </w:r>
      <w:r>
        <w:rPr/>
        <w:t>balance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asset</w:t>
      </w:r>
      <w:r>
        <w:rPr>
          <w:spacing w:val="20"/>
        </w:rPr>
        <w:t> </w:t>
      </w:r>
      <w:r>
        <w:rPr/>
        <w:t>market</w:t>
      </w:r>
      <w:r>
        <w:rPr>
          <w:spacing w:val="19"/>
        </w:rPr>
        <w:t> </w:t>
      </w:r>
      <w:r>
        <w:rPr/>
        <w:t>theory.</w:t>
      </w:r>
      <w:r>
        <w:rPr>
          <w:spacing w:val="-58"/>
        </w:rPr>
        <w:t> </w:t>
      </w:r>
      <w:r>
        <w:rPr/>
        <w:t>In this chapter, distinction between these theoretical foundations is presented.</w:t>
      </w:r>
      <w:r>
        <w:rPr>
          <w:spacing w:val="1"/>
        </w:rPr>
        <w:t> </w:t>
      </w:r>
      <w:r>
        <w:rPr/>
        <w:t>Also,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methodology;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are explained.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15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38" w:id="36"/>
      <w:r>
        <w:rPr/>
        <w:t>Theoretical</w:t>
      </w:r>
      <w:r>
        <w:rPr>
          <w:spacing w:val="-2"/>
        </w:rPr>
        <w:t> </w:t>
      </w:r>
      <w:bookmarkEnd w:id="36"/>
      <w:r>
        <w:rPr/>
        <w:t>Framework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4"/>
        <w:jc w:val="both"/>
      </w:pPr>
      <w:r>
        <w:rPr/>
        <w:t>The theoretical foundation of this study rests on the theories that explain the instruments</w:t>
      </w:r>
      <w:r>
        <w:rPr>
          <w:spacing w:val="1"/>
        </w:rPr>
        <w:t> </w:t>
      </w:r>
      <w:r>
        <w:rPr/>
        <w:t>for correcting balance of payments (BoP) problem.</w:t>
      </w:r>
      <w:r>
        <w:rPr>
          <w:spacing w:val="1"/>
        </w:rPr>
        <w:t> </w:t>
      </w:r>
      <w:r>
        <w:rPr/>
        <w:t>Such theories have been in existence</w:t>
      </w:r>
      <w:r>
        <w:rPr>
          <w:spacing w:val="1"/>
        </w:rPr>
        <w:t> </w:t>
      </w:r>
      <w:r>
        <w:rPr/>
        <w:t>since 1752 in the work on balance of trade by Hume David.</w:t>
      </w:r>
      <w:r>
        <w:rPr>
          <w:spacing w:val="1"/>
        </w:rPr>
        <w:t> </w:t>
      </w:r>
      <w:r>
        <w:rPr/>
        <w:t>The central issue focused on</w:t>
      </w:r>
      <w:r>
        <w:rPr>
          <w:spacing w:val="1"/>
        </w:rPr>
        <w:t> </w:t>
      </w:r>
      <w:r>
        <w:rPr/>
        <w:t>how an automatic equilibrating mechanism provided by inflows and outflows of money</w:t>
      </w:r>
      <w:r>
        <w:rPr>
          <w:spacing w:val="1"/>
        </w:rPr>
        <w:t> </w:t>
      </w:r>
      <w:r>
        <w:rPr/>
        <w:t>stock influenced adjustments in the BoP position.</w:t>
      </w:r>
      <w:r>
        <w:rPr>
          <w:spacing w:val="1"/>
        </w:rPr>
        <w:t> </w:t>
      </w:r>
      <w:r>
        <w:rPr/>
        <w:t>A more comprehensive analysis of the</w:t>
      </w:r>
      <w:r>
        <w:rPr>
          <w:spacing w:val="1"/>
        </w:rPr>
        <w:t> </w:t>
      </w:r>
      <w:r>
        <w:rPr/>
        <w:t>theory of policy instruments</w:t>
      </w:r>
      <w:r>
        <w:rPr>
          <w:spacing w:val="1"/>
        </w:rPr>
        <w:t> </w:t>
      </w:r>
      <w:r>
        <w:rPr/>
        <w:t>used to correct BoP</w:t>
      </w:r>
      <w:r>
        <w:rPr>
          <w:spacing w:val="60"/>
        </w:rPr>
        <w:t> </w:t>
      </w:r>
      <w:r>
        <w:rPr/>
        <w:t>equilibrium is documented in the work</w:t>
      </w:r>
      <w:r>
        <w:rPr>
          <w:spacing w:val="1"/>
        </w:rPr>
        <w:t> </w:t>
      </w:r>
      <w:r>
        <w:rPr/>
        <w:t>of Meade (1952).</w:t>
      </w:r>
      <w:r>
        <w:rPr>
          <w:spacing w:val="1"/>
        </w:rPr>
        <w:t> </w:t>
      </w:r>
      <w:r>
        <w:rPr/>
        <w:t>The suggestion presented was that a country may offset adverse trends</w:t>
      </w:r>
      <w:r>
        <w:rPr>
          <w:spacing w:val="1"/>
        </w:rPr>
        <w:t> </w:t>
      </w:r>
      <w:r>
        <w:rPr/>
        <w:t>in its BoP through adjustments in the exchange rate policy.</w:t>
      </w:r>
      <w:r>
        <w:rPr>
          <w:spacing w:val="1"/>
        </w:rPr>
        <w:t> </w:t>
      </w:r>
      <w:r>
        <w:rPr/>
        <w:t>The implication here depends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effects on the BoP position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The interactions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are distinguished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approaches</w:t>
      </w:r>
      <w:r>
        <w:rPr>
          <w:spacing w:val="-57"/>
        </w:rPr>
        <w:t> </w:t>
      </w:r>
      <w:r>
        <w:rPr/>
        <w:t>used in analyzing BoP.   These approaches, which include the elasticity, the absorption,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monetary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portfolio</w:t>
      </w:r>
      <w:r>
        <w:rPr>
          <w:spacing w:val="2"/>
        </w:rPr>
        <w:t> </w:t>
      </w:r>
      <w:r>
        <w:rPr/>
        <w:t>balance</w:t>
      </w:r>
      <w:r>
        <w:rPr>
          <w:spacing w:val="6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2"/>
        </w:rPr>
        <w:t> </w:t>
      </w:r>
      <w:r>
        <w:rPr/>
        <w:t>sub-sections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t>study.</w:t>
      </w:r>
      <w:r>
        <w:rPr>
          <w:spacing w:val="1"/>
        </w:rPr>
        <w:t> </w:t>
      </w:r>
      <w:r>
        <w:rPr/>
        <w:t>Exchange rate being a price that influences mainly international prices, affects</w:t>
      </w:r>
      <w:r>
        <w:rPr>
          <w:spacing w:val="1"/>
        </w:rPr>
        <w:t> </w:t>
      </w:r>
      <w:r>
        <w:rPr/>
        <w:t>consumer price index and it is an indirect way of showing how exchange rate alters trade</w:t>
      </w:r>
      <w:r>
        <w:rPr>
          <w:spacing w:val="1"/>
        </w:rPr>
        <w:t> </w:t>
      </w:r>
      <w:r>
        <w:rPr/>
        <w:t>competitiveness.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5"/>
        </w:numPr>
        <w:tabs>
          <w:tab w:pos="1531" w:val="left" w:leader="none"/>
          <w:tab w:pos="1532" w:val="left" w:leader="none"/>
        </w:tabs>
        <w:spacing w:line="240" w:lineRule="auto" w:before="185" w:after="0"/>
        <w:ind w:left="1531" w:right="0" w:hanging="721"/>
        <w:jc w:val="left"/>
      </w:pPr>
      <w:bookmarkStart w:name="_TOC_250037" w:id="37"/>
      <w:r>
        <w:rPr/>
        <w:t>Elasticity</w:t>
      </w:r>
      <w:r>
        <w:rPr>
          <w:spacing w:val="-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7"/>
      <w:r>
        <w:rPr/>
        <w:t>Payments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 w:before="1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51488">
            <wp:simplePos x="0" y="0"/>
            <wp:positionH relativeFrom="page">
              <wp:posOffset>1485138</wp:posOffset>
            </wp:positionH>
            <wp:positionV relativeFrom="paragraph">
              <wp:posOffset>87034</wp:posOffset>
            </wp:positionV>
            <wp:extent cx="5102225" cy="5044439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elasticity approach analyses show how devaluations of exchange rates and the price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focal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devaluation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depreciation influences net exports, which in turn, affects the overall current account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The answer rests on the elasticities of demand of both exports and imports.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Marshall-Lerner condition, which has been greatly considered as the building block of the</w:t>
      </w:r>
      <w:r>
        <w:rPr>
          <w:spacing w:val="-57"/>
        </w:rPr>
        <w:t> </w:t>
      </w:r>
      <w:r>
        <w:rPr/>
        <w:t>elasticity approach to balance of payments reveals that the sum of elasticity of demand for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8"/>
        </w:rPr>
        <w:t> </w:t>
      </w:r>
      <w:r>
        <w:rPr/>
        <w:t>country‘s</w:t>
      </w:r>
      <w:r>
        <w:rPr>
          <w:spacing w:val="8"/>
        </w:rPr>
        <w:t> </w:t>
      </w:r>
      <w:r>
        <w:rPr/>
        <w:t>export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its</w:t>
      </w:r>
      <w:r>
        <w:rPr>
          <w:spacing w:val="9"/>
        </w:rPr>
        <w:t> </w:t>
      </w:r>
      <w:r>
        <w:rPr/>
        <w:t>demand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imports</w:t>
      </w:r>
      <w:r>
        <w:rPr>
          <w:spacing w:val="9"/>
        </w:rPr>
        <w:t> </w:t>
      </w:r>
      <w:r>
        <w:rPr/>
        <w:t>has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greater</w:t>
      </w:r>
      <w:r>
        <w:rPr>
          <w:spacing w:val="8"/>
        </w:rPr>
        <w:t> </w:t>
      </w:r>
      <w:r>
        <w:rPr/>
        <w:t>than</w:t>
      </w:r>
      <w:r>
        <w:rPr>
          <w:spacing w:val="8"/>
        </w:rPr>
        <w:t> </w:t>
      </w:r>
      <w:r>
        <w:rPr/>
        <w:t>unity</w:t>
      </w:r>
      <w:r>
        <w:rPr>
          <w:spacing w:val="38"/>
        </w:rPr>
        <w:t> </w:t>
      </w:r>
      <w:r>
        <w:rPr/>
        <w:t>[(</w:t>
      </w:r>
      <w:r>
        <w:rPr>
          <w:rFonts w:ascii="Symbol" w:hAnsi="Symbol"/>
          <w:sz w:val="25"/>
        </w:rPr>
        <w:t></w:t>
      </w:r>
      <w:r>
        <w:rPr>
          <w:i/>
          <w:sz w:val="25"/>
          <w:vertAlign w:val="subscript"/>
        </w:rPr>
        <w:t>x</w:t>
      </w:r>
      <w:r>
        <w:rPr>
          <w:i/>
          <w:spacing w:val="2"/>
          <w:sz w:val="25"/>
          <w:vertAlign w:val="baseline"/>
        </w:rPr>
        <w:t> </w:t>
      </w:r>
      <w:r>
        <w:rPr>
          <w:rFonts w:ascii="Symbol" w:hAnsi="Symbol"/>
          <w:vertAlign w:val="baseline"/>
        </w:rPr>
        <w:t></w:t>
      </w:r>
      <w:r>
        <w:rPr>
          <w:spacing w:val="-32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</w:t>
      </w:r>
      <w:r>
        <w:rPr>
          <w:i/>
          <w:sz w:val="25"/>
          <w:vertAlign w:val="subscript"/>
        </w:rPr>
        <w:t>m</w:t>
      </w:r>
      <w:r>
        <w:rPr>
          <w:i/>
          <w:spacing w:val="-39"/>
          <w:sz w:val="25"/>
          <w:vertAlign w:val="baseline"/>
        </w:rPr>
        <w:t> </w:t>
      </w:r>
      <w:r>
        <w:rPr>
          <w:vertAlign w:val="baseline"/>
        </w:rPr>
        <w:t>)</w:t>
      </w:r>
      <w:r>
        <w:rPr>
          <w:spacing w:val="-9"/>
          <w:vertAlign w:val="baseline"/>
        </w:rPr>
        <w:t> </w:t>
      </w:r>
      <w:r>
        <w:rPr>
          <w:rFonts w:ascii="Symbol" w:hAnsi="Symbol"/>
          <w:vertAlign w:val="baseline"/>
        </w:rPr>
        <w:t></w:t>
      </w:r>
      <w:r>
        <w:rPr>
          <w:spacing w:val="-37"/>
          <w:vertAlign w:val="baseline"/>
        </w:rPr>
        <w:t> </w:t>
      </w:r>
      <w:r>
        <w:rPr>
          <w:vertAlign w:val="baseline"/>
        </w:rPr>
        <w:t>1]</w:t>
      </w:r>
    </w:p>
    <w:p>
      <w:pPr>
        <w:pStyle w:val="BodyText"/>
        <w:spacing w:line="360" w:lineRule="auto" w:before="38"/>
        <w:ind w:left="811" w:right="995"/>
        <w:jc w:val="both"/>
      </w:pPr>
      <w:r>
        <w:rPr/>
        <w:t>for a devaluation to have a positive effect on a country‘s balance of payments position.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devaluation or depreciation to improve trade performance</w:t>
      </w:r>
      <w:r>
        <w:rPr>
          <w:vertAlign w:val="superscript"/>
        </w:rPr>
        <w:t>30</w:t>
      </w:r>
      <w:r>
        <w:rPr>
          <w:vertAlign w:val="baseline"/>
        </w:rPr>
        <w:t>. This relationship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1"/>
          <w:vertAlign w:val="baseline"/>
        </w:rPr>
        <w:t> </w:t>
      </w:r>
      <w:r>
        <w:rPr>
          <w:vertAlign w:val="baseline"/>
        </w:rPr>
        <w:t>postulated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Marshall-Lerner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has also been considered 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J-Curve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hypothesis.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 w:before="1"/>
        <w:ind w:left="811" w:right="1002"/>
        <w:jc w:val="both"/>
      </w:pPr>
      <w:r>
        <w:rPr/>
        <w:t>Alternatively, if the total of these elasticities is less than one, then the country can instead</w:t>
      </w:r>
      <w:r>
        <w:rPr>
          <w:spacing w:val="1"/>
        </w:rPr>
        <w:t> </w:t>
      </w:r>
      <w:r>
        <w:rPr/>
        <w:t>improve its trade performance by revaluing its domestic currency.</w:t>
      </w:r>
      <w:r>
        <w:rPr>
          <w:spacing w:val="1"/>
        </w:rPr>
        <w:t> </w:t>
      </w:r>
      <w:r>
        <w:rPr/>
        <w:t>This exposition is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algebraically</w:t>
      </w:r>
      <w:r>
        <w:rPr>
          <w:spacing w:val="-5"/>
        </w:rPr>
        <w:t> </w:t>
      </w:r>
      <w:r>
        <w:rPr/>
        <w:t>in equation (4.1):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spacing w:line="306" w:lineRule="exact" w:before="0"/>
        <w:ind w:left="1568" w:right="0" w:firstLine="0"/>
        <w:jc w:val="left"/>
        <w:rPr>
          <w:sz w:val="24"/>
        </w:rPr>
      </w:pPr>
      <w:r>
        <w:rPr>
          <w:rFonts w:ascii="Symbol" w:hAnsi="Symbol"/>
          <w:spacing w:val="-1"/>
          <w:sz w:val="24"/>
        </w:rPr>
        <w:t></w:t>
      </w:r>
      <w:r>
        <w:rPr>
          <w:i/>
          <w:spacing w:val="-1"/>
          <w:sz w:val="24"/>
        </w:rPr>
        <w:t>TB</w:t>
      </w:r>
      <w:r>
        <w:rPr>
          <w:i/>
          <w:spacing w:val="-8"/>
          <w:sz w:val="24"/>
        </w:rPr>
        <w:t> </w:t>
      </w:r>
      <w:r>
        <w:rPr>
          <w:rFonts w:ascii="Symbol" w:hAnsi="Symbol"/>
          <w:spacing w:val="-1"/>
          <w:sz w:val="24"/>
        </w:rPr>
        <w:t></w:t>
      </w:r>
      <w:r>
        <w:rPr>
          <w:spacing w:val="-4"/>
          <w:sz w:val="24"/>
        </w:rPr>
        <w:t> </w:t>
      </w:r>
      <w:r>
        <w:rPr>
          <w:i/>
          <w:sz w:val="24"/>
        </w:rPr>
        <w:t>DXf</w:t>
      </w:r>
      <w:r>
        <w:rPr>
          <w:i/>
          <w:spacing w:val="-6"/>
          <w:sz w:val="24"/>
        </w:rPr>
        <w:t> </w:t>
      </w:r>
      <w:r>
        <w:rPr>
          <w:sz w:val="24"/>
        </w:rPr>
        <w:t>(</w:t>
      </w:r>
      <w:r>
        <w:rPr>
          <w:rFonts w:ascii="Symbol" w:hAnsi="Symbol"/>
          <w:sz w:val="25"/>
        </w:rPr>
        <w:t></w:t>
      </w:r>
      <w:r>
        <w:rPr>
          <w:sz w:val="25"/>
          <w:vertAlign w:val="subscript"/>
        </w:rPr>
        <w:t>1</w:t>
      </w:r>
      <w:r>
        <w:rPr>
          <w:i/>
          <w:sz w:val="25"/>
          <w:vertAlign w:val="subscript"/>
        </w:rPr>
        <w:t>m</w:t>
      </w:r>
      <w:r>
        <w:rPr>
          <w:i/>
          <w:spacing w:val="-2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</w:t>
      </w:r>
      <w:r>
        <w:rPr>
          <w:spacing w:val="-33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</w:t>
      </w:r>
      <w:r>
        <w:rPr>
          <w:sz w:val="25"/>
          <w:vertAlign w:val="subscript"/>
        </w:rPr>
        <w:t>2</w:t>
      </w:r>
      <w:r>
        <w:rPr>
          <w:i/>
          <w:sz w:val="25"/>
          <w:vertAlign w:val="subscript"/>
        </w:rPr>
        <w:t>m</w:t>
      </w:r>
      <w:r>
        <w:rPr>
          <w:i/>
          <w:spacing w:val="-39"/>
          <w:sz w:val="25"/>
          <w:vertAlign w:val="baseline"/>
        </w:rPr>
        <w:t> </w:t>
      </w:r>
      <w:r>
        <w:rPr>
          <w:sz w:val="24"/>
          <w:vertAlign w:val="baseline"/>
        </w:rPr>
        <w:t>)</w:t>
      </w:r>
    </w:p>
    <w:p>
      <w:pPr>
        <w:pStyle w:val="BodyText"/>
        <w:spacing w:before="182"/>
        <w:ind w:left="811"/>
      </w:pPr>
      <w:r>
        <w:rPr/>
        <w:t>Where</w:t>
      </w:r>
      <w:r>
        <w:rPr>
          <w:spacing w:val="38"/>
        </w:rPr>
        <w:t> </w:t>
      </w:r>
      <w:r>
        <w:rPr>
          <w:rFonts w:ascii="Symbol" w:hAnsi="Symbol"/>
        </w:rPr>
        <w:t></w:t>
      </w:r>
      <w:r>
        <w:rPr>
          <w:i/>
        </w:rPr>
        <w:t>TB</w:t>
      </w:r>
      <w:r>
        <w:rPr>
          <w:i/>
          <w:spacing w:val="-7"/>
        </w:rPr>
        <w:t> </w:t>
      </w:r>
      <w:r>
        <w:rPr>
          <w:rFonts w:ascii="Symbol" w:hAnsi="Symbol"/>
        </w:rPr>
        <w:t></w:t>
      </w:r>
      <w:r>
        <w:rPr>
          <w:spacing w:val="-22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 trade</w:t>
      </w:r>
      <w:r>
        <w:rPr>
          <w:spacing w:val="1"/>
        </w:rPr>
        <w:t> </w:t>
      </w:r>
      <w:r>
        <w:rPr/>
        <w:t>balance</w:t>
      </w:r>
    </w:p>
    <w:p>
      <w:pPr>
        <w:pStyle w:val="BodyText"/>
        <w:spacing w:before="136"/>
        <w:ind w:left="1755"/>
      </w:pPr>
      <w:r>
        <w:rPr>
          <w:i/>
          <w:spacing w:val="-1"/>
        </w:rPr>
        <w:t>D</w:t>
      </w:r>
      <w:r>
        <w:rPr>
          <w:i/>
          <w:spacing w:val="-18"/>
        </w:rPr>
        <w:t> </w:t>
      </w:r>
      <w:r>
        <w:rPr>
          <w:spacing w:val="-1"/>
        </w:rPr>
        <w:t>= The</w:t>
      </w:r>
      <w:r>
        <w:rPr>
          <w:spacing w:val="-2"/>
        </w:rPr>
        <w:t> </w:t>
      </w:r>
      <w:r>
        <w:rPr/>
        <w:t>devaluation in percentage</w:t>
      </w:r>
    </w:p>
    <w:p>
      <w:pPr>
        <w:pStyle w:val="BodyText"/>
        <w:spacing w:before="127"/>
        <w:ind w:left="1647"/>
      </w:pPr>
      <w:r>
        <w:rPr>
          <w:i/>
        </w:rPr>
        <w:t>Xf</w:t>
      </w:r>
      <w:r>
        <w:rPr>
          <w:i/>
          <w:spacing w:val="47"/>
        </w:rPr>
        <w:t> </w:t>
      </w:r>
      <w:r>
        <w:rPr>
          <w:rFonts w:ascii="Symbol" w:hAnsi="Symbol"/>
        </w:rPr>
        <w:t></w:t>
      </w:r>
      <w:r>
        <w:rPr>
          <w:spacing w:val="45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 of exports expressed in foreign currency</w:t>
      </w:r>
    </w:p>
    <w:p>
      <w:pPr>
        <w:pStyle w:val="BodyText"/>
        <w:spacing w:before="173"/>
        <w:ind w:left="1617"/>
      </w:pPr>
      <w:r>
        <w:rPr>
          <w:rFonts w:ascii="Symbol" w:hAnsi="Symbol"/>
          <w:sz w:val="25"/>
        </w:rPr>
        <w:t></w:t>
      </w:r>
      <w:r>
        <w:rPr>
          <w:sz w:val="25"/>
          <w:vertAlign w:val="subscript"/>
        </w:rPr>
        <w:t>1</w:t>
      </w:r>
      <w:r>
        <w:rPr>
          <w:i/>
          <w:sz w:val="25"/>
          <w:vertAlign w:val="subscript"/>
        </w:rPr>
        <w:t>m</w:t>
      </w:r>
      <w:r>
        <w:rPr>
          <w:i/>
          <w:spacing w:val="12"/>
          <w:sz w:val="25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first</w:t>
      </w:r>
      <w:r>
        <w:rPr>
          <w:spacing w:val="-2"/>
          <w:vertAlign w:val="baseline"/>
        </w:rPr>
        <w:t> </w:t>
      </w:r>
      <w:r>
        <w:rPr>
          <w:vertAlign w:val="baseline"/>
        </w:rPr>
        <w:t>(devaluing)</w:t>
      </w:r>
      <w:r>
        <w:rPr>
          <w:spacing w:val="-3"/>
          <w:vertAlign w:val="baseline"/>
        </w:rPr>
        <w:t> </w:t>
      </w:r>
      <w:r>
        <w:rPr>
          <w:vertAlign w:val="baseline"/>
        </w:rPr>
        <w:t>country‘s</w:t>
      </w:r>
      <w:r>
        <w:rPr>
          <w:spacing w:val="-3"/>
          <w:vertAlign w:val="baseline"/>
        </w:rPr>
        <w:t> </w:t>
      </w:r>
      <w:r>
        <w:rPr>
          <w:vertAlign w:val="baseline"/>
        </w:rPr>
        <w:t>demand</w:t>
      </w:r>
      <w:r>
        <w:rPr>
          <w:spacing w:val="-3"/>
          <w:vertAlign w:val="baseline"/>
        </w:rPr>
        <w:t> </w:t>
      </w:r>
      <w:r>
        <w:rPr>
          <w:vertAlign w:val="baseline"/>
        </w:rPr>
        <w:t>elasticity</w:t>
      </w:r>
      <w:r>
        <w:rPr>
          <w:spacing w:val="-6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imports</w:t>
      </w:r>
    </w:p>
    <w:p>
      <w:pPr>
        <w:pStyle w:val="BodyText"/>
        <w:spacing w:before="26"/>
        <w:ind w:left="32"/>
      </w:pPr>
      <w:r>
        <w:rPr/>
        <w:br w:type="column"/>
      </w:r>
      <w:r>
        <w:rPr/>
        <w:t>(4.1)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8042" w:space="40"/>
            <w:col w:w="2398"/>
          </w:cols>
        </w:sectPr>
      </w:pPr>
    </w:p>
    <w:p>
      <w:pPr>
        <w:pStyle w:val="BodyText"/>
        <w:spacing w:line="393" w:lineRule="auto" w:before="193"/>
        <w:ind w:left="2251" w:right="993" w:hanging="695"/>
      </w:pPr>
      <w:r>
        <w:rPr/>
        <w:pict>
          <v:rect style="position:absolute;margin-left:106.580002pt;margin-top:58.097115pt;width:144.020pt;height:.72003pt;mso-position-horizontal-relative:page;mso-position-vertical-relative:paragraph;z-index:-25364480" filled="true" fillcolor="#000000" stroked="false">
            <v:fill type="solid"/>
            <w10:wrap type="none"/>
          </v:rect>
        </w:pict>
      </w:r>
      <w:r>
        <w:rPr>
          <w:rFonts w:ascii="Symbol" w:hAnsi="Symbol"/>
          <w:sz w:val="25"/>
        </w:rPr>
        <w:t></w:t>
      </w:r>
      <w:r>
        <w:rPr>
          <w:sz w:val="25"/>
          <w:vertAlign w:val="subscript"/>
        </w:rPr>
        <w:t>2</w:t>
      </w:r>
      <w:r>
        <w:rPr>
          <w:i/>
          <w:sz w:val="25"/>
          <w:vertAlign w:val="subscript"/>
        </w:rPr>
        <w:t>m</w:t>
      </w:r>
      <w:r>
        <w:rPr>
          <w:i/>
          <w:spacing w:val="15"/>
          <w:sz w:val="25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second</w:t>
      </w:r>
      <w:r>
        <w:rPr>
          <w:spacing w:val="52"/>
          <w:vertAlign w:val="baseline"/>
        </w:rPr>
        <w:t> </w:t>
      </w:r>
      <w:r>
        <w:rPr>
          <w:vertAlign w:val="baseline"/>
        </w:rPr>
        <w:t>country‘s</w:t>
      </w:r>
      <w:r>
        <w:rPr>
          <w:spacing w:val="52"/>
          <w:vertAlign w:val="baseline"/>
        </w:rPr>
        <w:t> </w:t>
      </w:r>
      <w:r>
        <w:rPr>
          <w:vertAlign w:val="baseline"/>
        </w:rPr>
        <w:t>demand</w:t>
      </w:r>
      <w:r>
        <w:rPr>
          <w:spacing w:val="49"/>
          <w:vertAlign w:val="baseline"/>
        </w:rPr>
        <w:t> </w:t>
      </w:r>
      <w:r>
        <w:rPr>
          <w:vertAlign w:val="baseline"/>
        </w:rPr>
        <w:t>elasticity</w:t>
      </w:r>
      <w:r>
        <w:rPr>
          <w:spacing w:val="45"/>
          <w:vertAlign w:val="baseline"/>
        </w:rPr>
        <w:t> </w:t>
      </w:r>
      <w:r>
        <w:rPr>
          <w:vertAlign w:val="baseline"/>
        </w:rPr>
        <w:t>for</w:t>
      </w:r>
      <w:r>
        <w:rPr>
          <w:spacing w:val="51"/>
          <w:vertAlign w:val="baseline"/>
        </w:rPr>
        <w:t> </w:t>
      </w:r>
      <w:r>
        <w:rPr>
          <w:vertAlign w:val="baseline"/>
        </w:rPr>
        <w:t>exports</w:t>
      </w:r>
      <w:r>
        <w:rPr>
          <w:spacing w:val="50"/>
          <w:vertAlign w:val="baseline"/>
        </w:rPr>
        <w:t> </w:t>
      </w:r>
      <w:r>
        <w:rPr>
          <w:vertAlign w:val="baseline"/>
        </w:rPr>
        <w:t>from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devaluing</w:t>
      </w:r>
      <w:r>
        <w:rPr>
          <w:spacing w:val="-57"/>
          <w:vertAlign w:val="baseline"/>
        </w:rPr>
        <w:t> </w:t>
      </w:r>
      <w:r>
        <w:rPr>
          <w:vertAlign w:val="baseline"/>
        </w:rPr>
        <w:t>country</w:t>
      </w:r>
    </w:p>
    <w:p>
      <w:pPr>
        <w:spacing w:before="125"/>
        <w:ind w:left="811" w:right="1001" w:firstLine="0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z w:val="20"/>
          <w:vertAlign w:val="baseline"/>
        </w:rPr>
        <w:t> Krugman and Obstfeld (1997) also support that if the sum of the absolute value of the two demand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elasticities does not satisfy the Marshall-Lerner condition, then devaluation would increase current account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deficit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or reduce surplus.</w:t>
      </w:r>
    </w:p>
    <w:p>
      <w:pPr>
        <w:spacing w:after="0"/>
        <w:jc w:val="both"/>
        <w:rPr>
          <w:sz w:val="2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before="90"/>
        <w:ind w:left="811"/>
        <w:jc w:val="both"/>
      </w:pPr>
      <w:r>
        <w:rPr>
          <w:w w:val="95"/>
        </w:rPr>
        <w:t>Thus,</w:t>
      </w:r>
      <w:r>
        <w:rPr>
          <w:spacing w:val="56"/>
          <w:w w:val="95"/>
        </w:rPr>
        <w:t> </w:t>
      </w:r>
      <w:r>
        <w:rPr>
          <w:rFonts w:ascii="Symbol" w:hAnsi="Symbol"/>
          <w:w w:val="95"/>
          <w:sz w:val="25"/>
        </w:rPr>
        <w:t></w:t>
      </w:r>
      <w:r>
        <w:rPr>
          <w:w w:val="95"/>
          <w:sz w:val="25"/>
          <w:vertAlign w:val="subscript"/>
        </w:rPr>
        <w:t>1</w:t>
      </w:r>
      <w:r>
        <w:rPr>
          <w:i/>
          <w:w w:val="95"/>
          <w:sz w:val="25"/>
          <w:vertAlign w:val="subscript"/>
        </w:rPr>
        <w:t>m</w:t>
      </w:r>
      <w:r>
        <w:rPr>
          <w:i/>
          <w:spacing w:val="23"/>
          <w:w w:val="95"/>
          <w:sz w:val="25"/>
          <w:vertAlign w:val="baseline"/>
        </w:rPr>
        <w:t> </w:t>
      </w:r>
      <w:r>
        <w:rPr>
          <w:rFonts w:ascii="Symbol" w:hAnsi="Symbol"/>
          <w:w w:val="95"/>
          <w:vertAlign w:val="baseline"/>
        </w:rPr>
        <w:t></w:t>
      </w:r>
      <w:r>
        <w:rPr>
          <w:spacing w:val="-20"/>
          <w:w w:val="95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</w:t>
      </w:r>
      <w:r>
        <w:rPr>
          <w:w w:val="95"/>
          <w:sz w:val="25"/>
          <w:vertAlign w:val="subscript"/>
        </w:rPr>
        <w:t>2</w:t>
      </w:r>
      <w:r>
        <w:rPr>
          <w:i/>
          <w:w w:val="95"/>
          <w:sz w:val="25"/>
          <w:vertAlign w:val="subscript"/>
        </w:rPr>
        <w:t>m</w:t>
      </w:r>
      <w:r>
        <w:rPr>
          <w:i/>
          <w:spacing w:val="42"/>
          <w:w w:val="95"/>
          <w:sz w:val="25"/>
          <w:vertAlign w:val="baseline"/>
        </w:rPr>
        <w:t> </w:t>
      </w:r>
      <w:r>
        <w:rPr>
          <w:rFonts w:ascii="Symbol" w:hAnsi="Symbol"/>
          <w:w w:val="95"/>
          <w:vertAlign w:val="baseline"/>
        </w:rPr>
        <w:t></w:t>
      </w:r>
      <w:r>
        <w:rPr>
          <w:spacing w:val="-25"/>
          <w:w w:val="95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39"/>
          <w:w w:val="95"/>
          <w:vertAlign w:val="baseline"/>
        </w:rPr>
        <w:t> </w:t>
      </w:r>
      <w:r>
        <w:rPr>
          <w:w w:val="95"/>
          <w:vertAlign w:val="baseline"/>
        </w:rPr>
        <w:t>for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Marshall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Learner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condition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to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be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satisfied.</w:t>
      </w:r>
    </w:p>
    <w:p>
      <w:pPr>
        <w:pStyle w:val="BodyText"/>
        <w:spacing w:line="360" w:lineRule="auto" w:before="195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52512">
            <wp:simplePos x="0" y="0"/>
            <wp:positionH relativeFrom="page">
              <wp:posOffset>1485138</wp:posOffset>
            </wp:positionH>
            <wp:positionV relativeFrom="paragraph">
              <wp:posOffset>1403516</wp:posOffset>
            </wp:positionV>
            <wp:extent cx="5102225" cy="5044439"/>
            <wp:effectExtent l="0" t="0" r="0" b="0"/>
            <wp:wrapNone/>
            <wp:docPr id="14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approach essentially identifies the condition under which changes in exchange rate</w:t>
      </w:r>
      <w:r>
        <w:rPr>
          <w:spacing w:val="1"/>
        </w:rPr>
        <w:t> </w:t>
      </w:r>
      <w:r>
        <w:rPr/>
        <w:t>would restore balance of payments equilibrium.</w:t>
      </w:r>
      <w:r>
        <w:rPr>
          <w:spacing w:val="1"/>
        </w:rPr>
        <w:t> </w:t>
      </w:r>
      <w:r>
        <w:rPr/>
        <w:t>Its main focus is on the current account,</w:t>
      </w:r>
      <w:r>
        <w:rPr>
          <w:spacing w:val="1"/>
        </w:rPr>
        <w:t> </w:t>
      </w:r>
      <w:r>
        <w:rPr/>
        <w:t>which requires that the demand elasticity be computed.</w:t>
      </w:r>
      <w:r>
        <w:rPr>
          <w:spacing w:val="60"/>
        </w:rPr>
        <w:t> </w:t>
      </w:r>
      <w:r>
        <w:rPr/>
        <w:t>According to   Crockett (1977),</w:t>
      </w:r>
      <w:r>
        <w:rPr>
          <w:spacing w:val="1"/>
        </w:rPr>
        <w:t> </w:t>
      </w:r>
      <w:r>
        <w:rPr/>
        <w:t>the approach is the most efficient mechanism of balance of payments adjustments and</w:t>
      </w:r>
      <w:r>
        <w:rPr>
          <w:spacing w:val="1"/>
        </w:rPr>
        <w:t> </w:t>
      </w:r>
      <w:r>
        <w:rPr/>
        <w:t>suggests the analysis of demand elasticity as the analytical tool by which policies in the</w:t>
      </w:r>
      <w:r>
        <w:rPr>
          <w:spacing w:val="1"/>
        </w:rPr>
        <w:t> </w:t>
      </w:r>
      <w:r>
        <w:rPr/>
        <w:t>exchange rate can be chosen so as to form equilibrium.</w:t>
      </w:r>
      <w:r>
        <w:rPr>
          <w:spacing w:val="1"/>
        </w:rPr>
        <w:t> </w:t>
      </w:r>
      <w:r>
        <w:rPr/>
        <w:t>The issue that has continued to</w:t>
      </w:r>
      <w:r>
        <w:rPr>
          <w:spacing w:val="1"/>
        </w:rPr>
        <w:t> </w:t>
      </w:r>
      <w:r>
        <w:rPr/>
        <w:t>pose constraints is that most developing countries especially those of the 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exporters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importers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finished products.</w:t>
      </w:r>
      <w:r>
        <w:rPr>
          <w:spacing w:val="1"/>
        </w:rPr>
        <w:t> </w:t>
      </w:r>
      <w:r>
        <w:rPr/>
        <w:t>As a policy caution, adopting devaluation as a means of correcting</w:t>
      </w:r>
      <w:r>
        <w:rPr>
          <w:spacing w:val="1"/>
        </w:rPr>
        <w:t> </w:t>
      </w:r>
      <w:r>
        <w:rPr/>
        <w:t>balance of payments disequilibrium might not be successful due to the low values of the</w:t>
      </w:r>
      <w:r>
        <w:rPr>
          <w:spacing w:val="1"/>
        </w:rPr>
        <w:t> </w:t>
      </w:r>
      <w:r>
        <w:rPr/>
        <w:t>elasticity</w:t>
      </w:r>
      <w:r>
        <w:rPr>
          <w:spacing w:val="-5"/>
        </w:rPr>
        <w:t> </w:t>
      </w:r>
      <w:r>
        <w:rPr/>
        <w:t>of demand 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exports.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811" w:right="996"/>
        <w:jc w:val="both"/>
      </w:pPr>
      <w:r>
        <w:rPr/>
        <w:t>Presented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  <w:r>
        <w:rPr>
          <w:spacing w:val="9"/>
        </w:rPr>
        <w:t> </w:t>
      </w:r>
      <w:r>
        <w:rPr/>
        <w:t>4.1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framework</w:t>
      </w:r>
      <w:r>
        <w:rPr>
          <w:spacing w:val="10"/>
        </w:rPr>
        <w:t> </w:t>
      </w:r>
      <w:r>
        <w:rPr/>
        <w:t>showing</w:t>
      </w:r>
      <w:r>
        <w:rPr>
          <w:spacing w:val="11"/>
        </w:rPr>
        <w:t> </w:t>
      </w:r>
      <w:r>
        <w:rPr/>
        <w:t>how</w:t>
      </w:r>
      <w:r>
        <w:rPr>
          <w:spacing w:val="11"/>
        </w:rPr>
        <w:t> </w:t>
      </w:r>
      <w:r>
        <w:rPr/>
        <w:t>exchange</w:t>
      </w:r>
      <w:r>
        <w:rPr>
          <w:spacing w:val="9"/>
        </w:rPr>
        <w:t> </w:t>
      </w:r>
      <w:r>
        <w:rPr/>
        <w:t>rate</w:t>
      </w:r>
      <w:r>
        <w:rPr>
          <w:spacing w:val="11"/>
        </w:rPr>
        <w:t> </w:t>
      </w:r>
      <w:r>
        <w:rPr/>
        <w:t>behaviour</w:t>
      </w:r>
      <w:r>
        <w:rPr>
          <w:spacing w:val="10"/>
        </w:rPr>
        <w:t> </w:t>
      </w:r>
      <w:r>
        <w:rPr/>
        <w:t>influences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competitiveness,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adjust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BoP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competitiveness,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nominal exchange rate must depreciate.</w:t>
      </w:r>
      <w:r>
        <w:rPr>
          <w:spacing w:val="1"/>
        </w:rPr>
        <w:t> </w:t>
      </w:r>
      <w:r>
        <w:rPr/>
        <w:t>Trade competitiveness is generally measured</w:t>
      </w:r>
      <w:r>
        <w:rPr>
          <w:spacing w:val="1"/>
        </w:rPr>
        <w:t> </w:t>
      </w:r>
      <w:r>
        <w:rPr/>
        <w:t>using the behaviour of the real exchange rate (RER) in terms of bi-lateral trade or real</w:t>
      </w:r>
      <w:r>
        <w:rPr>
          <w:spacing w:val="1"/>
        </w:rPr>
        <w:t> </w:t>
      </w:r>
      <w:r>
        <w:rPr/>
        <w:t>effective</w:t>
      </w:r>
      <w:r>
        <w:rPr>
          <w:spacing w:val="9"/>
        </w:rPr>
        <w:t> </w:t>
      </w:r>
      <w:r>
        <w:rPr/>
        <w:t>exchange</w:t>
      </w:r>
      <w:r>
        <w:rPr>
          <w:spacing w:val="9"/>
        </w:rPr>
        <w:t> </w:t>
      </w:r>
      <w:r>
        <w:rPr/>
        <w:t>rate</w:t>
      </w:r>
      <w:r>
        <w:rPr>
          <w:spacing w:val="12"/>
        </w:rPr>
        <w:t> </w:t>
      </w:r>
      <w:r>
        <w:rPr/>
        <w:t>(REER)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multi-lateral</w:t>
      </w:r>
      <w:r>
        <w:rPr>
          <w:spacing w:val="11"/>
        </w:rPr>
        <w:t> </w:t>
      </w:r>
      <w:r>
        <w:rPr/>
        <w:t>trade.</w:t>
      </w:r>
      <w:r>
        <w:rPr>
          <w:spacing w:val="32"/>
        </w:rPr>
        <w:t> </w:t>
      </w: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11"/>
        </w:rPr>
        <w:t> </w:t>
      </w:r>
      <w:r>
        <w:rPr/>
        <w:t>commonly</w:t>
      </w:r>
      <w:r>
        <w:rPr>
          <w:spacing w:val="3"/>
        </w:rPr>
        <w:t> </w:t>
      </w:r>
      <w:r>
        <w:rPr/>
        <w:t>used</w:t>
      </w:r>
    </w:p>
    <w:p>
      <w:pPr>
        <w:spacing w:line="149" w:lineRule="exact" w:before="37"/>
        <w:ind w:left="0" w:right="1787" w:firstLine="0"/>
        <w:jc w:val="right"/>
        <w:rPr>
          <w:sz w:val="14"/>
        </w:rPr>
      </w:pPr>
      <w:r>
        <w:rPr>
          <w:i/>
          <w:position w:val="-10"/>
          <w:sz w:val="24"/>
        </w:rPr>
        <w:t>P</w:t>
      </w:r>
      <w:r>
        <w:rPr>
          <w:sz w:val="14"/>
        </w:rPr>
        <w:t>*</w:t>
      </w:r>
    </w:p>
    <w:p>
      <w:pPr>
        <w:spacing w:after="0" w:line="149" w:lineRule="exact"/>
        <w:jc w:val="right"/>
        <w:rPr>
          <w:sz w:val="14"/>
        </w:rPr>
        <w:sectPr>
          <w:pgSz w:w="12240" w:h="15840"/>
          <w:pgMar w:header="0" w:footer="1015" w:top="1340" w:bottom="1200" w:left="1320" w:right="440"/>
        </w:sectPr>
      </w:pPr>
    </w:p>
    <w:p>
      <w:pPr>
        <w:pStyle w:val="BodyText"/>
        <w:spacing w:before="16"/>
        <w:ind w:left="811"/>
      </w:pPr>
      <w:r>
        <w:rPr/>
        <w:t>methodology</w:t>
      </w:r>
      <w:r>
        <w:rPr>
          <w:spacing w:val="2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purchasing</w:t>
      </w:r>
      <w:r>
        <w:rPr>
          <w:spacing w:val="5"/>
        </w:rPr>
        <w:t> </w:t>
      </w:r>
      <w:r>
        <w:rPr/>
        <w:t>power</w:t>
      </w:r>
      <w:r>
        <w:rPr>
          <w:spacing w:val="7"/>
        </w:rPr>
        <w:t> </w:t>
      </w:r>
      <w:r>
        <w:rPr/>
        <w:t>parity</w:t>
      </w:r>
      <w:r>
        <w:rPr>
          <w:spacing w:val="2"/>
        </w:rPr>
        <w:t> </w:t>
      </w:r>
      <w:r>
        <w:rPr/>
        <w:t>(PPP)</w:t>
      </w:r>
      <w:r>
        <w:rPr>
          <w:spacing w:val="6"/>
        </w:rPr>
        <w:t> </w:t>
      </w:r>
      <w:r>
        <w:rPr/>
        <w:t>based</w:t>
      </w:r>
      <w:r>
        <w:rPr>
          <w:spacing w:val="7"/>
        </w:rPr>
        <w:t> </w:t>
      </w:r>
      <w:r>
        <w:rPr/>
        <w:t>RER</w:t>
      </w:r>
      <w:r>
        <w:rPr>
          <w:spacing w:val="7"/>
        </w:rPr>
        <w:t> </w:t>
      </w:r>
      <w:r>
        <w:rPr/>
        <w:t>formula,</w:t>
      </w:r>
    </w:p>
    <w:p>
      <w:pPr>
        <w:spacing w:line="249" w:lineRule="exact" w:before="0"/>
        <w:ind w:left="72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R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> </w:t>
      </w:r>
      <w:r>
        <w:rPr>
          <w:i/>
          <w:sz w:val="24"/>
        </w:rPr>
        <w:t>E</w:t>
      </w:r>
    </w:p>
    <w:p>
      <w:pPr>
        <w:spacing w:line="231" w:lineRule="exact" w:before="0"/>
        <w:ind w:left="734" w:right="0" w:firstLine="0"/>
        <w:jc w:val="left"/>
        <w:rPr>
          <w:i/>
          <w:sz w:val="24"/>
        </w:rPr>
      </w:pPr>
      <w:r>
        <w:rPr>
          <w:i/>
          <w:w w:val="101"/>
          <w:sz w:val="24"/>
        </w:rPr>
        <w:t>P</w:t>
      </w:r>
    </w:p>
    <w:p>
      <w:pPr>
        <w:pStyle w:val="BodyText"/>
        <w:spacing w:before="16"/>
        <w:ind w:left="134"/>
      </w:pPr>
      <w:r>
        <w:rPr/>
        <w:br w:type="column"/>
      </w:r>
      <w:r>
        <w:rPr/>
        <w:t>where,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3" w:equalWidth="0">
            <w:col w:w="7740" w:space="40"/>
            <w:col w:w="883" w:space="39"/>
            <w:col w:w="1778"/>
          </w:cols>
        </w:sectPr>
      </w:pPr>
    </w:p>
    <w:p>
      <w:pPr>
        <w:pStyle w:val="BodyText"/>
        <w:spacing w:line="360" w:lineRule="auto" w:before="131"/>
        <w:ind w:left="811" w:right="996"/>
        <w:jc w:val="both"/>
      </w:pPr>
      <w:r>
        <w:rPr>
          <w:i/>
        </w:rPr>
        <w:t>E </w:t>
      </w:r>
      <w:r>
        <w:rPr/>
        <w:t>is nominal exchange rate, </w:t>
      </w:r>
      <w:r>
        <w:rPr>
          <w:i/>
        </w:rPr>
        <w:t>P* </w:t>
      </w:r>
      <w:r>
        <w:rPr/>
        <w:t>and </w:t>
      </w:r>
      <w:r>
        <w:rPr>
          <w:i/>
        </w:rPr>
        <w:t>P </w:t>
      </w:r>
      <w:r>
        <w:rPr/>
        <w:t>are respectively, the foreign and domestic price</w:t>
      </w:r>
      <w:r>
        <w:rPr>
          <w:spacing w:val="1"/>
        </w:rPr>
        <w:t> </w:t>
      </w:r>
      <w:r>
        <w:rPr/>
        <w:t>levels.</w:t>
      </w:r>
      <w:r>
        <w:rPr>
          <w:spacing w:val="61"/>
        </w:rPr>
        <w:t> </w:t>
      </w:r>
      <w:r>
        <w:rPr/>
        <w:t>Domestic price level has substantial influence in determining RER.   An increase</w:t>
      </w:r>
      <w:r>
        <w:rPr>
          <w:spacing w:val="1"/>
        </w:rPr>
        <w:t> </w:t>
      </w:r>
      <w:r>
        <w:rPr/>
        <w:t>in domestic price level at a rate relatively higher than that of the foreign price levels</w:t>
      </w:r>
      <w:r>
        <w:rPr>
          <w:spacing w:val="1"/>
        </w:rPr>
        <w:t> </w:t>
      </w:r>
      <w:r>
        <w:rPr/>
        <w:t>directly affects the RER in terms of appreciation of the domestic currency.</w:t>
      </w:r>
      <w:r>
        <w:rPr>
          <w:spacing w:val="1"/>
        </w:rPr>
        <w:t> </w:t>
      </w:r>
      <w:r>
        <w:rPr/>
        <w:t>In real terms,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erode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devaluation in turn leads to an increase in the domestic price level.</w:t>
      </w:r>
      <w:r>
        <w:rPr>
          <w:spacing w:val="1"/>
        </w:rPr>
        <w:t> </w:t>
      </w:r>
      <w:r>
        <w:rPr/>
        <w:t>This happens through</w:t>
      </w:r>
      <w:r>
        <w:rPr>
          <w:spacing w:val="1"/>
        </w:rPr>
        <w:t> </w:t>
      </w:r>
      <w:r>
        <w:rPr/>
        <w:t>the following channel.</w:t>
      </w:r>
      <w:r>
        <w:rPr>
          <w:spacing w:val="1"/>
        </w:rPr>
        <w:t> </w:t>
      </w:r>
      <w:r>
        <w:rPr/>
        <w:t>A depreciation of the local currency increases the import prices as</w:t>
      </w:r>
      <w:r>
        <w:rPr>
          <w:spacing w:val="-57"/>
        </w:rPr>
        <w:t> </w:t>
      </w:r>
      <w:r>
        <w:rPr/>
        <w:t>more of the local currency must be offered to acquire the foreign currency required to</w:t>
      </w:r>
      <w:r>
        <w:rPr>
          <w:spacing w:val="1"/>
        </w:rPr>
        <w:t> </w:t>
      </w:r>
      <w:r>
        <w:rPr/>
        <w:t>import the goods.</w:t>
      </w:r>
      <w:r>
        <w:rPr>
          <w:spacing w:val="1"/>
        </w:rPr>
        <w:t> </w:t>
      </w:r>
      <w:r>
        <w:rPr/>
        <w:t>The high import prices will make importers to increase the domestic</w:t>
      </w:r>
      <w:r>
        <w:rPr>
          <w:spacing w:val="1"/>
        </w:rPr>
        <w:t> </w:t>
      </w:r>
      <w:r>
        <w:rPr/>
        <w:t>price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imported</w:t>
      </w:r>
      <w:r>
        <w:rPr>
          <w:spacing w:val="25"/>
        </w:rPr>
        <w:t> </w:t>
      </w:r>
      <w:r>
        <w:rPr/>
        <w:t>goods</w:t>
      </w:r>
      <w:r>
        <w:rPr>
          <w:spacing w:val="25"/>
        </w:rPr>
        <w:t> </w:t>
      </w:r>
      <w:r>
        <w:rPr/>
        <w:t>(since</w:t>
      </w:r>
      <w:r>
        <w:rPr>
          <w:spacing w:val="24"/>
        </w:rPr>
        <w:t> </w:t>
      </w:r>
      <w:r>
        <w:rPr/>
        <w:t>their</w:t>
      </w:r>
      <w:r>
        <w:rPr>
          <w:spacing w:val="24"/>
        </w:rPr>
        <w:t> </w:t>
      </w:r>
      <w:r>
        <w:rPr/>
        <w:t>motive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make</w:t>
      </w:r>
      <w:r>
        <w:rPr>
          <w:spacing w:val="23"/>
        </w:rPr>
        <w:t> </w:t>
      </w:r>
      <w:r>
        <w:rPr/>
        <w:t>profits).</w:t>
      </w:r>
      <w:r>
        <w:rPr>
          <w:spacing w:val="51"/>
        </w:rPr>
        <w:t> </w:t>
      </w:r>
      <w:r>
        <w:rPr/>
        <w:t>This</w:t>
      </w:r>
      <w:r>
        <w:rPr>
          <w:spacing w:val="29"/>
        </w:rPr>
        <w:t> </w:t>
      </w:r>
      <w:r>
        <w:rPr/>
        <w:t>might</w:t>
      </w:r>
      <w:r>
        <w:rPr>
          <w:spacing w:val="25"/>
        </w:rPr>
        <w:t> </w:t>
      </w:r>
      <w:r>
        <w:rPr/>
        <w:t>lead</w:t>
      </w:r>
      <w:r>
        <w:rPr>
          <w:spacing w:val="25"/>
        </w:rPr>
        <w:t> </w:t>
      </w:r>
      <w:r>
        <w:rPr/>
        <w:t>to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line="360" w:lineRule="auto" w:before="74"/>
        <w:ind w:left="811" w:right="990"/>
      </w:pPr>
      <w:r>
        <w:rPr/>
        <w:drawing>
          <wp:anchor distT="0" distB="0" distL="0" distR="0" allowOverlap="1" layoutInCell="1" locked="0" behindDoc="1" simplePos="0" relativeHeight="477953024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5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expenditure-switching</w:t>
      </w:r>
      <w:r>
        <w:rPr>
          <w:spacing w:val="3"/>
        </w:rPr>
        <w:t> </w:t>
      </w:r>
      <w:r>
        <w:rPr/>
        <w:t>from</w:t>
      </w:r>
      <w:r>
        <w:rPr>
          <w:spacing w:val="5"/>
        </w:rPr>
        <w:t> </w:t>
      </w:r>
      <w:r>
        <w:rPr/>
        <w:t>imports</w:t>
      </w:r>
      <w:r>
        <w:rPr>
          <w:spacing w:val="3"/>
        </w:rPr>
        <w:t> </w:t>
      </w:r>
      <w:r>
        <w:rPr/>
        <w:t>toward</w:t>
      </w:r>
      <w:r>
        <w:rPr>
          <w:spacing w:val="3"/>
        </w:rPr>
        <w:t> </w:t>
      </w:r>
      <w:r>
        <w:rPr/>
        <w:t>domestic</w:t>
      </w:r>
      <w:r>
        <w:rPr>
          <w:spacing w:val="3"/>
        </w:rPr>
        <w:t> </w:t>
      </w:r>
      <w:r>
        <w:rPr/>
        <w:t>substitutes,</w:t>
      </w:r>
      <w:r>
        <w:rPr>
          <w:spacing w:val="3"/>
        </w:rPr>
        <w:t> </w:t>
      </w:r>
      <w:r>
        <w:rPr/>
        <w:t>thereby</w:t>
      </w:r>
      <w:r>
        <w:rPr>
          <w:spacing w:val="-1"/>
        </w:rPr>
        <w:t> </w:t>
      </w:r>
      <w:r>
        <w:rPr/>
        <w:t>improving</w:t>
      </w:r>
      <w:r>
        <w:rPr>
          <w:spacing w:val="8"/>
        </w:rPr>
        <w:t> </w:t>
      </w:r>
      <w:r>
        <w:rPr/>
        <w:t>trade</w:t>
      </w:r>
      <w:r>
        <w:rPr>
          <w:spacing w:val="-57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raising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 exports.</w:t>
      </w:r>
    </w:p>
    <w:p>
      <w:pPr>
        <w:spacing w:after="0" w:line="360" w:lineRule="auto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line="276" w:lineRule="auto" w:before="90"/>
        <w:ind w:left="1061" w:hanging="2"/>
        <w:jc w:val="center"/>
      </w:pPr>
      <w:r>
        <w:rPr/>
        <w:drawing>
          <wp:anchor distT="0" distB="0" distL="0" distR="0" allowOverlap="1" layoutInCell="1" locked="0" behindDoc="1" simplePos="0" relativeHeight="477953536">
            <wp:simplePos x="0" y="0"/>
            <wp:positionH relativeFrom="page">
              <wp:posOffset>1396047</wp:posOffset>
            </wp:positionH>
            <wp:positionV relativeFrom="paragraph">
              <wp:posOffset>4421</wp:posOffset>
            </wp:positionV>
            <wp:extent cx="5971540" cy="5812980"/>
            <wp:effectExtent l="0" t="0" r="0" b="0"/>
            <wp:wrapNone/>
            <wp:docPr id="15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81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Exchange rate behaviour</w:t>
      </w:r>
      <w:r>
        <w:rPr>
          <w:spacing w:val="1"/>
        </w:rPr>
        <w:t> </w:t>
      </w:r>
      <w:r>
        <w:rPr/>
        <w:t>devaluation/revaluation</w:t>
      </w:r>
      <w:r>
        <w:rPr>
          <w:spacing w:val="1"/>
        </w:rPr>
        <w:t> </w:t>
      </w:r>
      <w:r>
        <w:rPr>
          <w:spacing w:val="-1"/>
        </w:rPr>
        <w:t>Appreciation/Depreciation</w:t>
      </w:r>
    </w:p>
    <w:p>
      <w:pPr>
        <w:pStyle w:val="BodyText"/>
        <w:spacing w:line="280" w:lineRule="auto" w:before="126"/>
        <w:ind w:left="1090" w:hanging="389"/>
      </w:pPr>
      <w:r>
        <w:rPr/>
        <w:br w:type="column"/>
      </w:r>
      <w:r>
        <w:rPr>
          <w:spacing w:val="-1"/>
        </w:rPr>
        <w:t>Improvement/deterioration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competitiveness</w:t>
      </w:r>
    </w:p>
    <w:p>
      <w:pPr>
        <w:pStyle w:val="Heading2"/>
        <w:spacing w:line="280" w:lineRule="auto" w:before="131"/>
        <w:ind w:left="855" w:firstLine="36"/>
      </w:pPr>
      <w:r>
        <w:rPr>
          <w:b w:val="0"/>
        </w:rPr>
        <w:br w:type="column"/>
      </w:r>
      <w:r>
        <w:rPr/>
        <w:t>Balance of Payments</w:t>
      </w:r>
      <w:r>
        <w:rPr>
          <w:spacing w:val="-57"/>
        </w:rPr>
        <w:t> </w:t>
      </w:r>
      <w:r>
        <w:rPr>
          <w:spacing w:val="-1"/>
        </w:rPr>
        <w:t>performance/position</w:t>
      </w:r>
    </w:p>
    <w:p>
      <w:pPr>
        <w:spacing w:after="0" w:line="280" w:lineRule="auto"/>
        <w:sectPr>
          <w:type w:val="continuous"/>
          <w:pgSz w:w="12240" w:h="15840"/>
          <w:pgMar w:top="1500" w:bottom="1200" w:left="1320" w:right="440"/>
          <w:cols w:num="3" w:equalWidth="0">
            <w:col w:w="3619" w:space="40"/>
            <w:col w:w="3287" w:space="39"/>
            <w:col w:w="3495"/>
          </w:cols>
        </w:sectPr>
      </w:pP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276" w:lineRule="auto" w:before="90"/>
        <w:ind w:left="4376" w:right="3551" w:firstLine="2"/>
        <w:jc w:val="center"/>
      </w:pPr>
      <w:r>
        <w:rPr/>
        <w:t>Exchange rate pass-</w:t>
      </w:r>
      <w:r>
        <w:rPr>
          <w:spacing w:val="1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prices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2"/>
        <w:spacing w:line="278" w:lineRule="auto" w:before="90"/>
        <w:ind w:left="1982" w:right="1637" w:hanging="1172"/>
      </w:pPr>
      <w:r>
        <w:rPr/>
        <w:t>Figure 4.1: Conceptual relationship between exchange rate, price level and the</w:t>
      </w:r>
      <w:r>
        <w:rPr>
          <w:spacing w:val="-57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</w:t>
      </w:r>
    </w:p>
    <w:p>
      <w:pPr>
        <w:spacing w:before="50"/>
        <w:ind w:left="811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3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Alawattage</w:t>
      </w:r>
      <w:r>
        <w:rPr>
          <w:spacing w:val="-2"/>
          <w:sz w:val="24"/>
        </w:rPr>
        <w:t> </w:t>
      </w:r>
      <w:r>
        <w:rPr>
          <w:sz w:val="24"/>
        </w:rPr>
        <w:t>(2005).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Heading1"/>
        <w:numPr>
          <w:ilvl w:val="2"/>
          <w:numId w:val="15"/>
        </w:numPr>
        <w:tabs>
          <w:tab w:pos="1532" w:val="left" w:leader="none"/>
        </w:tabs>
        <w:spacing w:line="240" w:lineRule="auto" w:before="89" w:after="0"/>
        <w:ind w:left="1531" w:right="0" w:hanging="721"/>
        <w:jc w:val="left"/>
      </w:pPr>
      <w:bookmarkStart w:name="_TOC_250036" w:id="38"/>
      <w:r>
        <w:rPr/>
        <w:t>Absorption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Balance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bookmarkEnd w:id="38"/>
      <w:r>
        <w:rPr/>
        <w:t>Payments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pict>
          <v:group style="position:absolute;margin-left:116.940002pt;margin-top:71.123138pt;width:401.75pt;height:397.2pt;mso-position-horizontal-relative:page;mso-position-vertical-relative:paragraph;z-index:-25362432" coordorigin="2339,1422" coordsize="8035,7944">
            <v:shape style="position:absolute;left:2338;top:1422;width:8035;height:7944" type="#_x0000_t75" stroked="false">
              <v:imagedata r:id="rId18" o:title=""/>
            </v:shape>
            <v:shape style="position:absolute;left:2830;top:5666;width:1560;height:331" type="#_x0000_t75" stroked="false">
              <v:imagedata r:id="rId20" o:title=""/>
            </v:shape>
            <w10:wrap type="none"/>
          </v:group>
        </w:pict>
      </w:r>
      <w:r>
        <w:rPr/>
        <w:t>This approach postulates that devaluation would only have positive effects on the balance</w:t>
      </w:r>
      <w:r>
        <w:rPr>
          <w:spacing w:val="1"/>
        </w:rPr>
        <w:t> </w:t>
      </w:r>
      <w:r>
        <w:rPr/>
        <w:t>of trade if the propensity to absorb is lower than the rate at which devaluation would</w:t>
      </w:r>
      <w:r>
        <w:rPr>
          <w:spacing w:val="1"/>
        </w:rPr>
        <w:t> </w:t>
      </w:r>
      <w:r>
        <w:rPr/>
        <w:t>induce increases in the national output of goods and services.</w:t>
      </w:r>
      <w:r>
        <w:rPr>
          <w:spacing w:val="1"/>
        </w:rPr>
        <w:t> </w:t>
      </w:r>
      <w:r>
        <w:rPr/>
        <w:t>It, therefore, supports 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accompany</w:t>
      </w:r>
      <w:r>
        <w:rPr>
          <w:spacing w:val="1"/>
        </w:rPr>
        <w:t> </w:t>
      </w:r>
      <w:r>
        <w:rPr/>
        <w:t>currency</w:t>
      </w:r>
      <w:r>
        <w:rPr>
          <w:spacing w:val="1"/>
        </w:rPr>
        <w:t> </w:t>
      </w:r>
      <w:r>
        <w:rPr/>
        <w:t>devaluation.</w:t>
      </w:r>
      <w:r>
        <w:rPr>
          <w:spacing w:val="1"/>
        </w:rPr>
        <w:t> </w:t>
      </w:r>
      <w:r>
        <w:rPr/>
        <w:t>The basic tenet of this approach is that a favourable computation of price</w:t>
      </w:r>
      <w:r>
        <w:rPr>
          <w:spacing w:val="1"/>
        </w:rPr>
        <w:t> </w:t>
      </w:r>
      <w:r>
        <w:rPr/>
        <w:t>elasticity may not be sufficient to produce a balance of payments effect resulting from</w:t>
      </w:r>
      <w:r>
        <w:rPr>
          <w:spacing w:val="1"/>
        </w:rPr>
        <w:t> </w:t>
      </w:r>
      <w:r>
        <w:rPr/>
        <w:t>devaluation,</w:t>
      </w:r>
      <w:r>
        <w:rPr>
          <w:spacing w:val="-1"/>
        </w:rPr>
        <w:t> </w:t>
      </w:r>
      <w:r>
        <w:rPr/>
        <w:t>if devaluation</w:t>
      </w:r>
      <w:r>
        <w:rPr>
          <w:spacing w:val="-1"/>
        </w:rPr>
        <w:t> </w:t>
      </w:r>
      <w:r>
        <w:rPr/>
        <w:t>does not succeed</w:t>
      </w:r>
      <w:r>
        <w:rPr>
          <w:spacing w:val="-1"/>
        </w:rPr>
        <w:t> </w:t>
      </w:r>
      <w:r>
        <w:rPr/>
        <w:t>in reducing</w:t>
      </w:r>
      <w:r>
        <w:rPr>
          <w:spacing w:val="-2"/>
        </w:rPr>
        <w:t> </w:t>
      </w:r>
      <w:r>
        <w:rPr/>
        <w:t>domestic expenditure.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t>The identity of this approach follows from the Keynesian national income identity as</w:t>
      </w:r>
      <w:r>
        <w:rPr>
          <w:spacing w:val="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in equation (4.2):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spacing w:line="290" w:lineRule="exact" w:before="0"/>
        <w:ind w:left="833" w:right="0" w:firstLine="0"/>
        <w:jc w:val="left"/>
        <w:rPr>
          <w:sz w:val="24"/>
        </w:rPr>
      </w:pPr>
      <w:r>
        <w:rPr>
          <w:i/>
          <w:w w:val="105"/>
          <w:sz w:val="24"/>
        </w:rPr>
        <w:t>Y</w:t>
      </w:r>
      <w:r>
        <w:rPr>
          <w:i/>
          <w:spacing w:val="14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-22"/>
          <w:w w:val="105"/>
          <w:sz w:val="24"/>
        </w:rPr>
        <w:t> </w:t>
      </w:r>
      <w:r>
        <w:rPr>
          <w:i/>
          <w:w w:val="105"/>
          <w:sz w:val="24"/>
        </w:rPr>
        <w:t>C</w:t>
      </w:r>
      <w:r>
        <w:rPr>
          <w:i/>
          <w:spacing w:val="-19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</w:t>
      </w:r>
      <w:r>
        <w:rPr>
          <w:spacing w:val="-18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i/>
          <w:spacing w:val="-1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</w:t>
      </w:r>
      <w:r>
        <w:rPr>
          <w:spacing w:val="-32"/>
          <w:w w:val="105"/>
          <w:sz w:val="24"/>
        </w:rPr>
        <w:t> </w:t>
      </w:r>
      <w:r>
        <w:rPr>
          <w:i/>
          <w:w w:val="105"/>
          <w:sz w:val="24"/>
        </w:rPr>
        <w:t>G</w:t>
      </w:r>
      <w:r>
        <w:rPr>
          <w:i/>
          <w:spacing w:val="-26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</w:t>
      </w:r>
      <w:r>
        <w:rPr>
          <w:spacing w:val="-28"/>
          <w:w w:val="105"/>
          <w:sz w:val="24"/>
        </w:rPr>
        <w:t> </w:t>
      </w:r>
      <w:r>
        <w:rPr>
          <w:spacing w:val="10"/>
          <w:w w:val="105"/>
          <w:sz w:val="24"/>
        </w:rPr>
        <w:t>(</w:t>
      </w:r>
      <w:r>
        <w:rPr>
          <w:i/>
          <w:spacing w:val="10"/>
          <w:w w:val="105"/>
          <w:sz w:val="24"/>
        </w:rPr>
        <w:t>X</w:t>
      </w:r>
      <w:r>
        <w:rPr>
          <w:i/>
          <w:spacing w:val="7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</w:t>
      </w:r>
      <w:r>
        <w:rPr>
          <w:spacing w:val="-25"/>
          <w:w w:val="105"/>
          <w:sz w:val="24"/>
        </w:rPr>
        <w:t> </w:t>
      </w:r>
      <w:r>
        <w:rPr>
          <w:i/>
          <w:w w:val="105"/>
          <w:sz w:val="24"/>
        </w:rPr>
        <w:t>M</w:t>
      </w:r>
      <w:r>
        <w:rPr>
          <w:i/>
          <w:spacing w:val="-33"/>
          <w:w w:val="105"/>
          <w:sz w:val="24"/>
        </w:rPr>
        <w:t> </w:t>
      </w:r>
      <w:r>
        <w:rPr>
          <w:w w:val="105"/>
          <w:sz w:val="24"/>
        </w:rPr>
        <w:t>)</w:t>
      </w:r>
    </w:p>
    <w:p>
      <w:pPr>
        <w:pStyle w:val="BodyText"/>
        <w:spacing w:before="177"/>
        <w:ind w:left="1051"/>
      </w:pPr>
      <w:r>
        <w:rPr/>
        <w:t>and</w:t>
      </w:r>
    </w:p>
    <w:p>
      <w:pPr>
        <w:pStyle w:val="BodyText"/>
        <w:rPr>
          <w:sz w:val="28"/>
        </w:rPr>
      </w:pPr>
    </w:p>
    <w:p>
      <w:pPr>
        <w:spacing w:before="0"/>
        <w:ind w:left="833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Y</w:t>
      </w:r>
      <w:r>
        <w:rPr>
          <w:i/>
          <w:spacing w:val="-1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</w:t>
      </w:r>
      <w:r>
        <w:rPr>
          <w:spacing w:val="-10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i/>
          <w:spacing w:val="-24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5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i/>
          <w:spacing w:val="7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</w:t>
      </w:r>
      <w:r>
        <w:rPr>
          <w:spacing w:val="-26"/>
          <w:w w:val="105"/>
          <w:sz w:val="24"/>
        </w:rPr>
        <w:t> </w:t>
      </w:r>
      <w:r>
        <w:rPr>
          <w:i/>
          <w:w w:val="105"/>
          <w:sz w:val="24"/>
        </w:rPr>
        <w:t>M</w:t>
      </w:r>
    </w:p>
    <w:p>
      <w:pPr>
        <w:pStyle w:val="BodyText"/>
        <w:spacing w:before="11"/>
        <w:ind w:left="833"/>
      </w:pPr>
      <w:r>
        <w:rPr/>
        <w:br w:type="column"/>
      </w:r>
      <w:r>
        <w:rPr/>
        <w:t>(4.2)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7"/>
        <w:ind w:left="833"/>
      </w:pPr>
      <w:r>
        <w:rPr/>
        <w:t>(4.3)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3207" w:space="4693"/>
            <w:col w:w="2580"/>
          </w:cols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3070" w:val="left" w:leader="none"/>
        </w:tabs>
        <w:spacing w:before="90"/>
        <w:ind w:left="811"/>
        <w:jc w:val="both"/>
      </w:pPr>
      <w:r>
        <w:rPr/>
        <w:t>Where</w:t>
        <w:tab/>
      </w:r>
      <w:r>
        <w:rPr>
          <w:i/>
        </w:rPr>
        <w:t>X</w:t>
      </w:r>
      <w:r>
        <w:rPr/>
        <w:t>=Exports,</w:t>
      </w:r>
      <w:r>
        <w:rPr>
          <w:spacing w:val="-1"/>
        </w:rPr>
        <w:t> </w:t>
      </w:r>
      <w:r>
        <w:rPr>
          <w:i/>
        </w:rPr>
        <w:t>M</w:t>
      </w:r>
      <w:r>
        <w:rPr/>
        <w:t>=Imports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Y</w:t>
      </w:r>
      <w:r>
        <w:rPr/>
        <w:t>=total</w:t>
      </w:r>
      <w:r>
        <w:rPr>
          <w:spacing w:val="-1"/>
        </w:rPr>
        <w:t> </w:t>
      </w:r>
      <w:r>
        <w:rPr/>
        <w:t>income.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t>From equation (4.3), an economy experiences trade deficit if absorption is greater than</w:t>
      </w:r>
      <w:r>
        <w:rPr>
          <w:spacing w:val="1"/>
        </w:rPr>
        <w:t> </w:t>
      </w:r>
      <w:r>
        <w:rPr/>
        <w:t>output.</w:t>
      </w:r>
      <w:r>
        <w:rPr>
          <w:spacing w:val="1"/>
        </w:rPr>
        <w:t> </w:t>
      </w:r>
      <w:r>
        <w:rPr/>
        <w:t>More specifically, income is derived from production.</w:t>
      </w:r>
      <w:r>
        <w:rPr>
          <w:spacing w:val="60"/>
        </w:rPr>
        <w:t> </w:t>
      </w:r>
      <w:r>
        <w:rPr/>
        <w:t>Therefore, if consumption</w:t>
      </w:r>
      <w:r>
        <w:rPr>
          <w:spacing w:val="-57"/>
        </w:rPr>
        <w:t> </w:t>
      </w:r>
      <w:r>
        <w:rPr/>
        <w:t>is greater than domestic production, the difference must be made up for by imports.</w:t>
      </w:r>
      <w:r>
        <w:rPr>
          <w:spacing w:val="1"/>
        </w:rPr>
        <w:t> </w:t>
      </w:r>
      <w:r>
        <w:rPr/>
        <w:t>Machlup (1960) formalized this possibility in his article</w:t>
      </w:r>
      <w:r>
        <w:rPr>
          <w:vertAlign w:val="superscript"/>
        </w:rPr>
        <w:t>31</w:t>
      </w:r>
      <w:r>
        <w:rPr>
          <w:vertAlign w:val="baseline"/>
        </w:rPr>
        <w:t>, which states that if devaluation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raises domestic absorption relative to domestic income then the current account would</w:t>
      </w:r>
      <w:r>
        <w:rPr>
          <w:spacing w:val="1"/>
          <w:vertAlign w:val="baseline"/>
        </w:rPr>
        <w:t> </w:t>
      </w:r>
      <w:r>
        <w:rPr>
          <w:vertAlign w:val="baseline"/>
        </w:rPr>
        <w:t>deteriorate. In order to solve this dilemma in the current account balance, the expenditure-</w:t>
      </w:r>
      <w:r>
        <w:rPr>
          <w:spacing w:val="-57"/>
          <w:vertAlign w:val="baseline"/>
        </w:rPr>
        <w:t> </w:t>
      </w:r>
      <w:r>
        <w:rPr>
          <w:vertAlign w:val="baseline"/>
        </w:rPr>
        <w:t>output gap must be reduced or eliminated through a reduction in</w:t>
      </w:r>
      <w:r>
        <w:rPr>
          <w:spacing w:val="60"/>
          <w:vertAlign w:val="baseline"/>
        </w:rPr>
        <w:t> </w:t>
      </w:r>
      <w:r>
        <w:rPr>
          <w:vertAlign w:val="baseline"/>
        </w:rPr>
        <w:t>absorption, an 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output (income) or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combination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both.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Therefore, for a devaluation to be successful, adjustments are required in either or both of</w:t>
      </w:r>
      <w:r>
        <w:rPr>
          <w:spacing w:val="1"/>
        </w:rPr>
        <w:t> </w:t>
      </w:r>
      <w:r>
        <w:rPr/>
        <w:t>these two variables.</w:t>
      </w:r>
      <w:r>
        <w:rPr>
          <w:spacing w:val="1"/>
        </w:rPr>
        <w:t> </w:t>
      </w:r>
      <w:r>
        <w:rPr/>
        <w:t>As a consequence, the current account improves when devaluation</w:t>
      </w:r>
      <w:r>
        <w:rPr>
          <w:spacing w:val="1"/>
        </w:rPr>
        <w:t> </w:t>
      </w:r>
      <w:r>
        <w:rPr/>
        <w:t>raises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relative to domestic</w:t>
      </w:r>
      <w:r>
        <w:rPr>
          <w:spacing w:val="-1"/>
        </w:rPr>
        <w:t> </w:t>
      </w:r>
      <w:r>
        <w:rPr/>
        <w:t>spending.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0"/>
        <w:ind w:left="811" w:right="0" w:firstLine="0"/>
        <w:jc w:val="left"/>
        <w:rPr>
          <w:sz w:val="20"/>
        </w:rPr>
      </w:pPr>
      <w:r>
        <w:rPr/>
        <w:pict>
          <v:rect style="position:absolute;margin-left:106.580002pt;margin-top:-5.544089pt;width:144.020pt;height:.72003pt;mso-position-horizontal-relative:page;mso-position-vertical-relative:paragraph;z-index:-2536192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Balance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payments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dollar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shortage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pStyle w:val="Heading2"/>
        <w:numPr>
          <w:ilvl w:val="2"/>
          <w:numId w:val="15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35" w:id="39"/>
      <w:r>
        <w:rPr/>
        <w:t>Monetary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to Balance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39"/>
      <w:r>
        <w:rPr/>
        <w:t>Payments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9"/>
        <w:jc w:val="both"/>
      </w:pPr>
      <w:r>
        <w:rPr/>
        <w:pict>
          <v:group style="position:absolute;margin-left:116.940002pt;margin-top:92.963104pt;width:401.75pt;height:397.2pt;mso-position-horizontal-relative:page;mso-position-vertical-relative:paragraph;z-index:-25361408" coordorigin="2339,1859" coordsize="8035,7944">
            <v:shape style="position:absolute;left:2338;top:1859;width:8035;height:7944" type="#_x0000_t75" stroked="false">
              <v:imagedata r:id="rId18" o:title=""/>
            </v:shape>
            <v:shape style="position:absolute;left:8647;top:4397;width:300;height:331" type="#_x0000_t75" stroked="false">
              <v:imagedata r:id="rId21" o:title=""/>
            </v:shape>
            <v:shape style="position:absolute;left:8669;top:5695;width:451;height:331" type="#_x0000_t75" stroked="false">
              <v:imagedata r:id="rId22" o:title=""/>
            </v:shape>
            <w10:wrap type="none"/>
          </v:group>
        </w:pict>
      </w:r>
      <w:r>
        <w:rPr/>
        <w:t>An alternative approach to the balance of payments emerged as the monetary or global</w:t>
      </w:r>
      <w:r>
        <w:rPr>
          <w:spacing w:val="1"/>
        </w:rPr>
        <w:t> </w:t>
      </w:r>
      <w:r>
        <w:rPr/>
        <w:t>monetarist approach through many works (see for instance, Polak (1957); Pearce, (1961);</w:t>
      </w:r>
      <w:r>
        <w:rPr>
          <w:spacing w:val="1"/>
        </w:rPr>
        <w:t> </w:t>
      </w:r>
      <w:r>
        <w:rPr/>
        <w:t>Mundell (1968, 1971) and; Frenkel and Johnson, 1977).</w:t>
      </w:r>
      <w:r>
        <w:rPr>
          <w:spacing w:val="60"/>
        </w:rPr>
        <w:t> </w:t>
      </w:r>
      <w:r>
        <w:rPr/>
        <w:t>In their opinion, BoP behaviour</w:t>
      </w:r>
      <w:r>
        <w:rPr>
          <w:spacing w:val="1"/>
        </w:rPr>
        <w:t> </w:t>
      </w:r>
      <w:r>
        <w:rPr/>
        <w:t>is analyzed from the point of view of the supply of and demand for money.</w:t>
      </w:r>
      <w:r>
        <w:rPr>
          <w:spacing w:val="1"/>
        </w:rPr>
        <w:t> </w:t>
      </w:r>
      <w:r>
        <w:rPr/>
        <w:t>The central</w:t>
      </w:r>
      <w:r>
        <w:rPr>
          <w:spacing w:val="1"/>
        </w:rPr>
        <w:t> </w:t>
      </w:r>
      <w:r>
        <w:rPr/>
        <w:t>issue claim by this approach is that BoP is essentially a monetary phenomenon.</w:t>
      </w:r>
      <w:r>
        <w:rPr>
          <w:spacing w:val="1"/>
        </w:rPr>
        <w:t> </w:t>
      </w:r>
      <w:r>
        <w:rPr/>
        <w:t>That is,</w:t>
      </w:r>
      <w:r>
        <w:rPr>
          <w:spacing w:val="1"/>
        </w:rPr>
        <w:t> </w:t>
      </w:r>
      <w:r>
        <w:rPr/>
        <w:t>under this approach, any excess demand for goods, services and assets, resulting in a</w:t>
      </w:r>
      <w:r>
        <w:rPr>
          <w:spacing w:val="1"/>
        </w:rPr>
        <w:t> </w:t>
      </w:r>
      <w:r>
        <w:rPr/>
        <w:t>deficit of the balance of payments (BoP), reflects an excess supply or demand of the stock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money.</w:t>
      </w:r>
      <w:r>
        <w:rPr>
          <w:spacing w:val="2"/>
        </w:rPr>
        <w:t> </w:t>
      </w:r>
      <w:r>
        <w:rPr/>
        <w:t>A formal</w:t>
      </w:r>
      <w:r>
        <w:rPr>
          <w:spacing w:val="-1"/>
        </w:rPr>
        <w:t> </w:t>
      </w:r>
      <w:r>
        <w:rPr/>
        <w:t>identity</w:t>
      </w:r>
      <w:r>
        <w:rPr>
          <w:spacing w:val="-8"/>
        </w:rPr>
        <w:t> </w:t>
      </w:r>
      <w:r>
        <w:rPr/>
        <w:t>of this</w:t>
      </w:r>
      <w:r>
        <w:rPr>
          <w:spacing w:val="-1"/>
        </w:rPr>
        <w:t> </w:t>
      </w:r>
      <w:r>
        <w:rPr/>
        <w:t>approach to BoP</w:t>
      </w:r>
      <w:r>
        <w:rPr>
          <w:spacing w:val="-1"/>
        </w:rPr>
        <w:t> </w:t>
      </w:r>
      <w:r>
        <w:rPr/>
        <w:t>is provided</w:t>
      </w:r>
      <w:r>
        <w:rPr>
          <w:spacing w:val="-1"/>
        </w:rPr>
        <w:t> </w:t>
      </w:r>
      <w:r>
        <w:rPr/>
        <w:t>as equation (4.4):</w:t>
      </w:r>
    </w:p>
    <w:p>
      <w:pPr>
        <w:pStyle w:val="BodyText"/>
        <w:spacing w:before="5"/>
        <w:rPr>
          <w:sz w:val="11"/>
        </w:rPr>
      </w:pPr>
    </w:p>
    <w:p>
      <w:pPr>
        <w:tabs>
          <w:tab w:pos="8092" w:val="left" w:leader="none"/>
        </w:tabs>
        <w:spacing w:before="99"/>
        <w:ind w:left="840" w:right="0" w:firstLine="0"/>
        <w:jc w:val="left"/>
        <w:rPr>
          <w:sz w:val="24"/>
        </w:rPr>
      </w:pPr>
      <w:r>
        <w:rPr>
          <w:i/>
          <w:spacing w:val="-2"/>
          <w:w w:val="105"/>
          <w:sz w:val="24"/>
        </w:rPr>
        <w:t>CA</w:t>
      </w:r>
      <w:r>
        <w:rPr>
          <w:i/>
          <w:spacing w:val="-39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</w:t>
      </w:r>
      <w:r>
        <w:rPr>
          <w:spacing w:val="-20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KA</w:t>
      </w:r>
      <w:r>
        <w:rPr>
          <w:i/>
          <w:spacing w:val="-24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16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</w:t>
      </w:r>
      <w:r>
        <w:rPr>
          <w:i/>
          <w:spacing w:val="-2"/>
          <w:w w:val="105"/>
          <w:sz w:val="24"/>
        </w:rPr>
        <w:t>F</w:t>
        <w:tab/>
      </w:r>
      <w:r>
        <w:rPr>
          <w:w w:val="105"/>
          <w:sz w:val="24"/>
        </w:rPr>
        <w:t>(4.4)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84" w:lineRule="auto" w:before="90"/>
        <w:ind w:left="811" w:right="997"/>
        <w:jc w:val="both"/>
      </w:pPr>
      <w:r>
        <w:rPr/>
        <w:t>Where, </w:t>
      </w:r>
      <w:r>
        <w:rPr>
          <w:i/>
        </w:rPr>
        <w:t>CA </w:t>
      </w:r>
      <w:r>
        <w:rPr/>
        <w:t>is the current account, </w:t>
      </w:r>
      <w:r>
        <w:rPr>
          <w:i/>
        </w:rPr>
        <w:t>KA </w:t>
      </w:r>
      <w:r>
        <w:rPr/>
        <w:t>is the capital account, and</w:t>
      </w:r>
      <w:r>
        <w:rPr>
          <w:spacing w:val="1"/>
        </w:rPr>
        <w:t> </w:t>
      </w:r>
      <w:r>
        <w:rPr/>
        <w:t>is the change in a</w:t>
      </w:r>
      <w:r>
        <w:rPr>
          <w:spacing w:val="1"/>
        </w:rPr>
        <w:t> </w:t>
      </w:r>
      <w:r>
        <w:rPr/>
        <w:t>country‘s foreign reserves, denominated in foreign currency.</w:t>
      </w:r>
      <w:r>
        <w:rPr>
          <w:vertAlign w:val="superscript"/>
        </w:rPr>
        <w:t>32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identity indicates 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surpluses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capital</w:t>
      </w:r>
      <w:r>
        <w:rPr>
          <w:spacing w:val="16"/>
          <w:vertAlign w:val="baseline"/>
        </w:rPr>
        <w:t> </w:t>
      </w:r>
      <w:r>
        <w:rPr>
          <w:vertAlign w:val="baseline"/>
        </w:rPr>
        <w:t>accounts,</w:t>
      </w:r>
      <w:r>
        <w:rPr>
          <w:spacing w:val="15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1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16"/>
          <w:vertAlign w:val="baseline"/>
        </w:rPr>
        <w:t> </w:t>
      </w:r>
      <w:r>
        <w:rPr>
          <w:vertAlign w:val="baseline"/>
        </w:rPr>
        <w:t>excess</w:t>
      </w:r>
      <w:r>
        <w:rPr>
          <w:spacing w:val="15"/>
          <w:vertAlign w:val="baseline"/>
        </w:rPr>
        <w:t> </w:t>
      </w:r>
      <w:r>
        <w:rPr>
          <w:vertAlign w:val="baseline"/>
        </w:rPr>
        <w:t>flow</w:t>
      </w:r>
      <w:r>
        <w:rPr>
          <w:spacing w:val="14"/>
          <w:vertAlign w:val="baseline"/>
        </w:rPr>
        <w:t> </w:t>
      </w:r>
      <w:r>
        <w:rPr>
          <w:vertAlign w:val="baseline"/>
        </w:rPr>
        <w:t>supplies</w:t>
      </w:r>
    </w:p>
    <w:p>
      <w:pPr>
        <w:pStyle w:val="BodyText"/>
        <w:spacing w:line="250" w:lineRule="exact"/>
        <w:ind w:left="811"/>
        <w:jc w:val="both"/>
      </w:pPr>
      <w:r>
        <w:rPr/>
        <w:t>of 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 securities,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 surplus</w:t>
      </w:r>
      <w:r>
        <w:rPr>
          <w:spacing w:val="1"/>
        </w:rPr>
        <w:t> </w:t>
      </w:r>
      <w:r>
        <w:rPr/>
        <w:t>in the money</w:t>
      </w:r>
      <w:r>
        <w:rPr>
          <w:spacing w:val="-4"/>
        </w:rPr>
        <w:t> </w:t>
      </w:r>
      <w:r>
        <w:rPr/>
        <w:t>account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(      </w:t>
      </w:r>
      <w:r>
        <w:rPr>
          <w:spacing w:val="27"/>
        </w:rPr>
        <w:t> </w:t>
      </w:r>
      <w:r>
        <w:rPr/>
        <w:t>reflects</w:t>
      </w:r>
      <w:r>
        <w:rPr>
          <w:spacing w:val="4"/>
        </w:rPr>
        <w:t> </w:t>
      </w:r>
      <w:r>
        <w:rPr/>
        <w:t>an</w:t>
      </w:r>
      <w:r>
        <w:rPr>
          <w:spacing w:val="1"/>
        </w:rPr>
        <w:t> </w:t>
      </w:r>
      <w:r>
        <w:rPr/>
        <w:t>excess</w:t>
      </w:r>
    </w:p>
    <w:p>
      <w:pPr>
        <w:pStyle w:val="BodyText"/>
        <w:spacing w:line="360" w:lineRule="auto" w:before="192"/>
        <w:ind w:left="811" w:right="998"/>
        <w:jc w:val="both"/>
      </w:pPr>
      <w:r>
        <w:rPr/>
        <w:t>domestic flow demand for money.</w:t>
      </w:r>
      <w:r>
        <w:rPr>
          <w:spacing w:val="1"/>
        </w:rPr>
        <w:t> </w:t>
      </w:r>
      <w:r>
        <w:rPr/>
        <w:t>Consequently, in analyzing the money account, the</w:t>
      </w:r>
      <w:r>
        <w:rPr>
          <w:spacing w:val="1"/>
        </w:rPr>
        <w:t> </w:t>
      </w:r>
      <w:r>
        <w:rPr/>
        <w:t>monetary</w:t>
      </w:r>
      <w:r>
        <w:rPr>
          <w:spacing w:val="10"/>
        </w:rPr>
        <w:t> </w:t>
      </w:r>
      <w:r>
        <w:rPr/>
        <w:t>approach</w:t>
      </w:r>
      <w:r>
        <w:rPr>
          <w:spacing w:val="18"/>
        </w:rPr>
        <w:t> </w:t>
      </w:r>
      <w:r>
        <w:rPr/>
        <w:t>focuses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determinants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excess</w:t>
      </w:r>
      <w:r>
        <w:rPr>
          <w:spacing w:val="17"/>
        </w:rPr>
        <w:t> </w:t>
      </w:r>
      <w:r>
        <w:rPr/>
        <w:t>domestic</w:t>
      </w:r>
      <w:r>
        <w:rPr>
          <w:spacing w:val="15"/>
        </w:rPr>
        <w:t> </w:t>
      </w:r>
      <w:r>
        <w:rPr/>
        <w:t>flow</w:t>
      </w:r>
      <w:r>
        <w:rPr>
          <w:spacing w:val="16"/>
        </w:rPr>
        <w:t> </w:t>
      </w:r>
      <w:r>
        <w:rPr/>
        <w:t>demand</w:t>
      </w:r>
      <w:r>
        <w:rPr>
          <w:spacing w:val="16"/>
        </w:rPr>
        <w:t> </w:t>
      </w:r>
      <w:r>
        <w:rPr/>
        <w:t>for</w:t>
      </w:r>
      <w:r>
        <w:rPr>
          <w:spacing w:val="-57"/>
        </w:rPr>
        <w:t> </w:t>
      </w:r>
      <w:r>
        <w:rPr/>
        <w:t>or supply of money.</w:t>
      </w:r>
      <w:r>
        <w:rPr>
          <w:spacing w:val="1"/>
        </w:rPr>
        <w:t> </w:t>
      </w:r>
      <w:r>
        <w:rPr/>
        <w:t>The fundamental implications of this claim is that to analyze what</w:t>
      </w:r>
      <w:r>
        <w:rPr>
          <w:spacing w:val="1"/>
        </w:rPr>
        <w:t> </w:t>
      </w:r>
      <w:r>
        <w:rPr/>
        <w:t>happens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(overall)</w:t>
      </w:r>
      <w:r>
        <w:rPr>
          <w:spacing w:val="35"/>
        </w:rPr>
        <w:t> </w:t>
      </w:r>
      <w:r>
        <w:rPr/>
        <w:t>BoP,</w:t>
      </w:r>
      <w:r>
        <w:rPr>
          <w:spacing w:val="37"/>
        </w:rPr>
        <w:t> </w:t>
      </w:r>
      <w:r>
        <w:rPr/>
        <w:t>one</w:t>
      </w:r>
      <w:r>
        <w:rPr>
          <w:spacing w:val="33"/>
        </w:rPr>
        <w:t> </w:t>
      </w:r>
      <w:r>
        <w:rPr/>
        <w:t>should</w:t>
      </w:r>
      <w:r>
        <w:rPr>
          <w:spacing w:val="35"/>
        </w:rPr>
        <w:t> </w:t>
      </w:r>
      <w:r>
        <w:rPr/>
        <w:t>concentrate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analysis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what</w:t>
      </w:r>
      <w:r>
        <w:rPr>
          <w:spacing w:val="35"/>
        </w:rPr>
        <w:t> </w:t>
      </w:r>
      <w:r>
        <w:rPr/>
        <w:t>happens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 Bank‘s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foreign</w:t>
      </w:r>
      <w:r>
        <w:rPr>
          <w:spacing w:val="2"/>
        </w:rPr>
        <w:t> </w:t>
      </w:r>
      <w:r>
        <w:rPr/>
        <w:t>reserves.</w:t>
      </w:r>
    </w:p>
    <w:p>
      <w:pPr>
        <w:pStyle w:val="BodyText"/>
        <w:spacing w:line="360" w:lineRule="auto" w:before="201"/>
        <w:ind w:left="811" w:right="999"/>
        <w:jc w:val="both"/>
      </w:pPr>
      <w:r>
        <w:rPr/>
        <w:t>As with the absorption approach, the monetary approach can be defined in terms of basic</w:t>
      </w:r>
      <w:r>
        <w:rPr>
          <w:spacing w:val="1"/>
        </w:rPr>
        <w:t> </w:t>
      </w:r>
      <w:r>
        <w:rPr/>
        <w:t>identities;</w:t>
      </w:r>
      <w:r>
        <w:rPr>
          <w:spacing w:val="-1"/>
        </w:rPr>
        <w:t> </w:t>
      </w:r>
      <w:r>
        <w:rPr/>
        <w:t>in the current</w:t>
      </w:r>
      <w:r>
        <w:rPr>
          <w:spacing w:val="-1"/>
        </w:rPr>
        <w:t> </w:t>
      </w:r>
      <w:r>
        <w:rPr/>
        <w:t>case, in terms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 bank‘s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sheet</w:t>
      </w:r>
      <w:r>
        <w:rPr>
          <w:vertAlign w:val="superscript"/>
        </w:rPr>
        <w:t>33</w:t>
      </w:r>
      <w:r>
        <w:rPr>
          <w:spacing w:val="1"/>
          <w:vertAlign w:val="baseline"/>
        </w:rPr>
        <w:t> </w:t>
      </w:r>
      <w:r>
        <w:rPr>
          <w:vertAlign w:val="baseline"/>
        </w:rPr>
        <w:t>as:</w:t>
      </w:r>
    </w:p>
    <w:p>
      <w:pPr>
        <w:tabs>
          <w:tab w:pos="8512" w:val="left" w:leader="none"/>
        </w:tabs>
        <w:spacing w:before="188"/>
        <w:ind w:left="855" w:right="0" w:firstLine="0"/>
        <w:jc w:val="left"/>
        <w:rPr>
          <w:sz w:val="24"/>
        </w:rPr>
      </w:pPr>
      <w:r>
        <w:rPr>
          <w:i/>
          <w:spacing w:val="-1"/>
          <w:w w:val="105"/>
          <w:sz w:val="24"/>
        </w:rPr>
        <w:t>D</w:t>
      </w:r>
      <w:r>
        <w:rPr>
          <w:i/>
          <w:spacing w:val="-31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</w:t>
      </w:r>
      <w:r>
        <w:rPr>
          <w:spacing w:val="-2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FDC</w:t>
      </w:r>
      <w:r>
        <w:rPr>
          <w:i/>
          <w:spacing w:val="-5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MB</w:t>
      </w:r>
      <w:r>
        <w:rPr>
          <w:i/>
          <w:spacing w:val="-13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9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R</w:t>
      </w:r>
      <w:r>
        <w:rPr>
          <w:i/>
          <w:spacing w:val="-28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</w:t>
      </w:r>
      <w:r>
        <w:rPr>
          <w:spacing w:val="-36"/>
          <w:w w:val="105"/>
          <w:sz w:val="24"/>
        </w:rPr>
        <w:t> </w:t>
      </w:r>
      <w:r>
        <w:rPr>
          <w:i/>
          <w:w w:val="105"/>
          <w:sz w:val="24"/>
        </w:rPr>
        <w:t>C</w:t>
        <w:tab/>
      </w:r>
      <w:r>
        <w:rPr>
          <w:w w:val="105"/>
          <w:sz w:val="24"/>
        </w:rPr>
        <w:t>(4.5)</w:t>
      </w:r>
    </w:p>
    <w:p>
      <w:pPr>
        <w:pStyle w:val="BodyText"/>
        <w:spacing w:line="362" w:lineRule="auto" w:before="141"/>
        <w:ind w:left="811" w:right="996"/>
        <w:jc w:val="both"/>
      </w:pPr>
      <w:r>
        <w:rPr/>
        <w:pict>
          <v:rect style="position:absolute;margin-left:106.580002pt;margin-top:76.048737pt;width:144.020pt;height:.71997pt;mso-position-horizontal-relative:page;mso-position-vertical-relative:paragraph;z-index:-25360896" filled="true" fillcolor="#000000" stroked="false">
            <v:fill type="solid"/>
            <w10:wrap type="none"/>
          </v:rect>
        </w:pict>
      </w:r>
      <w:r>
        <w:rPr/>
        <w:t>Where, on the left-hand side are the sources of the monetary base, </w:t>
      </w:r>
      <w:r>
        <w:rPr>
          <w:i/>
        </w:rPr>
        <w:t>MB </w:t>
      </w:r>
      <w:r>
        <w:rPr/>
        <w:t>, or </w:t>
      </w:r>
      <w:r>
        <w:rPr>
          <w:i/>
        </w:rPr>
        <w:t>high powered</w:t>
      </w:r>
      <w:r>
        <w:rPr>
          <w:i/>
          <w:spacing w:val="1"/>
        </w:rPr>
        <w:t> </w:t>
      </w:r>
      <w:r>
        <w:rPr>
          <w:i/>
          <w:spacing w:val="-1"/>
        </w:rPr>
        <w:t>money</w:t>
      </w:r>
      <w:r>
        <w:rPr>
          <w:spacing w:val="-1"/>
        </w:rPr>
        <w:t>, </w:t>
      </w:r>
      <w:r>
        <w:rPr/>
        <w:t>and the right-hand side are the uses of it. The variable </w:t>
      </w:r>
      <w:r>
        <w:rPr>
          <w:i/>
        </w:rPr>
        <w:t>D </w:t>
      </w:r>
      <w:r>
        <w:rPr/>
        <w:t>is the domestic credit (or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domestic</w:t>
      </w:r>
      <w:r>
        <w:rPr>
          <w:spacing w:val="46"/>
        </w:rPr>
        <w:t> </w:t>
      </w:r>
      <w:r>
        <w:rPr/>
        <w:t>asset</w:t>
      </w:r>
      <w:r>
        <w:rPr>
          <w:spacing w:val="47"/>
        </w:rPr>
        <w:t> </w:t>
      </w:r>
      <w:r>
        <w:rPr/>
        <w:t>component</w:t>
      </w:r>
      <w:r>
        <w:rPr>
          <w:spacing w:val="48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MB</w:t>
      </w:r>
      <w:r>
        <w:rPr>
          <w:i/>
          <w:spacing w:val="-11"/>
        </w:rPr>
        <w:t> </w:t>
      </w:r>
      <w:r>
        <w:rPr/>
        <w:t>),</w:t>
      </w:r>
      <w:r>
        <w:rPr>
          <w:spacing w:val="32"/>
        </w:rPr>
        <w:t> </w:t>
      </w:r>
      <w:r>
        <w:rPr>
          <w:i/>
        </w:rPr>
        <w:t>FDC</w:t>
      </w:r>
      <w:r>
        <w:rPr>
          <w:i/>
          <w:spacing w:val="-10"/>
        </w:rPr>
        <w:t> </w:t>
      </w:r>
      <w:r>
        <w:rPr/>
        <w:t>is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stock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foreign</w:t>
      </w:r>
      <w:r>
        <w:rPr>
          <w:spacing w:val="47"/>
        </w:rPr>
        <w:t> </w:t>
      </w:r>
      <w:r>
        <w:rPr/>
        <w:t>reserves</w:t>
      </w:r>
      <w:r>
        <w:rPr>
          <w:spacing w:val="49"/>
        </w:rPr>
        <w:t> </w:t>
      </w:r>
      <w:r>
        <w:rPr/>
        <w:t>(or</w:t>
      </w:r>
      <w:r>
        <w:rPr>
          <w:spacing w:val="47"/>
        </w:rPr>
        <w:t> </w:t>
      </w:r>
      <w:r>
        <w:rPr/>
        <w:t>the</w:t>
      </w:r>
    </w:p>
    <w:p>
      <w:pPr>
        <w:pStyle w:val="BodyText"/>
        <w:spacing w:before="6"/>
        <w:rPr>
          <w:sz w:val="10"/>
        </w:rPr>
      </w:pPr>
    </w:p>
    <w:p>
      <w:pPr>
        <w:spacing w:before="120"/>
        <w:ind w:left="811" w:right="0" w:firstLine="0"/>
        <w:jc w:val="both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identity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holds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fixed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exchange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regime.</w:t>
      </w:r>
    </w:p>
    <w:p>
      <w:pPr>
        <w:spacing w:line="242" w:lineRule="auto" w:before="0"/>
        <w:ind w:left="811" w:right="1001" w:firstLine="0"/>
        <w:jc w:val="both"/>
        <w:rPr>
          <w:rFonts w:ascii="Calibri" w:hAnsi="Calibri"/>
          <w:sz w:val="20"/>
        </w:rPr>
      </w:pPr>
      <w:r>
        <w:rPr>
          <w:sz w:val="20"/>
          <w:vertAlign w:val="superscript"/>
        </w:rPr>
        <w:t>33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discussion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follows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Whiteman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(1975)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exposition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(with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slight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changes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presentation) of the Mundell‘s (1968) explanation of the equivalence of the elasticity, absorption,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monetary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approaches</w:t>
      </w:r>
      <w:r>
        <w:rPr>
          <w:rFonts w:ascii="Calibri" w:hAnsi="Calibri"/>
          <w:sz w:val="20"/>
          <w:vertAlign w:val="baseline"/>
        </w:rPr>
        <w:t>.</w:t>
      </w:r>
    </w:p>
    <w:p>
      <w:pPr>
        <w:spacing w:after="0" w:line="242" w:lineRule="auto"/>
        <w:jc w:val="both"/>
        <w:rPr>
          <w:rFonts w:ascii="Calibri" w:hAnsi="Calibri"/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2" w:lineRule="auto" w:before="75"/>
        <w:ind w:left="811" w:right="993"/>
      </w:pPr>
      <w:r>
        <w:rPr/>
        <w:t>foreign-backed</w:t>
      </w:r>
      <w:r>
        <w:rPr>
          <w:spacing w:val="48"/>
        </w:rPr>
        <w:t> </w:t>
      </w:r>
      <w:r>
        <w:rPr/>
        <w:t>component)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domestic</w:t>
      </w:r>
      <w:r>
        <w:rPr>
          <w:spacing w:val="48"/>
        </w:rPr>
        <w:t> </w:t>
      </w:r>
      <w:r>
        <w:rPr/>
        <w:t>currency,</w:t>
      </w:r>
      <w:r>
        <w:rPr>
          <w:spacing w:val="39"/>
        </w:rPr>
        <w:t> </w:t>
      </w:r>
      <w:r>
        <w:rPr>
          <w:i/>
        </w:rPr>
        <w:t>R</w:t>
      </w:r>
      <w:r>
        <w:rPr>
          <w:i/>
          <w:spacing w:val="-10"/>
        </w:rPr>
        <w:t> </w:t>
      </w:r>
      <w:r>
        <w:rPr/>
        <w:t>is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reserve</w:t>
      </w:r>
      <w:r>
        <w:rPr>
          <w:spacing w:val="45"/>
        </w:rPr>
        <w:t> </w:t>
      </w:r>
      <w:r>
        <w:rPr/>
        <w:t>money</w:t>
      </w:r>
      <w:r>
        <w:rPr>
          <w:spacing w:val="44"/>
        </w:rPr>
        <w:t> </w:t>
      </w:r>
      <w:r>
        <w:rPr/>
        <w:t>and</w:t>
      </w:r>
      <w:r>
        <w:rPr>
          <w:spacing w:val="19"/>
        </w:rPr>
        <w:t> </w:t>
      </w:r>
      <w:r>
        <w:rPr>
          <w:i/>
        </w:rPr>
        <w:t>C</w:t>
      </w:r>
      <w:r>
        <w:rPr>
          <w:i/>
          <w:spacing w:val="40"/>
        </w:rPr>
        <w:t> </w:t>
      </w:r>
      <w:r>
        <w:rPr/>
        <w:t>the</w:t>
      </w:r>
      <w:r>
        <w:rPr>
          <w:spacing w:val="-57"/>
        </w:rPr>
        <w:t> </w:t>
      </w:r>
      <w:r>
        <w:rPr/>
        <w:t>currency</w:t>
      </w:r>
      <w:r>
        <w:rPr>
          <w:spacing w:val="-5"/>
        </w:rPr>
        <w:t> </w:t>
      </w:r>
      <w:r>
        <w:rPr/>
        <w:t>in circulation. Now, let</w:t>
      </w:r>
      <w:r>
        <w:rPr>
          <w:spacing w:val="42"/>
        </w:rPr>
        <w:t> </w:t>
      </w:r>
      <w:r>
        <w:rPr>
          <w:i/>
        </w:rPr>
        <w:t>M</w:t>
      </w:r>
      <w:r>
        <w:rPr>
          <w:i/>
          <w:spacing w:val="17"/>
        </w:rPr>
        <w:t> </w:t>
      </w:r>
      <w:r>
        <w:rPr/>
        <w:t>be</w:t>
      </w:r>
      <w:r>
        <w:rPr>
          <w:spacing w:val="-1"/>
        </w:rPr>
        <w:t> </w:t>
      </w:r>
      <w:r>
        <w:rPr/>
        <w:t>the domestic</w:t>
      </w:r>
      <w:r>
        <w:rPr>
          <w:spacing w:val="1"/>
        </w:rPr>
        <w:t> </w:t>
      </w:r>
      <w:r>
        <w:rPr/>
        <w:t>money</w:t>
      </w:r>
      <w:r>
        <w:rPr>
          <w:spacing w:val="-5"/>
        </w:rPr>
        <w:t> </w:t>
      </w:r>
      <w:r>
        <w:rPr/>
        <w:t>supply.</w:t>
      </w:r>
    </w:p>
    <w:p>
      <w:pPr>
        <w:spacing w:after="0" w:line="362" w:lineRule="auto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280" w:lineRule="exact"/>
        <w:ind w:left="811"/>
        <w:rPr>
          <w:i/>
        </w:rPr>
      </w:pPr>
      <w:r>
        <w:rPr/>
        <w:t>Simplifying,</w:t>
      </w:r>
      <w:r>
        <w:rPr>
          <w:spacing w:val="6"/>
        </w:rPr>
        <w:t> </w:t>
      </w:r>
      <w:r>
        <w:rPr/>
        <w:t>let</w:t>
      </w:r>
      <w:r>
        <w:rPr>
          <w:spacing w:val="54"/>
        </w:rPr>
        <w:t> </w:t>
      </w:r>
      <w:r>
        <w:rPr>
          <w:i/>
        </w:rPr>
        <w:t>M</w:t>
      </w:r>
      <w:r>
        <w:rPr>
          <w:i/>
          <w:spacing w:val="22"/>
        </w:rPr>
        <w:t> </w:t>
      </w:r>
      <w:r>
        <w:rPr>
          <w:rFonts w:ascii="Symbol" w:hAnsi="Symbol"/>
        </w:rPr>
        <w:t></w:t>
      </w:r>
      <w:r>
        <w:rPr>
          <w:spacing w:val="-8"/>
        </w:rPr>
        <w:t> </w:t>
      </w:r>
      <w:r>
        <w:rPr>
          <w:i/>
        </w:rPr>
        <w:t>MB</w:t>
      </w:r>
    </w:p>
    <w:p>
      <w:pPr>
        <w:pStyle w:val="BodyText"/>
        <w:spacing w:before="136"/>
        <w:ind w:left="811"/>
      </w:pPr>
      <w:r>
        <w:rPr/>
        <w:t>one).</w:t>
      </w:r>
      <w:r>
        <w:rPr>
          <w:spacing w:val="-3"/>
        </w:rPr>
        <w:t> </w:t>
      </w:r>
      <w:r>
        <w:rPr/>
        <w:t>Then,</w:t>
      </w:r>
    </w:p>
    <w:p>
      <w:pPr>
        <w:spacing w:before="126"/>
        <w:ind w:left="856" w:right="0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D</w:t>
      </w:r>
      <w:r>
        <w:rPr>
          <w:i/>
          <w:spacing w:val="-30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</w:t>
      </w:r>
      <w:r>
        <w:rPr>
          <w:spacing w:val="-20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FDC</w:t>
      </w:r>
      <w:r>
        <w:rPr>
          <w:i/>
          <w:spacing w:val="-4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M</w:t>
      </w:r>
    </w:p>
    <w:p>
      <w:pPr>
        <w:pStyle w:val="BodyText"/>
        <w:spacing w:before="1"/>
        <w:ind w:left="69"/>
      </w:pPr>
      <w:r>
        <w:rPr/>
        <w:br w:type="column"/>
      </w:r>
      <w:r>
        <w:rPr/>
        <w:t>(the</w:t>
      </w:r>
      <w:r>
        <w:rPr>
          <w:spacing w:val="4"/>
        </w:rPr>
        <w:t> </w:t>
      </w:r>
      <w:r>
        <w:rPr/>
        <w:t>money</w:t>
      </w:r>
      <w:r>
        <w:rPr>
          <w:spacing w:val="2"/>
        </w:rPr>
        <w:t> </w:t>
      </w:r>
      <w:r>
        <w:rPr/>
        <w:t>multiplier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implicitly</w:t>
      </w:r>
      <w:r>
        <w:rPr>
          <w:spacing w:val="2"/>
        </w:rPr>
        <w:t> </w:t>
      </w:r>
      <w:r>
        <w:rPr/>
        <w:t>assumed</w:t>
      </w:r>
      <w:r>
        <w:rPr>
          <w:spacing w:val="8"/>
        </w:rPr>
        <w:t> </w:t>
      </w:r>
      <w:r>
        <w:rPr/>
        <w:t>constant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equal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right="1145"/>
        <w:jc w:val="right"/>
      </w:pPr>
      <w:r>
        <w:rPr/>
        <w:t>(4.6)</w:t>
      </w:r>
    </w:p>
    <w:p>
      <w:pPr>
        <w:spacing w:after="0"/>
        <w:jc w:val="right"/>
        <w:sectPr>
          <w:type w:val="continuous"/>
          <w:pgSz w:w="12240" w:h="15840"/>
          <w:pgMar w:top="1500" w:bottom="1200" w:left="1320" w:right="440"/>
          <w:cols w:num="2" w:equalWidth="0">
            <w:col w:w="3271" w:space="40"/>
            <w:col w:w="7169"/>
          </w:cols>
        </w:sectPr>
      </w:pPr>
    </w:p>
    <w:p>
      <w:pPr>
        <w:pStyle w:val="BodyText"/>
        <w:spacing w:line="360" w:lineRule="auto" w:before="139"/>
        <w:ind w:left="811" w:right="1001"/>
        <w:jc w:val="both"/>
      </w:pPr>
      <w:r>
        <w:rPr/>
        <w:drawing>
          <wp:anchor distT="0" distB="0" distL="0" distR="0" allowOverlap="1" layoutInCell="1" locked="0" behindDoc="1" simplePos="0" relativeHeight="477956096">
            <wp:simplePos x="0" y="0"/>
            <wp:positionH relativeFrom="page">
              <wp:posOffset>1485138</wp:posOffset>
            </wp:positionH>
            <wp:positionV relativeFrom="paragraph">
              <wp:posOffset>359069</wp:posOffset>
            </wp:positionV>
            <wp:extent cx="5102225" cy="5044439"/>
            <wp:effectExtent l="0" t="0" r="0" b="0"/>
            <wp:wrapNone/>
            <wp:docPr id="15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</w:t>
      </w:r>
      <w:r>
        <w:rPr>
          <w:spacing w:val="-29"/>
        </w:rPr>
        <w:t> </w:t>
      </w:r>
      <w:r>
        <w:rPr/>
        <w:t>identi</w:t>
      </w:r>
      <w:r>
        <w:rPr>
          <w:spacing w:val="3"/>
        </w:rPr>
        <w:t>t</w:t>
      </w:r>
      <w:r>
        <w:rPr/>
        <w:t>y</w:t>
      </w:r>
      <w:r>
        <w:rPr>
          <w:spacing w:val="23"/>
        </w:rPr>
        <w:t> </w:t>
      </w:r>
      <w:r>
        <w:rPr/>
        <w:t>impli</w:t>
      </w:r>
      <w:r>
        <w:rPr>
          <w:spacing w:val="-1"/>
        </w:rPr>
        <w:t>e</w:t>
      </w:r>
      <w:r>
        <w:rPr/>
        <w:t>s </w:t>
      </w:r>
      <w:r>
        <w:rPr>
          <w:spacing w:val="-29"/>
        </w:rPr>
        <w:t> </w:t>
      </w:r>
      <w:r>
        <w:rPr/>
        <w:t>th</w:t>
      </w:r>
      <w:r>
        <w:rPr>
          <w:spacing w:val="1"/>
        </w:rPr>
        <w:t>a</w:t>
      </w:r>
      <w:r>
        <w:rPr/>
        <w:t>t </w:t>
      </w:r>
      <w:r>
        <w:rPr>
          <w:spacing w:val="-2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sident</w:t>
      </w:r>
      <w:r>
        <w:rPr/>
        <w:t>s </w:t>
      </w:r>
      <w:r>
        <w:rPr>
          <w:spacing w:val="-29"/>
        </w:rPr>
        <w:t> </w:t>
      </w:r>
      <w:r>
        <w:rPr/>
        <w:t>of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30"/>
        </w:rPr>
        <w:t> </w:t>
      </w:r>
      <w:r>
        <w:rPr/>
        <w:t>op</w:t>
      </w:r>
      <w:r>
        <w:rPr>
          <w:spacing w:val="-1"/>
        </w:rPr>
        <w:t>e</w:t>
      </w:r>
      <w:r>
        <w:rPr/>
        <w:t>n </w:t>
      </w:r>
      <w:r>
        <w:rPr>
          <w:spacing w:val="-30"/>
        </w:rPr>
        <w:t> 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ono</w:t>
      </w:r>
      <w:r>
        <w:rPr>
          <w:spacing w:val="2"/>
        </w:rPr>
        <w:t>m</w:t>
      </w:r>
      <w:r>
        <w:rPr/>
        <w:t>y</w:t>
      </w:r>
      <w:r>
        <w:rPr>
          <w:spacing w:val="26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ca</w:t>
      </w:r>
      <w:r>
        <w:rPr/>
        <w:t>n </w:t>
      </w:r>
      <w:r>
        <w:rPr>
          <w:spacing w:val="-30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30"/>
        </w:rPr>
        <w:t> </w:t>
      </w:r>
      <w:r>
        <w:rPr/>
        <w:t>i</w:t>
      </w:r>
      <w:r>
        <w:rPr>
          <w:spacing w:val="2"/>
        </w:rPr>
        <w:t>n</w:t>
      </w:r>
      <w:r>
        <w:rPr/>
        <w:t>flu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30"/>
        </w:rPr>
        <w:t> </w:t>
      </w:r>
      <w:r>
        <w:rPr/>
        <w:t>on </w:t>
      </w:r>
      <w:r>
        <w:rPr>
          <w:spacing w:val="-30"/>
        </w:rPr>
        <w:t> </w:t>
      </w:r>
      <w:r>
        <w:rPr/>
        <w:t>the </w:t>
      </w:r>
      <w:r>
        <w:rPr/>
        <w:t>total quantity of money via their ability to convert domestic money into foreign goods and</w:t>
      </w:r>
      <w:r>
        <w:rPr>
          <w:spacing w:val="-57"/>
        </w:rPr>
        <w:t> </w:t>
      </w:r>
      <w:r>
        <w:rPr/>
        <w:t>securities or conversely turn domestic goods and securities into domestic money backed</w:t>
      </w:r>
      <w:r>
        <w:rPr>
          <w:spacing w:val="1"/>
        </w:rPr>
        <w:t> </w:t>
      </w:r>
      <w:r>
        <w:rPr/>
        <w:t>by foreign exchange reserves‖ (Hallwood and MacDonald, 1994). Now, taking the first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equation (4.6)</w:t>
      </w:r>
      <w:r>
        <w:rPr>
          <w:spacing w:val="-1"/>
        </w:rPr>
        <w:t> </w:t>
      </w:r>
      <w:r>
        <w:rPr/>
        <w:t>leads to equation (4.7):</w:t>
      </w: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99"/>
        <w:ind w:left="848" w:right="0" w:firstLine="0"/>
        <w:jc w:val="left"/>
        <w:rPr>
          <w:i/>
          <w:sz w:val="24"/>
        </w:rPr>
      </w:pPr>
      <w:r>
        <w:rPr>
          <w:rFonts w:ascii="Symbol" w:hAnsi="Symbol"/>
          <w:spacing w:val="-3"/>
          <w:w w:val="105"/>
          <w:sz w:val="24"/>
        </w:rPr>
        <w:t></w:t>
      </w:r>
      <w:r>
        <w:rPr>
          <w:i/>
          <w:spacing w:val="-3"/>
          <w:w w:val="105"/>
          <w:sz w:val="24"/>
        </w:rPr>
        <w:t>FDC</w:t>
      </w:r>
      <w:r>
        <w:rPr>
          <w:i/>
          <w:spacing w:val="-6"/>
          <w:w w:val="105"/>
          <w:sz w:val="24"/>
        </w:rPr>
        <w:t> </w:t>
      </w:r>
      <w:r>
        <w:rPr>
          <w:rFonts w:ascii="Symbol" w:hAnsi="Symbol"/>
          <w:spacing w:val="-3"/>
          <w:w w:val="105"/>
          <w:sz w:val="24"/>
        </w:rPr>
        <w:t></w:t>
      </w:r>
      <w:r>
        <w:rPr>
          <w:spacing w:val="-16"/>
          <w:w w:val="105"/>
          <w:sz w:val="24"/>
        </w:rPr>
        <w:t> </w:t>
      </w:r>
      <w:r>
        <w:rPr>
          <w:rFonts w:ascii="Symbol" w:hAnsi="Symbol"/>
          <w:spacing w:val="-3"/>
          <w:w w:val="105"/>
          <w:sz w:val="24"/>
        </w:rPr>
        <w:t></w:t>
      </w:r>
      <w:r>
        <w:rPr>
          <w:i/>
          <w:spacing w:val="-3"/>
          <w:w w:val="105"/>
          <w:sz w:val="24"/>
        </w:rPr>
        <w:t>M</w:t>
      </w:r>
      <w:r>
        <w:rPr>
          <w:i/>
          <w:w w:val="105"/>
          <w:sz w:val="24"/>
        </w:rPr>
        <w:t> </w:t>
      </w:r>
      <w:r>
        <w:rPr>
          <w:rFonts w:ascii="Symbol" w:hAnsi="Symbol"/>
          <w:spacing w:val="-3"/>
          <w:w w:val="105"/>
          <w:sz w:val="24"/>
        </w:rPr>
        <w:t></w:t>
      </w:r>
      <w:r>
        <w:rPr>
          <w:spacing w:val="-31"/>
          <w:w w:val="105"/>
          <w:sz w:val="24"/>
        </w:rPr>
        <w:t> </w:t>
      </w:r>
      <w:r>
        <w:rPr>
          <w:rFonts w:ascii="Symbol" w:hAnsi="Symbol"/>
          <w:spacing w:val="-3"/>
          <w:w w:val="105"/>
          <w:sz w:val="24"/>
        </w:rPr>
        <w:t></w:t>
      </w:r>
      <w:r>
        <w:rPr>
          <w:i/>
          <w:spacing w:val="-3"/>
          <w:w w:val="105"/>
          <w:sz w:val="24"/>
        </w:rPr>
        <w:t>D</w:t>
      </w:r>
    </w:p>
    <w:p>
      <w:pPr>
        <w:pStyle w:val="BodyText"/>
        <w:spacing w:before="115"/>
        <w:ind w:left="848"/>
      </w:pPr>
      <w:r>
        <w:rPr/>
        <w:br w:type="column"/>
      </w:r>
      <w:r>
        <w:rPr/>
        <w:t>(4.7)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2696" w:space="5028"/>
            <w:col w:w="27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0"/>
        <w:ind w:left="811" w:right="993"/>
      </w:pP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approach,</w:t>
      </w:r>
      <w:r>
        <w:rPr>
          <w:spacing w:val="10"/>
        </w:rPr>
        <w:t> </w:t>
      </w:r>
      <w:r>
        <w:rPr/>
        <w:t>Δ</w:t>
      </w:r>
      <w:r>
        <w:rPr>
          <w:i/>
        </w:rPr>
        <w:t>M</w:t>
      </w:r>
      <w:r>
        <w:rPr>
          <w:i/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flow</w:t>
      </w:r>
      <w:r>
        <w:rPr>
          <w:spacing w:val="10"/>
        </w:rPr>
        <w:t> </w:t>
      </w:r>
      <w:r>
        <w:rPr/>
        <w:t>demand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money</w:t>
      </w:r>
      <w:r>
        <w:rPr>
          <w:spacing w:val="9"/>
        </w:rPr>
        <w:t> </w:t>
      </w:r>
      <w:r>
        <w:rPr/>
        <w:t>balances</w:t>
      </w:r>
      <w:r>
        <w:rPr>
          <w:spacing w:val="13"/>
        </w:rPr>
        <w:t> </w:t>
      </w:r>
      <w:r>
        <w:rPr/>
        <w:t>or</w:t>
      </w:r>
      <w:r>
        <w:rPr>
          <w:spacing w:val="11"/>
        </w:rPr>
        <w:t> </w:t>
      </w:r>
      <w:r>
        <w:rPr/>
        <w:t>hoarding.</w:t>
      </w:r>
      <w:r>
        <w:rPr>
          <w:spacing w:val="30"/>
        </w:rPr>
        <w:t> </w:t>
      </w:r>
      <w:r>
        <w:rPr/>
        <w:t>It</w:t>
      </w:r>
      <w:r>
        <w:rPr>
          <w:spacing w:val="13"/>
        </w:rPr>
        <w:t> </w:t>
      </w:r>
      <w:r>
        <w:rPr/>
        <w:t>follows</w:t>
      </w:r>
      <w:r>
        <w:rPr>
          <w:spacing w:val="11"/>
        </w:rPr>
        <w:t> </w:t>
      </w:r>
      <w:r>
        <w:rPr/>
        <w:t>that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BoP identity</w:t>
      </w:r>
      <w:r>
        <w:rPr>
          <w:spacing w:val="-5"/>
        </w:rPr>
        <w:t> </w:t>
      </w:r>
      <w:r>
        <w:rPr/>
        <w:t>in equation (4.4) holds,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equality</w:t>
      </w:r>
      <w:r>
        <w:rPr>
          <w:spacing w:val="-5"/>
        </w:rPr>
        <w:t> </w:t>
      </w:r>
      <w:r>
        <w:rPr/>
        <w:t>must also</w:t>
      </w:r>
      <w:r>
        <w:rPr>
          <w:spacing w:val="2"/>
        </w:rPr>
        <w:t> </w:t>
      </w:r>
      <w:r>
        <w:rPr/>
        <w:t>hold:</w:t>
      </w:r>
    </w:p>
    <w:p>
      <w:pPr>
        <w:pStyle w:val="BodyText"/>
        <w:spacing w:before="7"/>
        <w:rPr>
          <w:sz w:val="26"/>
        </w:rPr>
      </w:pPr>
    </w:p>
    <w:p>
      <w:pPr>
        <w:tabs>
          <w:tab w:pos="8653" w:val="left" w:leader="none"/>
        </w:tabs>
        <w:spacing w:before="98"/>
        <w:ind w:left="841" w:right="0" w:firstLine="0"/>
        <w:jc w:val="left"/>
        <w:rPr>
          <w:sz w:val="24"/>
        </w:rPr>
      </w:pPr>
      <w:r>
        <w:rPr>
          <w:i/>
          <w:spacing w:val="-2"/>
          <w:w w:val="105"/>
          <w:sz w:val="24"/>
        </w:rPr>
        <w:t>CADC</w:t>
      </w:r>
      <w:r>
        <w:rPr>
          <w:i/>
          <w:spacing w:val="-21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</w:t>
      </w:r>
      <w:r>
        <w:rPr>
          <w:spacing w:val="-21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KADC</w:t>
      </w:r>
      <w:r>
        <w:rPr>
          <w:i/>
          <w:spacing w:val="-6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17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</w:t>
      </w:r>
      <w:r>
        <w:rPr>
          <w:i/>
          <w:spacing w:val="-2"/>
          <w:w w:val="105"/>
          <w:sz w:val="24"/>
        </w:rPr>
        <w:t>FDC</w:t>
      </w:r>
      <w:r>
        <w:rPr>
          <w:i/>
          <w:spacing w:val="-6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17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</w:t>
      </w:r>
      <w:r>
        <w:rPr>
          <w:i/>
          <w:spacing w:val="-2"/>
          <w:w w:val="105"/>
          <w:sz w:val="24"/>
        </w:rPr>
        <w:t>M</w:t>
      </w:r>
      <w:r>
        <w:rPr>
          <w:i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</w:t>
      </w:r>
      <w:r>
        <w:rPr>
          <w:i/>
          <w:spacing w:val="-1"/>
          <w:w w:val="105"/>
          <w:sz w:val="24"/>
        </w:rPr>
        <w:t>D</w:t>
        <w:tab/>
      </w:r>
      <w:r>
        <w:rPr>
          <w:w w:val="105"/>
          <w:sz w:val="24"/>
        </w:rPr>
        <w:t>(4.8)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0" w:lineRule="auto" w:before="90"/>
        <w:ind w:left="811" w:right="997"/>
        <w:jc w:val="both"/>
      </w:pPr>
      <w:r>
        <w:rPr/>
        <w:t>Where, </w:t>
      </w:r>
      <w:r>
        <w:rPr>
          <w:i/>
        </w:rPr>
        <w:t>CADC </w:t>
      </w:r>
      <w:r>
        <w:rPr/>
        <w:t>and </w:t>
      </w:r>
      <w:r>
        <w:rPr>
          <w:i/>
        </w:rPr>
        <w:t>KADC </w:t>
      </w:r>
      <w:r>
        <w:rPr/>
        <w:t>are </w:t>
      </w:r>
      <w:r>
        <w:rPr>
          <w:i/>
        </w:rPr>
        <w:t>CA </w:t>
      </w:r>
      <w:r>
        <w:rPr/>
        <w:t>and </w:t>
      </w:r>
      <w:r>
        <w:rPr>
          <w:i/>
        </w:rPr>
        <w:t>KA </w:t>
      </w:r>
      <w:r>
        <w:rPr/>
        <w:t>in domestic currency, respectively. This states</w:t>
      </w:r>
      <w:r>
        <w:rPr>
          <w:spacing w:val="1"/>
        </w:rPr>
        <w:t> </w:t>
      </w:r>
      <w:r>
        <w:rPr/>
        <w:t>that, if a country has a deficit in both the current and the capital account, then the country</w:t>
      </w:r>
      <w:r>
        <w:rPr>
          <w:spacing w:val="1"/>
        </w:rPr>
        <w:t> </w:t>
      </w:r>
      <w:r>
        <w:rPr/>
        <w:t>has to be losing foreign reserves. The right-hand side says that a country loses reserves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credit exceeds hoarding.</w:t>
      </w:r>
    </w:p>
    <w:p>
      <w:pPr>
        <w:pStyle w:val="BodyText"/>
        <w:ind w:left="1531"/>
        <w:jc w:val="both"/>
        <w:rPr>
          <w:i/>
        </w:rPr>
      </w:pPr>
      <w:r>
        <w:rPr/>
        <w:t>In</w:t>
      </w:r>
      <w:r>
        <w:rPr>
          <w:spacing w:val="38"/>
        </w:rPr>
        <w:t> </w:t>
      </w:r>
      <w:r>
        <w:rPr/>
        <w:t>comparison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41"/>
        </w:rPr>
        <w:t> </w:t>
      </w:r>
      <w:r>
        <w:rPr/>
        <w:t>elasticity</w:t>
      </w:r>
      <w:r>
        <w:rPr>
          <w:spacing w:val="34"/>
        </w:rPr>
        <w:t> </w:t>
      </w:r>
      <w:r>
        <w:rPr/>
        <w:t>and</w:t>
      </w:r>
      <w:r>
        <w:rPr>
          <w:spacing w:val="39"/>
        </w:rPr>
        <w:t> </w:t>
      </w:r>
      <w:r>
        <w:rPr/>
        <w:t>absorption</w:t>
      </w:r>
      <w:r>
        <w:rPr>
          <w:spacing w:val="39"/>
        </w:rPr>
        <w:t> </w:t>
      </w:r>
      <w:r>
        <w:rPr/>
        <w:t>approaches</w:t>
      </w:r>
      <w:r>
        <w:rPr>
          <w:spacing w:val="39"/>
        </w:rPr>
        <w:t> </w:t>
      </w:r>
      <w:r>
        <w:rPr/>
        <w:t>(assume</w:t>
      </w:r>
      <w:r>
        <w:rPr>
          <w:spacing w:val="44"/>
        </w:rPr>
        <w:t> </w:t>
      </w:r>
      <w:r>
        <w:rPr>
          <w:i/>
        </w:rPr>
        <w:t>KADC=0</w:t>
      </w:r>
    </w:p>
    <w:p>
      <w:pPr>
        <w:pStyle w:val="BodyText"/>
        <w:spacing w:before="140"/>
        <w:ind w:left="811"/>
        <w:jc w:val="both"/>
      </w:pPr>
      <w:r>
        <w:rPr/>
        <w:t>and</w:t>
      </w:r>
      <w:r>
        <w:rPr>
          <w:spacing w:val="-1"/>
        </w:rPr>
        <w:t> </w:t>
      </w:r>
      <w:r>
        <w:rPr/>
        <w:t>consider</w:t>
      </w:r>
      <w:r>
        <w:rPr>
          <w:spacing w:val="-1"/>
        </w:rPr>
        <w:t> </w:t>
      </w:r>
      <w:r>
        <w:rPr>
          <w:i/>
        </w:rPr>
        <w:t>CADC=TBDC</w:t>
      </w:r>
      <w:r>
        <w:rPr/>
        <w:t>),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identity</w:t>
      </w:r>
      <w:r>
        <w:rPr>
          <w:spacing w:val="-5"/>
        </w:rPr>
        <w:t> </w:t>
      </w:r>
      <w:r>
        <w:rPr/>
        <w:t>must also hold.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99"/>
        <w:ind w:left="866" w:right="0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XDC</w:t>
      </w:r>
      <w:r>
        <w:rPr>
          <w:i/>
          <w:spacing w:val="-21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</w:t>
      </w:r>
      <w:r>
        <w:rPr>
          <w:spacing w:val="-29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MDC</w:t>
      </w:r>
      <w:r>
        <w:rPr>
          <w:i/>
          <w:spacing w:val="-6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3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Y</w:t>
      </w:r>
      <w:r>
        <w:rPr>
          <w:i/>
          <w:spacing w:val="-4"/>
          <w:w w:val="105"/>
          <w:sz w:val="24"/>
        </w:rPr>
        <w:t> </w:t>
      </w:r>
      <w:r>
        <w:rPr>
          <w:rFonts w:ascii="Symbol" w:hAnsi="Symbol"/>
          <w:spacing w:val="-2"/>
          <w:w w:val="105"/>
          <w:sz w:val="24"/>
        </w:rPr>
        <w:t></w:t>
      </w:r>
      <w:r>
        <w:rPr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A</w:t>
      </w:r>
      <w:r>
        <w:rPr>
          <w:i/>
          <w:spacing w:val="-25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3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TBDC</w:t>
      </w:r>
      <w:r>
        <w:rPr>
          <w:i/>
          <w:spacing w:val="-5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17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</w:t>
      </w:r>
      <w:r>
        <w:rPr>
          <w:i/>
          <w:spacing w:val="-1"/>
          <w:w w:val="105"/>
          <w:sz w:val="24"/>
        </w:rPr>
        <w:t>FDC</w:t>
      </w:r>
      <w:r>
        <w:rPr>
          <w:i/>
          <w:spacing w:val="-6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17"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</w:t>
      </w:r>
      <w:r>
        <w:rPr>
          <w:i/>
          <w:spacing w:val="-1"/>
          <w:w w:val="105"/>
          <w:sz w:val="24"/>
        </w:rPr>
        <w:t>M</w:t>
      </w:r>
      <w:r>
        <w:rPr>
          <w:i/>
          <w:w w:val="105"/>
          <w:sz w:val="24"/>
        </w:rPr>
        <w:t> </w:t>
      </w:r>
      <w:r>
        <w:rPr>
          <w:rFonts w:ascii="Symbol" w:hAnsi="Symbol"/>
          <w:spacing w:val="-1"/>
          <w:w w:val="105"/>
          <w:sz w:val="24"/>
        </w:rPr>
        <w:t></w:t>
      </w:r>
      <w:r>
        <w:rPr>
          <w:i/>
          <w:spacing w:val="-1"/>
          <w:w w:val="105"/>
          <w:sz w:val="24"/>
        </w:rPr>
        <w:t>D</w:t>
      </w:r>
    </w:p>
    <w:p>
      <w:pPr>
        <w:pStyle w:val="BodyText"/>
        <w:spacing w:before="116"/>
        <w:ind w:left="866"/>
      </w:pPr>
      <w:r>
        <w:rPr/>
        <w:br w:type="column"/>
      </w:r>
      <w:r>
        <w:rPr/>
        <w:t>(4.9)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5823" w:space="2003"/>
            <w:col w:w="26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811" w:right="1000"/>
        <w:jc w:val="both"/>
      </w:pPr>
      <w:r>
        <w:rPr/>
        <w:t>This is the fundamental identity that positions together the elasticity, absorption, and</w:t>
      </w:r>
      <w:r>
        <w:rPr>
          <w:spacing w:val="1"/>
        </w:rPr>
        <w:t> </w:t>
      </w:r>
      <w:r>
        <w:rPr/>
        <w:t>monetary approaches to the BoP.</w:t>
      </w:r>
      <w:r>
        <w:rPr>
          <w:spacing w:val="1"/>
        </w:rPr>
        <w:t> </w:t>
      </w:r>
      <w:r>
        <w:rPr/>
        <w:t>Therefore, if one considers all variables in this identity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>
          <w:i/>
        </w:rPr>
        <w:t>ex</w:t>
      </w:r>
      <w:r>
        <w:rPr>
          <w:i/>
          <w:spacing w:val="-1"/>
        </w:rPr>
        <w:t> </w:t>
      </w:r>
      <w:r>
        <w:rPr>
          <w:i/>
        </w:rPr>
        <w:t>post </w:t>
      </w:r>
      <w:r>
        <w:rPr/>
        <w:t>sense, the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approaches are</w:t>
      </w:r>
      <w:r>
        <w:rPr>
          <w:spacing w:val="-2"/>
        </w:rPr>
        <w:t> </w:t>
      </w:r>
      <w:r>
        <w:rPr/>
        <w:t>equivalent (Mundell, 1968).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line="360" w:lineRule="auto" w:before="74"/>
        <w:ind w:left="811" w:right="994"/>
        <w:jc w:val="both"/>
      </w:pPr>
      <w:r>
        <w:rPr/>
        <w:t>What makes the monetary approach differs from the other approaches is that unlike the</w:t>
      </w:r>
      <w:r>
        <w:rPr>
          <w:spacing w:val="1"/>
        </w:rPr>
        <w:t> </w:t>
      </w:r>
      <w:r>
        <w:rPr/>
        <w:t>elasticity and absorption approaches, the monetary approach provides little discussion</w:t>
      </w:r>
      <w:r>
        <w:rPr>
          <w:spacing w:val="1"/>
        </w:rPr>
        <w:t> </w:t>
      </w:r>
      <w:r>
        <w:rPr/>
        <w:t>about the underlying behavioral relationships; the effects of exchange rate changes; with</w:t>
      </w:r>
      <w:r>
        <w:rPr>
          <w:spacing w:val="1"/>
        </w:rPr>
        <w:t> </w:t>
      </w:r>
      <w:r>
        <w:rPr/>
        <w:t>the transmission mechanisms of those relationships. The role of the exchange rate is</w:t>
      </w:r>
      <w:r>
        <w:rPr>
          <w:spacing w:val="1"/>
        </w:rPr>
        <w:t> </w:t>
      </w:r>
      <w:r>
        <w:rPr/>
        <w:t>reduced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its</w:t>
      </w:r>
      <w:r>
        <w:rPr>
          <w:spacing w:val="9"/>
        </w:rPr>
        <w:t> </w:t>
      </w:r>
      <w:r>
        <w:rPr/>
        <w:t>temporary</w:t>
      </w:r>
      <w:r>
        <w:rPr>
          <w:spacing w:val="5"/>
        </w:rPr>
        <w:t> </w:t>
      </w:r>
      <w:r>
        <w:rPr/>
        <w:t>effects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money</w:t>
      </w:r>
      <w:r>
        <w:rPr>
          <w:spacing w:val="4"/>
        </w:rPr>
        <w:t> </w:t>
      </w:r>
      <w:r>
        <w:rPr/>
        <w:t>supply.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reason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MABP</w:t>
      </w:r>
      <w:r>
        <w:rPr>
          <w:spacing w:val="9"/>
        </w:rPr>
        <w:t> </w:t>
      </w:r>
      <w:r>
        <w:rPr/>
        <w:t>assumes</w:t>
      </w:r>
    </w:p>
    <w:p>
      <w:pPr>
        <w:pStyle w:val="BodyText"/>
        <w:spacing w:line="360" w:lineRule="auto"/>
        <w:ind w:left="811" w:right="1002"/>
        <w:jc w:val="both"/>
      </w:pPr>
      <w:r>
        <w:rPr/>
        <w:drawing>
          <wp:anchor distT="0" distB="0" distL="0" distR="0" allowOverlap="1" layoutInCell="1" locked="0" behindDoc="1" simplePos="0" relativeHeight="477956608">
            <wp:simplePos x="0" y="0"/>
            <wp:positionH relativeFrom="page">
              <wp:posOffset>1485138</wp:posOffset>
            </wp:positionH>
            <wp:positionV relativeFrom="paragraph">
              <wp:posOffset>281471</wp:posOffset>
            </wp:positionV>
            <wp:extent cx="5102225" cy="5044439"/>
            <wp:effectExtent l="0" t="0" r="0" b="0"/>
            <wp:wrapNone/>
            <wp:docPr id="15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a</w:t>
      </w:r>
      <w:r>
        <w:rPr>
          <w:spacing w:val="-1"/>
        </w:rPr>
        <w:t> 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e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ge</w:t>
      </w:r>
      <w:r>
        <w:rPr>
          <w:spacing w:val="-1"/>
        </w:rPr>
        <w:t> ra</w:t>
      </w:r>
      <w:r>
        <w:rPr/>
        <w:t>te</w:t>
      </w:r>
      <w:r>
        <w:rPr>
          <w:spacing w:val="1"/>
        </w:rPr>
        <w:t> </w:t>
      </w:r>
      <w:r>
        <w:rPr>
          <w:spacing w:val="-1"/>
        </w:rPr>
        <w:t>wil</w:t>
      </w:r>
      <w:r>
        <w:rPr/>
        <w:t>l not</w:t>
      </w:r>
      <w:r>
        <w:rPr>
          <w:spacing w:val="3"/>
        </w:rPr>
        <w:t> </w:t>
      </w:r>
      <w:r>
        <w:rPr>
          <w:spacing w:val="2"/>
          <w:w w:val="99"/>
        </w:rPr>
        <w:t>s</w:t>
      </w:r>
      <w:r>
        <w:rPr>
          <w:spacing w:val="-5"/>
        </w:rPr>
        <w:t>y</w:t>
      </w:r>
      <w:r>
        <w:rPr/>
        <w:t>ste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-1"/>
        </w:rPr>
        <w:t>e</w:t>
      </w:r>
      <w:r>
        <w:rPr/>
        <w:t>r r</w:t>
      </w:r>
      <w:r>
        <w:rPr>
          <w:spacing w:val="-1"/>
        </w:rPr>
        <w:t>e</w:t>
      </w:r>
      <w:r>
        <w:rPr/>
        <w:t>lative p</w:t>
      </w:r>
      <w:r>
        <w:rPr>
          <w:spacing w:val="-2"/>
        </w:rPr>
        <w:t>r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o</w:t>
      </w:r>
      <w:r>
        <w:rPr/>
        <w:t>f dom</w:t>
      </w:r>
      <w:r>
        <w:rPr>
          <w:spacing w:val="-2"/>
        </w:rPr>
        <w:t>e</w:t>
      </w:r>
      <w:r>
        <w:rPr>
          <w:w w:val="99"/>
        </w:rPr>
        <w:t>sti</w:t>
      </w:r>
      <w:r>
        <w:rPr/>
        <w:t>c</w:t>
      </w:r>
      <w:r>
        <w:rPr>
          <w:spacing w:val="-1"/>
        </w:rPr>
        <w:t> a</w:t>
      </w:r>
      <w:r>
        <w:rPr/>
        <w:t>nd </w:t>
      </w:r>
      <w:r>
        <w:rPr/>
        <w:t>foreign</w:t>
      </w:r>
      <w:r>
        <w:rPr>
          <w:spacing w:val="3"/>
        </w:rPr>
        <w:t> </w:t>
      </w:r>
      <w:r>
        <w:rPr/>
        <w:t>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 only</w:t>
      </w:r>
      <w:r>
        <w:rPr>
          <w:spacing w:val="-4"/>
        </w:rPr>
        <w:t> </w:t>
      </w:r>
      <w:r>
        <w:rPr/>
        <w:t>a transitory</w:t>
      </w:r>
      <w:r>
        <w:rPr>
          <w:spacing w:val="-2"/>
        </w:rPr>
        <w:t> </w:t>
      </w:r>
      <w:r>
        <w:rPr/>
        <w:t>effect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the BoP‖</w:t>
      </w:r>
      <w:r>
        <w:rPr>
          <w:spacing w:val="2"/>
        </w:rPr>
        <w:t> </w:t>
      </w:r>
      <w:r>
        <w:rPr/>
        <w:t>(Whitman,</w:t>
      </w:r>
      <w:r>
        <w:rPr>
          <w:spacing w:val="1"/>
        </w:rPr>
        <w:t> </w:t>
      </w:r>
      <w:r>
        <w:rPr/>
        <w:t>1975).</w:t>
      </w:r>
    </w:p>
    <w:p>
      <w:pPr>
        <w:pStyle w:val="BodyText"/>
        <w:spacing w:line="360" w:lineRule="auto" w:before="201"/>
        <w:ind w:left="811" w:right="996"/>
        <w:jc w:val="both"/>
      </w:pPr>
      <w:r>
        <w:rPr/>
        <w:t>The</w:t>
      </w:r>
      <w:r>
        <w:rPr>
          <w:spacing w:val="11"/>
        </w:rPr>
        <w:t> </w:t>
      </w:r>
      <w:r>
        <w:rPr/>
        <w:t>‗transitory‘</w:t>
      </w:r>
      <w:r>
        <w:rPr>
          <w:spacing w:val="15"/>
        </w:rPr>
        <w:t> </w:t>
      </w:r>
      <w:r>
        <w:rPr/>
        <w:t>(or</w:t>
      </w:r>
      <w:r>
        <w:rPr>
          <w:spacing w:val="12"/>
        </w:rPr>
        <w:t> </w:t>
      </w:r>
      <w:r>
        <w:rPr/>
        <w:t>short</w:t>
      </w:r>
      <w:r>
        <w:rPr>
          <w:spacing w:val="13"/>
        </w:rPr>
        <w:t> </w:t>
      </w:r>
      <w:r>
        <w:rPr/>
        <w:t>run</w:t>
      </w:r>
      <w:r>
        <w:rPr>
          <w:spacing w:val="11"/>
        </w:rPr>
        <w:t> </w:t>
      </w:r>
      <w:r>
        <w:rPr/>
        <w:t>dynamic)</w:t>
      </w:r>
      <w:r>
        <w:rPr>
          <w:spacing w:val="15"/>
        </w:rPr>
        <w:t> </w:t>
      </w:r>
      <w:r>
        <w:rPr/>
        <w:t>effect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devaluation</w:t>
      </w:r>
      <w:r>
        <w:rPr>
          <w:spacing w:val="13"/>
        </w:rPr>
        <w:t> </w:t>
      </w:r>
      <w:r>
        <w:rPr/>
        <w:t>under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approach</w:t>
      </w:r>
      <w:r>
        <w:rPr>
          <w:spacing w:val="18"/>
        </w:rPr>
        <w:t> </w:t>
      </w:r>
      <w:r>
        <w:rPr/>
        <w:t>is</w:t>
      </w:r>
      <w:r>
        <w:rPr>
          <w:spacing w:val="13"/>
        </w:rPr>
        <w:t> </w:t>
      </w:r>
      <w:r>
        <w:rPr/>
        <w:t>that,</w:t>
      </w:r>
      <w:r>
        <w:rPr>
          <w:spacing w:val="-57"/>
        </w:rPr>
        <w:t> </w:t>
      </w:r>
      <w:r>
        <w:rPr/>
        <w:t>in the short run, this approach predicts that an increase in prices (for instance, caused by a</w:t>
      </w:r>
      <w:r>
        <w:rPr>
          <w:spacing w:val="-57"/>
        </w:rPr>
        <w:t> </w:t>
      </w:r>
      <w:r>
        <w:rPr/>
        <w:t>nominal</w:t>
      </w:r>
      <w:r>
        <w:rPr>
          <w:spacing w:val="1"/>
        </w:rPr>
        <w:t> </w:t>
      </w:r>
      <w:r>
        <w:rPr/>
        <w:t>devaluation)</w:t>
      </w:r>
      <w:r>
        <w:rPr>
          <w:spacing w:val="1"/>
        </w:rPr>
        <w:t> </w:t>
      </w:r>
      <w:r>
        <w:rPr/>
        <w:t>may 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money stock,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improve 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devaluation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(proportionally)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prices, which then causes people to reduce their spending or absorption relative to income</w:t>
      </w:r>
      <w:r>
        <w:rPr>
          <w:spacing w:val="-57"/>
        </w:rPr>
        <w:t> </w:t>
      </w:r>
      <w:r>
        <w:rPr/>
        <w:t>in order to restore their real money balances and holding of other financial assets.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 may, however, be temporary. Once people have restored their desired financial</w:t>
      </w:r>
      <w:r>
        <w:rPr>
          <w:spacing w:val="1"/>
        </w:rPr>
        <w:t> </w:t>
      </w:r>
      <w:r>
        <w:rPr/>
        <w:t>holdings-real money balances, expenditures may rise again and (any) new surplus (in the</w:t>
      </w:r>
      <w:r>
        <w:rPr>
          <w:spacing w:val="1"/>
        </w:rPr>
        <w:t> </w:t>
      </w:r>
      <w:r>
        <w:rPr/>
        <w:t>stock of</w:t>
      </w:r>
      <w:r>
        <w:rPr>
          <w:spacing w:val="-1"/>
        </w:rPr>
        <w:t> </w:t>
      </w:r>
      <w:r>
        <w:rPr/>
        <w:t>money</w:t>
      </w:r>
      <w:r>
        <w:rPr>
          <w:spacing w:val="-5"/>
        </w:rPr>
        <w:t> </w:t>
      </w:r>
      <w:r>
        <w:rPr/>
        <w:t>caused by</w:t>
      </w:r>
      <w:r>
        <w:rPr>
          <w:spacing w:val="-2"/>
        </w:rPr>
        <w:t> </w:t>
      </w:r>
      <w:r>
        <w:rPr/>
        <w:t>the trade</w:t>
      </w:r>
      <w:r>
        <w:rPr>
          <w:spacing w:val="-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surplus)</w:t>
      </w:r>
      <w:r>
        <w:rPr>
          <w:spacing w:val="2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eliminated (Cooper, 1971).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5"/>
        </w:numPr>
        <w:tabs>
          <w:tab w:pos="1531" w:val="left" w:leader="none"/>
          <w:tab w:pos="1532" w:val="left" w:leader="none"/>
        </w:tabs>
        <w:spacing w:line="240" w:lineRule="auto" w:before="186" w:after="0"/>
        <w:ind w:left="1531" w:right="0" w:hanging="721"/>
        <w:jc w:val="left"/>
      </w:pPr>
      <w:bookmarkStart w:name="_TOC_250034" w:id="40"/>
      <w:r>
        <w:rPr/>
        <w:t>Portfolio</w:t>
      </w:r>
      <w:r>
        <w:rPr>
          <w:spacing w:val="-2"/>
        </w:rPr>
        <w:t> </w:t>
      </w:r>
      <w:r>
        <w:rPr/>
        <w:t>Balance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Asset</w:t>
      </w:r>
      <w:r>
        <w:rPr>
          <w:spacing w:val="-2"/>
        </w:rPr>
        <w:t> </w:t>
      </w:r>
      <w:r>
        <w:rPr/>
        <w:t>Market</w:t>
      </w:r>
      <w:r>
        <w:rPr>
          <w:spacing w:val="-2"/>
        </w:rPr>
        <w:t> </w:t>
      </w:r>
      <w:bookmarkEnd w:id="40"/>
      <w:r>
        <w:rPr/>
        <w:t>Approach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t>Another prominent approach used to access balance of payments is the portfolio or asset</w:t>
      </w:r>
      <w:r>
        <w:rPr>
          <w:spacing w:val="1"/>
        </w:rPr>
        <w:t> </w:t>
      </w:r>
      <w:r>
        <w:rPr/>
        <w:t>market approach.</w:t>
      </w:r>
      <w:r>
        <w:rPr>
          <w:spacing w:val="1"/>
        </w:rPr>
        <w:t> </w:t>
      </w:r>
      <w:r>
        <w:rPr/>
        <w:t>It is evident that the monetary approach gives much consideration to</w:t>
      </w:r>
      <w:r>
        <w:rPr>
          <w:spacing w:val="1"/>
        </w:rPr>
        <w:t> </w:t>
      </w:r>
      <w:r>
        <w:rPr/>
        <w:t>factors that influence the demand for money, while less attention is accorded to other</w:t>
      </w:r>
      <w:r>
        <w:rPr>
          <w:spacing w:val="1"/>
        </w:rPr>
        <w:t> </w:t>
      </w:r>
      <w:r>
        <w:rPr/>
        <w:t>financial assets.</w:t>
      </w:r>
      <w:r>
        <w:rPr>
          <w:spacing w:val="1"/>
        </w:rPr>
        <w:t> </w:t>
      </w:r>
      <w:r>
        <w:rPr/>
        <w:t>On the contrary, the portfolio balance approach specifies not only that</w:t>
      </w:r>
      <w:r>
        <w:rPr>
          <w:spacing w:val="1"/>
        </w:rPr>
        <w:t> </w:t>
      </w:r>
      <w:r>
        <w:rPr/>
        <w:t>influence demand for money but also other forms of financial assets.</w:t>
      </w:r>
      <w:r>
        <w:rPr>
          <w:spacing w:val="61"/>
        </w:rPr>
        <w:t> </w:t>
      </w:r>
      <w:r>
        <w:rPr/>
        <w:t>It attempts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account,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(home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foreign), two currencies (domestic and foreign), and two non-money securities, classified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bonds</w:t>
      </w:r>
      <w:r>
        <w:rPr>
          <w:spacing w:val="2"/>
        </w:rPr>
        <w:t> </w:t>
      </w:r>
      <w:r>
        <w:rPr/>
        <w:t>(domestic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foreign)</w:t>
      </w:r>
      <w:r>
        <w:rPr>
          <w:spacing w:val="2"/>
        </w:rPr>
        <w:t> </w:t>
      </w:r>
      <w:r>
        <w:rPr/>
        <w:t>assumptions.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2"/>
        </w:rPr>
        <w:t> </w:t>
      </w:r>
      <w:r>
        <w:rPr/>
        <w:t>bonds,</w:t>
      </w:r>
      <w:r>
        <w:rPr>
          <w:spacing w:val="3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foreign</w:t>
      </w:r>
      <w:r>
        <w:rPr>
          <w:spacing w:val="7"/>
        </w:rPr>
        <w:t> </w:t>
      </w:r>
      <w:r>
        <w:rPr/>
        <w:t>yield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21"/>
        <w:ind w:left="811"/>
      </w:pPr>
      <w:r>
        <w:rPr/>
        <w:t>interest</w:t>
      </w:r>
      <w:r>
        <w:rPr>
          <w:spacing w:val="16"/>
        </w:rPr>
        <w:t> </w:t>
      </w:r>
      <w:r>
        <w:rPr/>
        <w:t>return</w:t>
      </w:r>
      <w:r>
        <w:rPr>
          <w:spacing w:val="19"/>
        </w:rPr>
        <w:t> </w:t>
      </w:r>
      <w:r>
        <w:rPr/>
        <w:t>as</w:t>
      </w:r>
    </w:p>
    <w:p>
      <w:pPr>
        <w:spacing w:before="21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2"/>
          <w:sz w:val="24"/>
        </w:rPr>
        <w:t>i</w:t>
      </w:r>
      <w:r>
        <w:rPr>
          <w:i/>
          <w:spacing w:val="-2"/>
          <w:position w:val="-5"/>
          <w:sz w:val="14"/>
        </w:rPr>
        <w:t>d</w:t>
      </w:r>
      <w:r>
        <w:rPr>
          <w:i/>
          <w:spacing w:val="5"/>
          <w:position w:val="-5"/>
          <w:sz w:val="14"/>
        </w:rPr>
        <w:t> </w:t>
      </w:r>
      <w:r>
        <w:rPr>
          <w:spacing w:val="-1"/>
          <w:sz w:val="24"/>
        </w:rPr>
        <w:t>and</w:t>
      </w:r>
    </w:p>
    <w:p>
      <w:pPr>
        <w:pStyle w:val="BodyText"/>
        <w:spacing w:before="21"/>
        <w:ind w:left="77"/>
      </w:pPr>
      <w:r>
        <w:rPr/>
        <w:br w:type="column"/>
      </w:r>
      <w:r>
        <w:rPr>
          <w:i/>
          <w:spacing w:val="-1"/>
        </w:rPr>
        <w:t>i</w:t>
      </w:r>
      <w:r>
        <w:rPr>
          <w:i/>
          <w:spacing w:val="-38"/>
        </w:rPr>
        <w:t> </w:t>
      </w:r>
      <w:r>
        <w:rPr>
          <w:i/>
          <w:spacing w:val="-1"/>
          <w:position w:val="-5"/>
          <w:sz w:val="14"/>
        </w:rPr>
        <w:t>f</w:t>
      </w:r>
      <w:r>
        <w:rPr>
          <w:i/>
          <w:spacing w:val="51"/>
          <w:position w:val="-5"/>
          <w:sz w:val="14"/>
        </w:rPr>
        <w:t> </w:t>
      </w:r>
      <w:r>
        <w:rPr>
          <w:spacing w:val="-1"/>
        </w:rPr>
        <w:t>,</w:t>
      </w:r>
      <w:r>
        <w:rPr>
          <w:spacing w:val="27"/>
        </w:rPr>
        <w:t> </w:t>
      </w:r>
      <w:r>
        <w:rPr>
          <w:spacing w:val="-1"/>
        </w:rPr>
        <w:t>respectively.</w:t>
      </w:r>
      <w:r>
        <w:rPr>
          <w:spacing w:val="119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model,</w:t>
      </w:r>
      <w:r>
        <w:rPr>
          <w:spacing w:val="27"/>
        </w:rPr>
        <w:t> </w:t>
      </w:r>
      <w:r>
        <w:rPr/>
        <w:t>movement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especially</w:t>
      </w:r>
      <w:r>
        <w:rPr>
          <w:spacing w:val="25"/>
        </w:rPr>
        <w:t> </w:t>
      </w:r>
      <w:r>
        <w:rPr/>
        <w:t>capital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3" w:equalWidth="0">
            <w:col w:w="2464" w:space="40"/>
            <w:col w:w="618" w:space="39"/>
            <w:col w:w="7319"/>
          </w:cols>
        </w:sectPr>
      </w:pPr>
    </w:p>
    <w:p>
      <w:pPr>
        <w:pStyle w:val="BodyText"/>
        <w:spacing w:line="360" w:lineRule="auto" w:before="74"/>
        <w:ind w:left="811" w:right="998"/>
        <w:jc w:val="both"/>
      </w:pPr>
      <w:r>
        <w:rPr/>
        <w:t>across countries is assumed to be high. Thus, interest rates play significant roles in BoP</w:t>
      </w:r>
      <w:r>
        <w:rPr>
          <w:spacing w:val="1"/>
        </w:rPr>
        <w:t> </w:t>
      </w:r>
      <w:r>
        <w:rPr/>
        <w:t>determination.</w:t>
      </w:r>
      <w:r>
        <w:rPr>
          <w:spacing w:val="1"/>
        </w:rPr>
        <w:t> </w:t>
      </w:r>
      <w:r>
        <w:rPr/>
        <w:t>The existence of an imperfect substitution assumption between 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asset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fundamental sources of macroeconomic risk. A risk premium term (RP) is, therefore,</w:t>
      </w:r>
      <w:r>
        <w:rPr>
          <w:spacing w:val="1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 rate on</w:t>
      </w:r>
      <w:r>
        <w:rPr>
          <w:spacing w:val="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bond in</w:t>
      </w:r>
      <w:r>
        <w:rPr>
          <w:spacing w:val="-1"/>
        </w:rPr>
        <w:t> </w:t>
      </w:r>
      <w:r>
        <w:rPr/>
        <w:t>equation (4.10):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before="108"/>
        <w:ind w:left="900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77957120">
            <wp:simplePos x="0" y="0"/>
            <wp:positionH relativeFrom="page">
              <wp:posOffset>1485138</wp:posOffset>
            </wp:positionH>
            <wp:positionV relativeFrom="paragraph">
              <wp:posOffset>210584</wp:posOffset>
            </wp:positionV>
            <wp:extent cx="5102225" cy="5044439"/>
            <wp:effectExtent l="0" t="0" r="0" b="0"/>
            <wp:wrapNone/>
            <wp:docPr id="15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2"/>
        </w:rPr>
        <w:t>i</w:t>
      </w:r>
      <w:r>
        <w:rPr>
          <w:i/>
          <w:w w:val="110"/>
          <w:position w:val="-5"/>
          <w:sz w:val="13"/>
        </w:rPr>
        <w:t>d</w:t>
      </w:r>
      <w:r>
        <w:rPr>
          <w:i/>
          <w:spacing w:val="27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2"/>
        </w:rPr>
        <w:t></w:t>
      </w:r>
      <w:r>
        <w:rPr>
          <w:spacing w:val="-17"/>
          <w:w w:val="110"/>
          <w:sz w:val="22"/>
        </w:rPr>
        <w:t> </w:t>
      </w:r>
      <w:r>
        <w:rPr>
          <w:i/>
          <w:w w:val="110"/>
          <w:sz w:val="22"/>
        </w:rPr>
        <w:t>i</w:t>
      </w:r>
      <w:r>
        <w:rPr>
          <w:i/>
          <w:w w:val="110"/>
          <w:position w:val="-5"/>
          <w:sz w:val="13"/>
        </w:rPr>
        <w:t>f </w:t>
      </w:r>
      <w:r>
        <w:rPr>
          <w:i/>
          <w:spacing w:val="31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2"/>
        </w:rPr>
        <w:t></w:t>
      </w:r>
      <w:r>
        <w:rPr>
          <w:spacing w:val="-20"/>
          <w:w w:val="110"/>
          <w:sz w:val="22"/>
        </w:rPr>
        <w:t> </w:t>
      </w:r>
      <w:r>
        <w:rPr>
          <w:rFonts w:ascii="Symbol" w:hAnsi="Symbol"/>
          <w:w w:val="110"/>
          <w:sz w:val="22"/>
        </w:rPr>
        <w:t></w:t>
      </w:r>
      <w:r>
        <w:rPr>
          <w:i/>
          <w:w w:val="110"/>
          <w:sz w:val="22"/>
        </w:rPr>
        <w:t>x</w:t>
      </w:r>
      <w:r>
        <w:rPr>
          <w:i/>
          <w:spacing w:val="-20"/>
          <w:w w:val="110"/>
          <w:sz w:val="22"/>
        </w:rPr>
        <w:t> </w:t>
      </w:r>
      <w:r>
        <w:rPr>
          <w:rFonts w:ascii="Symbol" w:hAnsi="Symbol"/>
          <w:w w:val="110"/>
          <w:sz w:val="22"/>
        </w:rPr>
        <w:t></w:t>
      </w:r>
      <w:r>
        <w:rPr>
          <w:spacing w:val="-15"/>
          <w:w w:val="110"/>
          <w:sz w:val="22"/>
        </w:rPr>
        <w:t> </w:t>
      </w:r>
      <w:r>
        <w:rPr>
          <w:i/>
          <w:w w:val="110"/>
          <w:sz w:val="22"/>
        </w:rPr>
        <w:t>RP</w:t>
      </w:r>
    </w:p>
    <w:p>
      <w:pPr>
        <w:pStyle w:val="BodyText"/>
        <w:spacing w:before="97"/>
        <w:ind w:left="900"/>
      </w:pPr>
      <w:r>
        <w:rPr/>
        <w:br w:type="column"/>
      </w:r>
      <w:r>
        <w:rPr/>
        <w:t>(4.10)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2517" w:space="4850"/>
            <w:col w:w="3113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before="122"/>
        <w:ind w:left="811"/>
      </w:pPr>
      <w:r>
        <w:rPr>
          <w:spacing w:val="-1"/>
        </w:rPr>
        <w:t>Where,</w:t>
      </w:r>
    </w:p>
    <w:p>
      <w:pPr>
        <w:pStyle w:val="BodyText"/>
        <w:spacing w:before="105"/>
        <w:ind w:left="94"/>
      </w:pPr>
      <w:r>
        <w:rPr/>
        <w:br w:type="column"/>
      </w:r>
      <w:r>
        <w:rPr>
          <w:rFonts w:ascii="Symbol" w:hAnsi="Symbol"/>
        </w:rPr>
        <w:t></w:t>
      </w:r>
      <w:r>
        <w:rPr>
          <w:i/>
        </w:rPr>
        <w:t>x</w:t>
      </w:r>
      <w:r>
        <w:rPr>
          <w:i/>
          <w:spacing w:val="-12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expected</w:t>
      </w:r>
      <w:r>
        <w:rPr>
          <w:spacing w:val="35"/>
        </w:rPr>
        <w:t> </w:t>
      </w:r>
      <w:r>
        <w:rPr/>
        <w:t>percentage</w:t>
      </w:r>
      <w:r>
        <w:rPr>
          <w:spacing w:val="34"/>
        </w:rPr>
        <w:t> </w:t>
      </w:r>
      <w:r>
        <w:rPr/>
        <w:t>change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value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foreign</w:t>
      </w:r>
      <w:r>
        <w:rPr>
          <w:spacing w:val="35"/>
        </w:rPr>
        <w:t> </w:t>
      </w:r>
      <w:r>
        <w:rPr/>
        <w:t>currency.  </w:t>
      </w:r>
      <w:r>
        <w:rPr>
          <w:spacing w:val="11"/>
        </w:rPr>
        <w:t> </w:t>
      </w:r>
      <w:r>
        <w:rPr/>
        <w:t>A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1510" w:space="40"/>
            <w:col w:w="8930"/>
          </w:cols>
        </w:sectPr>
      </w:pPr>
    </w:p>
    <w:p>
      <w:pPr>
        <w:pStyle w:val="BodyText"/>
        <w:spacing w:before="148"/>
        <w:ind w:left="811"/>
      </w:pPr>
      <w:r>
        <w:rPr/>
        <w:t>positive</w:t>
      </w:r>
    </w:p>
    <w:p>
      <w:pPr>
        <w:pStyle w:val="BodyText"/>
        <w:spacing w:before="131"/>
        <w:ind w:left="69"/>
        <w:rPr>
          <w:i/>
        </w:rPr>
      </w:pPr>
      <w:r>
        <w:rPr/>
        <w:br w:type="column"/>
      </w:r>
      <w:r>
        <w:rPr>
          <w:rFonts w:ascii="Symbol" w:hAnsi="Symbol"/>
        </w:rPr>
        <w:t></w:t>
      </w:r>
      <w:r>
        <w:rPr>
          <w:i/>
        </w:rPr>
        <w:t>x</w:t>
      </w:r>
      <w:r>
        <w:rPr>
          <w:i/>
          <w:spacing w:val="-12"/>
        </w:rPr>
        <w:t> </w:t>
      </w:r>
      <w:r>
        <w:rPr/>
        <w:t>is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expected</w:t>
      </w:r>
      <w:r>
        <w:rPr>
          <w:spacing w:val="13"/>
        </w:rPr>
        <w:t> </w:t>
      </w:r>
      <w:r>
        <w:rPr/>
        <w:t>depreciation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home</w:t>
      </w:r>
      <w:r>
        <w:rPr>
          <w:spacing w:val="12"/>
        </w:rPr>
        <w:t> </w:t>
      </w:r>
      <w:r>
        <w:rPr/>
        <w:t>currency,</w:t>
      </w:r>
      <w:r>
        <w:rPr>
          <w:spacing w:val="14"/>
        </w:rPr>
        <w:t> </w:t>
      </w:r>
      <w:r>
        <w:rPr/>
        <w:t>while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negative</w:t>
      </w:r>
      <w:r>
        <w:rPr>
          <w:spacing w:val="55"/>
        </w:rPr>
        <w:t> </w:t>
      </w:r>
      <w:r>
        <w:rPr>
          <w:rFonts w:ascii="Symbol" w:hAnsi="Symbol"/>
        </w:rPr>
        <w:t></w:t>
      </w:r>
      <w:r>
        <w:rPr>
          <w:i/>
        </w:rPr>
        <w:t>x</w:t>
      </w:r>
    </w:p>
    <w:p>
      <w:pPr>
        <w:pStyle w:val="BodyText"/>
        <w:spacing w:before="148"/>
        <w:ind w:left="84"/>
      </w:pPr>
      <w:r>
        <w:rPr/>
        <w:br w:type="column"/>
      </w:r>
      <w:r>
        <w:rPr/>
        <w:t>is</w:t>
      </w:r>
      <w:r>
        <w:rPr>
          <w:spacing w:val="9"/>
        </w:rPr>
        <w:t> </w:t>
      </w:r>
      <w:r>
        <w:rPr/>
        <w:t>an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3" w:equalWidth="0">
            <w:col w:w="1573" w:space="40"/>
            <w:col w:w="7289" w:space="39"/>
            <w:col w:w="1539"/>
          </w:cols>
        </w:sectPr>
      </w:pPr>
    </w:p>
    <w:p>
      <w:pPr>
        <w:pStyle w:val="BodyText"/>
        <w:spacing w:before="129"/>
        <w:ind w:left="811"/>
        <w:rPr>
          <w:i/>
        </w:rPr>
      </w:pPr>
      <w:r>
        <w:rPr>
          <w:spacing w:val="-1"/>
        </w:rPr>
        <w:t>expected</w:t>
      </w:r>
      <w:r>
        <w:rPr>
          <w:spacing w:val="20"/>
        </w:rPr>
        <w:t> </w:t>
      </w:r>
      <w:r>
        <w:rPr/>
        <w:t>appreciation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home</w:t>
      </w:r>
      <w:r>
        <w:rPr>
          <w:spacing w:val="23"/>
        </w:rPr>
        <w:t> </w:t>
      </w:r>
      <w:r>
        <w:rPr/>
        <w:t>currency.</w:t>
      </w:r>
      <w:r>
        <w:rPr>
          <w:spacing w:val="106"/>
        </w:rPr>
        <w:t> </w:t>
      </w:r>
      <w:r>
        <w:rPr/>
        <w:t>Specification</w:t>
      </w:r>
      <w:r>
        <w:rPr>
          <w:spacing w:val="22"/>
        </w:rPr>
        <w:t> </w:t>
      </w:r>
      <w:r>
        <w:rPr/>
        <w:t>of</w:t>
      </w:r>
      <w:r>
        <w:rPr>
          <w:spacing w:val="-17"/>
        </w:rPr>
        <w:t> </w:t>
      </w:r>
      <w:r>
        <w:rPr>
          <w:rFonts w:ascii="Symbol" w:hAnsi="Symbol"/>
        </w:rPr>
        <w:t></w:t>
      </w:r>
      <w:r>
        <w:rPr>
          <w:i/>
        </w:rPr>
        <w:t>x</w:t>
      </w:r>
    </w:p>
    <w:p>
      <w:pPr>
        <w:pStyle w:val="BodyText"/>
        <w:spacing w:before="138"/>
        <w:ind w:left="811"/>
      </w:pPr>
      <w:r>
        <w:rPr/>
        <w:t>(4.11):</w:t>
      </w:r>
    </w:p>
    <w:p>
      <w:pPr>
        <w:pStyle w:val="BodyText"/>
        <w:spacing w:before="146"/>
        <w:ind w:left="91"/>
      </w:pPr>
      <w:r>
        <w:rPr/>
        <w:br w:type="column"/>
      </w:r>
      <w:r>
        <w:rPr/>
        <w:t>is</w:t>
      </w:r>
      <w:r>
        <w:rPr>
          <w:spacing w:val="20"/>
        </w:rPr>
        <w:t> </w:t>
      </w:r>
      <w:r>
        <w:rPr/>
        <w:t>defined</w:t>
      </w:r>
      <w:r>
        <w:rPr>
          <w:spacing w:val="21"/>
        </w:rPr>
        <w:t> </w:t>
      </w:r>
      <w:r>
        <w:rPr/>
        <w:t>as</w:t>
      </w:r>
      <w:r>
        <w:rPr>
          <w:spacing w:val="19"/>
        </w:rPr>
        <w:t> </w:t>
      </w:r>
      <w:r>
        <w:rPr/>
        <w:t>equation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7198" w:space="40"/>
            <w:col w:w="3242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line="192" w:lineRule="auto" w:before="124"/>
        <w:ind w:left="1568" w:right="0" w:firstLine="0"/>
        <w:jc w:val="left"/>
        <w:rPr>
          <w:sz w:val="23"/>
        </w:rPr>
      </w:pPr>
      <w:r>
        <w:rPr>
          <w:rFonts w:ascii="Symbol" w:hAnsi="Symbol"/>
          <w:w w:val="105"/>
          <w:position w:val="-14"/>
          <w:sz w:val="23"/>
        </w:rPr>
        <w:t></w:t>
      </w:r>
      <w:r>
        <w:rPr>
          <w:i/>
          <w:w w:val="105"/>
          <w:position w:val="-14"/>
          <w:sz w:val="23"/>
        </w:rPr>
        <w:t>x</w:t>
      </w:r>
      <w:r>
        <w:rPr>
          <w:i/>
          <w:spacing w:val="2"/>
          <w:w w:val="105"/>
          <w:position w:val="-14"/>
          <w:sz w:val="23"/>
        </w:rPr>
        <w:t> </w:t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spacing w:val="29"/>
          <w:w w:val="105"/>
          <w:position w:val="-14"/>
          <w:sz w:val="23"/>
        </w:rPr>
        <w:t> </w:t>
      </w:r>
      <w:r>
        <w:rPr>
          <w:i/>
          <w:w w:val="105"/>
          <w:sz w:val="23"/>
        </w:rPr>
        <w:t>E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e</w:t>
      </w:r>
      <w:r>
        <w:rPr>
          <w:w w:val="105"/>
          <w:sz w:val="23"/>
        </w:rPr>
        <w:t>)</w:t>
      </w:r>
      <w:r>
        <w:rPr>
          <w:spacing w:val="-17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</w:t>
      </w:r>
      <w:r>
        <w:rPr>
          <w:spacing w:val="-23"/>
          <w:w w:val="105"/>
          <w:sz w:val="23"/>
        </w:rPr>
        <w:t> </w:t>
      </w:r>
      <w:r>
        <w:rPr>
          <w:i/>
          <w:w w:val="105"/>
          <w:sz w:val="23"/>
        </w:rPr>
        <w:t>e</w:t>
      </w:r>
      <w:r>
        <w:rPr>
          <w:i/>
          <w:spacing w:val="20"/>
          <w:w w:val="105"/>
          <w:sz w:val="23"/>
        </w:rPr>
        <w:t> </w:t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spacing w:val="29"/>
          <w:w w:val="105"/>
          <w:position w:val="-14"/>
          <w:sz w:val="23"/>
        </w:rPr>
        <w:t> </w:t>
      </w:r>
      <w:r>
        <w:rPr>
          <w:i/>
          <w:w w:val="105"/>
          <w:sz w:val="23"/>
        </w:rPr>
        <w:t>E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e</w:t>
      </w:r>
      <w:r>
        <w:rPr>
          <w:w w:val="105"/>
          <w:sz w:val="23"/>
        </w:rPr>
        <w:t>)</w:t>
      </w:r>
      <w:r>
        <w:rPr>
          <w:spacing w:val="5"/>
          <w:w w:val="105"/>
          <w:sz w:val="23"/>
        </w:rPr>
        <w:t> </w:t>
      </w:r>
      <w:r>
        <w:rPr>
          <w:rFonts w:ascii="Symbol" w:hAnsi="Symbol"/>
          <w:w w:val="105"/>
          <w:position w:val="-14"/>
          <w:sz w:val="23"/>
        </w:rPr>
        <w:t></w:t>
      </w:r>
      <w:r>
        <w:rPr>
          <w:w w:val="105"/>
          <w:position w:val="-14"/>
          <w:sz w:val="23"/>
        </w:rPr>
        <w:t>1</w:t>
      </w:r>
    </w:p>
    <w:p>
      <w:pPr>
        <w:tabs>
          <w:tab w:pos="3288" w:val="left" w:leader="none"/>
        </w:tabs>
        <w:spacing w:line="226" w:lineRule="exact" w:before="0"/>
        <w:ind w:left="2410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e</w:t>
        <w:tab/>
        <w:t>e</w:t>
      </w:r>
    </w:p>
    <w:p>
      <w:pPr>
        <w:pStyle w:val="BodyText"/>
        <w:spacing w:before="9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ind w:left="1549" w:right="1566"/>
        <w:jc w:val="center"/>
      </w:pPr>
      <w:r>
        <w:rPr/>
        <w:t>(4.11)</w:t>
      </w:r>
    </w:p>
    <w:p>
      <w:pPr>
        <w:spacing w:after="0"/>
        <w:jc w:val="center"/>
        <w:sectPr>
          <w:type w:val="continuous"/>
          <w:pgSz w:w="12240" w:h="15840"/>
          <w:pgMar w:top="1500" w:bottom="1200" w:left="1320" w:right="440"/>
          <w:cols w:num="2" w:equalWidth="0">
            <w:col w:w="3934" w:space="2811"/>
            <w:col w:w="3735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tabs>
          <w:tab w:pos="5960" w:val="left" w:leader="none"/>
        </w:tabs>
        <w:spacing w:line="360" w:lineRule="auto" w:before="90"/>
        <w:ind w:left="811" w:right="1000"/>
      </w:pPr>
      <w:r>
        <w:rPr/>
        <w:t>Therefore,</w:t>
      </w:r>
      <w:r>
        <w:rPr>
          <w:spacing w:val="36"/>
        </w:rPr>
        <w:t> </w:t>
      </w:r>
      <w:r>
        <w:rPr/>
        <w:t>equilibrium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BoP</w:t>
      </w:r>
      <w:r>
        <w:rPr>
          <w:spacing w:val="34"/>
        </w:rPr>
        <w:t> </w:t>
      </w:r>
      <w:r>
        <w:rPr/>
        <w:t>position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attained</w:t>
      </w:r>
      <w:r>
        <w:rPr>
          <w:spacing w:val="34"/>
        </w:rPr>
        <w:t> </w:t>
      </w:r>
      <w:r>
        <w:rPr/>
        <w:t>when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forces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demand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supply</w:t>
      </w:r>
      <w:r>
        <w:rPr>
          <w:spacing w:val="29"/>
        </w:rPr>
        <w:t> </w:t>
      </w:r>
      <w:r>
        <w:rPr/>
        <w:t>functions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these</w:t>
      </w:r>
      <w:r>
        <w:rPr>
          <w:spacing w:val="33"/>
        </w:rPr>
        <w:t> </w:t>
      </w:r>
      <w:r>
        <w:rPr/>
        <w:t>assets</w:t>
      </w:r>
      <w:r>
        <w:rPr>
          <w:spacing w:val="38"/>
        </w:rPr>
        <w:t> </w:t>
      </w:r>
      <w:r>
        <w:rPr/>
        <w:t>are</w:t>
      </w:r>
      <w:r>
        <w:rPr>
          <w:spacing w:val="36"/>
        </w:rPr>
        <w:t> </w:t>
      </w:r>
      <w:r>
        <w:rPr/>
        <w:t>equilibrated.</w:t>
        <w:tab/>
        <w:t>These</w:t>
      </w:r>
      <w:r>
        <w:rPr>
          <w:spacing w:val="34"/>
        </w:rPr>
        <w:t> </w:t>
      </w:r>
      <w:r>
        <w:rPr/>
        <w:t>functions</w:t>
      </w:r>
      <w:r>
        <w:rPr>
          <w:spacing w:val="35"/>
        </w:rPr>
        <w:t> </w:t>
      </w:r>
      <w:r>
        <w:rPr/>
        <w:t>are</w:t>
      </w:r>
      <w:r>
        <w:rPr>
          <w:spacing w:val="33"/>
        </w:rPr>
        <w:t> </w:t>
      </w:r>
      <w:r>
        <w:rPr/>
        <w:t>defined</w:t>
      </w:r>
      <w:r>
        <w:rPr>
          <w:spacing w:val="32"/>
        </w:rPr>
        <w:t> </w:t>
      </w:r>
      <w:r>
        <w:rPr/>
        <w:t>as,</w:t>
      </w:r>
      <w:r>
        <w:rPr>
          <w:spacing w:val="34"/>
        </w:rPr>
        <w:t> </w:t>
      </w:r>
      <w:r>
        <w:rPr/>
        <w:t>the</w:t>
      </w:r>
    </w:p>
    <w:p>
      <w:pPr>
        <w:spacing w:after="0" w:line="360" w:lineRule="auto"/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before="23"/>
        <w:ind w:left="811"/>
        <w:rPr>
          <w:i/>
          <w:sz w:val="14"/>
        </w:rPr>
      </w:pPr>
      <w:r>
        <w:rPr>
          <w:spacing w:val="-1"/>
        </w:rPr>
        <w:t>home</w:t>
      </w:r>
      <w:r>
        <w:rPr>
          <w:spacing w:val="1"/>
        </w:rPr>
        <w:t> </w:t>
      </w:r>
      <w:r>
        <w:rPr>
          <w:spacing w:val="-1"/>
        </w:rPr>
        <w:t>currency</w:t>
      </w:r>
      <w:r>
        <w:rPr>
          <w:spacing w:val="-3"/>
        </w:rPr>
        <w:t> </w:t>
      </w:r>
      <w:r>
        <w:rPr>
          <w:spacing w:val="-1"/>
        </w:rPr>
        <w:t>(money),</w:t>
      </w:r>
      <w:r>
        <w:rPr>
          <w:spacing w:val="4"/>
        </w:rPr>
        <w:t> </w:t>
      </w:r>
      <w:r>
        <w:rPr/>
        <w:t>home</w:t>
      </w:r>
      <w:r>
        <w:rPr>
          <w:spacing w:val="1"/>
        </w:rPr>
        <w:t> </w:t>
      </w:r>
      <w:r>
        <w:rPr/>
        <w:t>bond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foreign</w:t>
      </w:r>
      <w:r>
        <w:rPr>
          <w:spacing w:val="2"/>
        </w:rPr>
        <w:t> </w:t>
      </w:r>
      <w:r>
        <w:rPr/>
        <w:t>bond</w:t>
      </w:r>
      <w:r>
        <w:rPr>
          <w:spacing w:val="3"/>
        </w:rPr>
        <w:t> </w:t>
      </w:r>
      <w:r>
        <w:rPr/>
        <w:t>designated</w:t>
      </w:r>
      <w:r>
        <w:rPr>
          <w:spacing w:val="2"/>
        </w:rPr>
        <w:t> </w:t>
      </w:r>
      <w:r>
        <w:rPr/>
        <w:t>as</w:t>
      </w:r>
      <w:r>
        <w:rPr>
          <w:spacing w:val="-8"/>
        </w:rPr>
        <w:t> </w:t>
      </w:r>
      <w:r>
        <w:rPr>
          <w:i/>
        </w:rPr>
        <w:t>L</w:t>
      </w:r>
      <w:r>
        <w:rPr>
          <w:i/>
          <w:spacing w:val="-16"/>
        </w:rPr>
        <w:t> </w:t>
      </w:r>
      <w:r>
        <w:rPr/>
        <w:t>,</w:t>
      </w:r>
      <w:r>
        <w:rPr>
          <w:spacing w:val="46"/>
        </w:rPr>
        <w:t> </w:t>
      </w:r>
      <w:r>
        <w:rPr>
          <w:i/>
        </w:rPr>
        <w:t>B</w:t>
      </w:r>
      <w:r>
        <w:rPr>
          <w:i/>
          <w:position w:val="-5"/>
          <w:sz w:val="14"/>
        </w:rPr>
        <w:t>d</w:t>
      </w:r>
    </w:p>
    <w:p>
      <w:pPr>
        <w:spacing w:before="22"/>
        <w:ind w:left="71" w:right="0" w:firstLine="0"/>
        <w:jc w:val="left"/>
        <w:rPr>
          <w:i/>
          <w:sz w:val="14"/>
        </w:rPr>
      </w:pPr>
      <w:r>
        <w:rPr/>
        <w:br w:type="column"/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f</w:t>
      </w:r>
    </w:p>
    <w:p>
      <w:pPr>
        <w:pStyle w:val="BodyText"/>
        <w:spacing w:before="22"/>
        <w:ind w:left="97"/>
      </w:pPr>
      <w:r>
        <w:rPr/>
        <w:br w:type="column"/>
      </w:r>
      <w:r>
        <w:rPr/>
        <w:t>in</w:t>
      </w:r>
      <w:r>
        <w:rPr>
          <w:spacing w:val="2"/>
        </w:rPr>
        <w:t> </w:t>
      </w:r>
      <w:r>
        <w:rPr/>
        <w:t>that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3" w:equalWidth="0">
            <w:col w:w="7974" w:space="40"/>
            <w:col w:w="725" w:space="39"/>
            <w:col w:w="1702"/>
          </w:cols>
        </w:sectPr>
      </w:pPr>
    </w:p>
    <w:p>
      <w:pPr>
        <w:pStyle w:val="BodyText"/>
        <w:spacing w:line="360" w:lineRule="auto" w:before="181"/>
        <w:ind w:left="811" w:right="993"/>
      </w:pPr>
      <w:r>
        <w:rPr/>
        <w:t>order</w:t>
      </w:r>
      <w:r>
        <w:rPr>
          <w:i/>
        </w:rPr>
        <w:t>.</w:t>
      </w:r>
      <w:r>
        <w:rPr>
          <w:i/>
          <w:spacing w:val="19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taken</w:t>
      </w:r>
      <w:r>
        <w:rPr>
          <w:spacing w:val="37"/>
        </w:rPr>
        <w:t> </w:t>
      </w:r>
      <w:r>
        <w:rPr/>
        <w:t>that</w:t>
      </w:r>
      <w:r>
        <w:rPr>
          <w:spacing w:val="38"/>
        </w:rPr>
        <w:t> </w:t>
      </w:r>
      <w:r>
        <w:rPr/>
        <w:t>any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three</w:t>
      </w:r>
      <w:r>
        <w:rPr>
          <w:spacing w:val="37"/>
        </w:rPr>
        <w:t> </w:t>
      </w:r>
      <w:r>
        <w:rPr/>
        <w:t>assets</w:t>
      </w:r>
      <w:r>
        <w:rPr>
          <w:spacing w:val="37"/>
        </w:rPr>
        <w:t> </w:t>
      </w:r>
      <w:r>
        <w:rPr/>
        <w:t>can</w:t>
      </w:r>
      <w:r>
        <w:rPr>
          <w:spacing w:val="38"/>
        </w:rPr>
        <w:t> </w:t>
      </w:r>
      <w:r>
        <w:rPr/>
        <w:t>be</w:t>
      </w:r>
      <w:r>
        <w:rPr>
          <w:spacing w:val="36"/>
        </w:rPr>
        <w:t> </w:t>
      </w:r>
      <w:r>
        <w:rPr/>
        <w:t>held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any</w:t>
      </w:r>
      <w:r>
        <w:rPr>
          <w:spacing w:val="36"/>
        </w:rPr>
        <w:t> </w:t>
      </w:r>
      <w:r>
        <w:rPr/>
        <w:t>national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two</w:t>
      </w:r>
      <w:r>
        <w:rPr>
          <w:spacing w:val="-57"/>
        </w:rPr>
        <w:t> </w:t>
      </w:r>
      <w:r>
        <w:rPr/>
        <w:t>economies.</w:t>
      </w:r>
      <w:r>
        <w:rPr>
          <w:spacing w:val="58"/>
        </w:rPr>
        <w:t> </w:t>
      </w:r>
      <w:r>
        <w:rPr/>
        <w:t>A vector</w:t>
      </w:r>
      <w:r>
        <w:rPr>
          <w:spacing w:val="-1"/>
        </w:rPr>
        <w:t> </w:t>
      </w:r>
      <w:r>
        <w:rPr/>
        <w:t>representation 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is defined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equation (4.12):</w:t>
      </w:r>
    </w:p>
    <w:p>
      <w:pPr>
        <w:spacing w:after="0" w:line="360" w:lineRule="auto"/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142"/>
        <w:ind w:left="1572" w:right="0" w:firstLine="0"/>
        <w:jc w:val="left"/>
        <w:rPr>
          <w:rFonts w:ascii="Symbol" w:hAnsi="Symbol"/>
          <w:sz w:val="37"/>
        </w:rPr>
      </w:pPr>
      <w:r>
        <w:rPr>
          <w:i/>
          <w:spacing w:val="2"/>
          <w:w w:val="108"/>
          <w:sz w:val="23"/>
        </w:rPr>
        <w:t>Z</w:t>
      </w:r>
      <w:r>
        <w:rPr>
          <w:i/>
          <w:w w:val="111"/>
          <w:position w:val="-5"/>
          <w:sz w:val="13"/>
        </w:rPr>
        <w:t>i</w:t>
      </w:r>
      <w:r>
        <w:rPr>
          <w:i/>
          <w:position w:val="-5"/>
          <w:sz w:val="13"/>
        </w:rPr>
        <w:t>  </w:t>
      </w:r>
      <w:r>
        <w:rPr>
          <w:i/>
          <w:spacing w:val="-15"/>
          <w:position w:val="-5"/>
          <w:sz w:val="13"/>
        </w:rPr>
        <w:t> </w:t>
      </w:r>
      <w:r>
        <w:rPr>
          <w:rFonts w:ascii="Symbol" w:hAnsi="Symbol"/>
          <w:w w:val="108"/>
          <w:sz w:val="23"/>
        </w:rPr>
        <w:t></w:t>
      </w:r>
      <w:r>
        <w:rPr>
          <w:sz w:val="23"/>
        </w:rPr>
        <w:t> </w:t>
      </w:r>
      <w:r>
        <w:rPr>
          <w:spacing w:val="-20"/>
          <w:sz w:val="23"/>
        </w:rPr>
        <w:t> </w:t>
      </w:r>
      <w:r>
        <w:rPr>
          <w:i/>
          <w:w w:val="108"/>
          <w:sz w:val="23"/>
        </w:rPr>
        <w:t>f</w:t>
      </w:r>
      <w:r>
        <w:rPr>
          <w:i/>
          <w:spacing w:val="19"/>
          <w:sz w:val="23"/>
        </w:rPr>
        <w:t> </w:t>
      </w:r>
      <w:r>
        <w:rPr>
          <w:rFonts w:ascii="Symbol" w:hAnsi="Symbol"/>
          <w:spacing w:val="8"/>
          <w:w w:val="66"/>
          <w:position w:val="-2"/>
          <w:sz w:val="37"/>
        </w:rPr>
        <w:t></w:t>
      </w:r>
      <w:r>
        <w:rPr>
          <w:i/>
          <w:spacing w:val="-8"/>
          <w:w w:val="108"/>
          <w:sz w:val="23"/>
        </w:rPr>
        <w:t>i</w:t>
      </w:r>
      <w:r>
        <w:rPr>
          <w:i/>
          <w:w w:val="111"/>
          <w:position w:val="-5"/>
          <w:sz w:val="13"/>
        </w:rPr>
        <w:t>d</w:t>
      </w:r>
      <w:r>
        <w:rPr>
          <w:i/>
          <w:spacing w:val="3"/>
          <w:position w:val="-5"/>
          <w:sz w:val="13"/>
        </w:rPr>
        <w:t> </w:t>
      </w:r>
      <w:r>
        <w:rPr>
          <w:spacing w:val="19"/>
          <w:w w:val="108"/>
          <w:sz w:val="23"/>
        </w:rPr>
        <w:t>,</w:t>
      </w:r>
      <w:r>
        <w:rPr>
          <w:i/>
          <w:spacing w:val="18"/>
          <w:w w:val="108"/>
          <w:sz w:val="23"/>
        </w:rPr>
        <w:t>i</w:t>
      </w:r>
      <w:r>
        <w:rPr>
          <w:i/>
          <w:w w:val="111"/>
          <w:position w:val="-5"/>
          <w:sz w:val="13"/>
        </w:rPr>
        <w:t>f</w:t>
      </w:r>
      <w:r>
        <w:rPr>
          <w:i/>
          <w:position w:val="-5"/>
          <w:sz w:val="13"/>
        </w:rPr>
        <w:t> </w:t>
      </w:r>
      <w:r>
        <w:rPr>
          <w:i/>
          <w:spacing w:val="-10"/>
          <w:position w:val="-5"/>
          <w:sz w:val="13"/>
        </w:rPr>
        <w:t> </w:t>
      </w:r>
      <w:r>
        <w:rPr>
          <w:w w:val="108"/>
          <w:sz w:val="23"/>
        </w:rPr>
        <w:t>,</w:t>
      </w:r>
      <w:r>
        <w:rPr>
          <w:spacing w:val="-30"/>
          <w:sz w:val="23"/>
        </w:rPr>
        <w:t> </w:t>
      </w:r>
      <w:r>
        <w:rPr>
          <w:rFonts w:ascii="Symbol" w:hAnsi="Symbol"/>
          <w:spacing w:val="-9"/>
          <w:w w:val="108"/>
          <w:sz w:val="23"/>
        </w:rPr>
        <w:t></w:t>
      </w:r>
      <w:r>
        <w:rPr>
          <w:i/>
          <w:spacing w:val="-1"/>
          <w:w w:val="108"/>
          <w:sz w:val="23"/>
        </w:rPr>
        <w:t>x</w:t>
      </w:r>
      <w:r>
        <w:rPr>
          <w:spacing w:val="11"/>
          <w:w w:val="108"/>
          <w:sz w:val="23"/>
        </w:rPr>
        <w:t>,</w:t>
      </w:r>
      <w:r>
        <w:rPr>
          <w:i/>
          <w:spacing w:val="-18"/>
          <w:w w:val="108"/>
          <w:sz w:val="23"/>
        </w:rPr>
        <w:t>Y</w:t>
      </w:r>
      <w:r>
        <w:rPr>
          <w:i/>
          <w:w w:val="111"/>
          <w:position w:val="-5"/>
          <w:sz w:val="13"/>
        </w:rPr>
        <w:t>d</w:t>
      </w:r>
      <w:r>
        <w:rPr>
          <w:i/>
          <w:spacing w:val="-2"/>
          <w:position w:val="-5"/>
          <w:sz w:val="13"/>
        </w:rPr>
        <w:t> </w:t>
      </w:r>
      <w:r>
        <w:rPr>
          <w:i/>
          <w:spacing w:val="-44"/>
          <w:w w:val="108"/>
          <w:sz w:val="23"/>
        </w:rPr>
        <w:t>P</w:t>
      </w:r>
      <w:r>
        <w:rPr>
          <w:i/>
          <w:w w:val="111"/>
          <w:position w:val="-5"/>
          <w:sz w:val="13"/>
        </w:rPr>
        <w:t>d</w:t>
      </w:r>
      <w:r>
        <w:rPr>
          <w:i/>
          <w:spacing w:val="3"/>
          <w:position w:val="-5"/>
          <w:sz w:val="13"/>
        </w:rPr>
        <w:t> </w:t>
      </w:r>
      <w:r>
        <w:rPr>
          <w:spacing w:val="3"/>
          <w:w w:val="108"/>
          <w:sz w:val="23"/>
        </w:rPr>
        <w:t>,</w:t>
      </w:r>
      <w:r>
        <w:rPr>
          <w:i/>
          <w:spacing w:val="-16"/>
          <w:w w:val="108"/>
          <w:sz w:val="23"/>
        </w:rPr>
        <w:t>W</w:t>
      </w:r>
      <w:r>
        <w:rPr>
          <w:i/>
          <w:w w:val="111"/>
          <w:position w:val="-5"/>
          <w:sz w:val="13"/>
        </w:rPr>
        <w:t>d</w:t>
      </w:r>
      <w:r>
        <w:rPr>
          <w:i/>
          <w:position w:val="-5"/>
          <w:sz w:val="13"/>
        </w:rPr>
        <w:t> </w:t>
      </w:r>
      <w:r>
        <w:rPr>
          <w:i/>
          <w:spacing w:val="-13"/>
          <w:position w:val="-5"/>
          <w:sz w:val="13"/>
        </w:rPr>
        <w:t> </w:t>
      </w:r>
      <w:r>
        <w:rPr>
          <w:rFonts w:ascii="Symbol" w:hAnsi="Symbol"/>
          <w:w w:val="66"/>
          <w:position w:val="-2"/>
          <w:sz w:val="37"/>
        </w:rPr>
        <w:t></w:t>
      </w:r>
    </w:p>
    <w:p>
      <w:pPr>
        <w:pStyle w:val="BodyTex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sz w:val="21"/>
        </w:rPr>
      </w:r>
    </w:p>
    <w:p>
      <w:pPr>
        <w:pStyle w:val="BodyText"/>
        <w:ind w:left="1553" w:right="1700"/>
        <w:jc w:val="center"/>
      </w:pPr>
      <w:r>
        <w:rPr/>
        <w:t>(4.12)</w:t>
      </w:r>
    </w:p>
    <w:p>
      <w:pPr>
        <w:spacing w:after="0"/>
        <w:jc w:val="center"/>
        <w:sectPr>
          <w:type w:val="continuous"/>
          <w:pgSz w:w="12240" w:h="15840"/>
          <w:pgMar w:top="1500" w:bottom="1200" w:left="1320" w:right="440"/>
          <w:cols w:num="2" w:equalWidth="0">
            <w:col w:w="4110" w:space="2496"/>
            <w:col w:w="3874"/>
          </w:cols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811"/>
      </w:pPr>
      <w:r>
        <w:rPr/>
        <w:t>Where,</w:t>
      </w:r>
    </w:p>
    <w:p>
      <w:pPr>
        <w:pStyle w:val="BodyText"/>
        <w:spacing w:before="223"/>
        <w:ind w:left="851"/>
      </w:pPr>
      <w:r>
        <w:rPr>
          <w:i/>
        </w:rPr>
        <w:t>Z</w:t>
      </w:r>
      <w:r>
        <w:rPr>
          <w:i/>
          <w:position w:val="-5"/>
          <w:sz w:val="14"/>
        </w:rPr>
        <w:t>i</w:t>
      </w:r>
      <w:r>
        <w:rPr>
          <w:i/>
          <w:spacing w:val="30"/>
          <w:position w:val="-5"/>
          <w:sz w:val="14"/>
        </w:rPr>
        <w:t> </w:t>
      </w:r>
      <w:r>
        <w:rPr/>
        <w:t>=</w:t>
      </w:r>
      <w:r>
        <w:rPr>
          <w:spacing w:val="-1"/>
        </w:rPr>
        <w:t> </w:t>
      </w:r>
      <w:r>
        <w:rPr/>
        <w:t>could be</w:t>
      </w:r>
      <w:r>
        <w:rPr>
          <w:spacing w:val="1"/>
        </w:rPr>
        <w:t> </w:t>
      </w:r>
      <w:r>
        <w:rPr/>
        <w:t>demand or supply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assets</w:t>
      </w:r>
      <w:r>
        <w:rPr>
          <w:spacing w:val="1"/>
        </w:rPr>
        <w:t> </w:t>
      </w:r>
      <w:r>
        <w:rPr/>
        <w:t>discussed above,</w:t>
      </w:r>
    </w:p>
    <w:p>
      <w:pPr>
        <w:pStyle w:val="BodyText"/>
        <w:spacing w:before="245"/>
        <w:ind w:left="833"/>
      </w:pPr>
      <w:r>
        <w:rPr>
          <w:i/>
        </w:rPr>
        <w:t>Y</w:t>
      </w:r>
      <w:r>
        <w:rPr>
          <w:i/>
          <w:position w:val="-5"/>
          <w:sz w:val="14"/>
        </w:rPr>
        <w:t>d</w:t>
      </w:r>
      <w:r>
        <w:rPr>
          <w:i/>
          <w:spacing w:val="8"/>
          <w:position w:val="-5"/>
          <w:sz w:val="14"/>
        </w:rPr>
        <w:t> </w:t>
      </w:r>
      <w:r>
        <w:rPr/>
        <w:t>=</w:t>
      </w:r>
      <w:r>
        <w:rPr>
          <w:spacing w:val="-6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GDP,</w:t>
      </w:r>
    </w:p>
    <w:p>
      <w:pPr>
        <w:pStyle w:val="BodyText"/>
        <w:spacing w:before="245"/>
        <w:ind w:left="857"/>
      </w:pPr>
      <w:r>
        <w:rPr>
          <w:i/>
        </w:rPr>
        <w:t>P</w:t>
      </w:r>
      <w:r>
        <w:rPr>
          <w:i/>
          <w:position w:val="-5"/>
          <w:sz w:val="14"/>
        </w:rPr>
        <w:t>d</w:t>
      </w:r>
      <w:r>
        <w:rPr>
          <w:i/>
          <w:spacing w:val="17"/>
          <w:position w:val="-5"/>
          <w:sz w:val="14"/>
        </w:rPr>
        <w:t> </w:t>
      </w:r>
      <w:r>
        <w:rPr/>
        <w:t>=</w:t>
      </w:r>
      <w:r>
        <w:rPr>
          <w:spacing w:val="-8"/>
        </w:rPr>
        <w:t> </w:t>
      </w:r>
      <w:r>
        <w:rPr/>
        <w:t>Consumer</w:t>
      </w:r>
      <w:r>
        <w:rPr>
          <w:spacing w:val="-7"/>
        </w:rPr>
        <w:t> </w:t>
      </w:r>
      <w:r>
        <w:rPr/>
        <w:t>price</w:t>
      </w:r>
      <w:r>
        <w:rPr>
          <w:spacing w:val="-8"/>
        </w:rPr>
        <w:t> </w:t>
      </w:r>
      <w:r>
        <w:rPr/>
        <w:t>index,</w:t>
      </w:r>
    </w:p>
    <w:p>
      <w:pPr>
        <w:pStyle w:val="BodyText"/>
        <w:spacing w:before="247"/>
        <w:ind w:left="826"/>
      </w:pPr>
      <w:r>
        <w:rPr>
          <w:i/>
        </w:rPr>
        <w:t>W</w:t>
      </w:r>
      <w:r>
        <w:rPr>
          <w:i/>
          <w:position w:val="-5"/>
          <w:sz w:val="14"/>
        </w:rPr>
        <w:t>d</w:t>
      </w:r>
      <w:r>
        <w:rPr>
          <w:i/>
          <w:spacing w:val="28"/>
          <w:position w:val="-5"/>
          <w:sz w:val="14"/>
        </w:rPr>
        <w:t> </w:t>
      </w:r>
      <w:r>
        <w:rPr/>
        <w:t>=</w:t>
      </w:r>
      <w:r>
        <w:rPr>
          <w:spacing w:val="-2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/>
        <w:t>wealth</w:t>
      </w:r>
    </w:p>
    <w:p>
      <w:pPr>
        <w:pStyle w:val="BodyText"/>
        <w:spacing w:line="352" w:lineRule="auto" w:before="207"/>
        <w:ind w:left="811" w:right="993" w:firstLine="37"/>
      </w:pPr>
      <w:r>
        <w:rPr>
          <w:rFonts w:ascii="Symbol" w:hAnsi="Symbol"/>
        </w:rPr>
        <w:t></w:t>
      </w:r>
      <w:r>
        <w:rPr>
          <w:i/>
        </w:rPr>
        <w:t>x</w:t>
      </w:r>
      <w:r>
        <w:rPr>
          <w:i/>
          <w:spacing w:val="-12"/>
        </w:rPr>
        <w:t> </w:t>
      </w:r>
      <w:r>
        <w:rPr>
          <w:position w:val="-5"/>
        </w:rPr>
        <w:t>=</w:t>
      </w:r>
      <w:r>
        <w:rPr>
          <w:spacing w:val="1"/>
          <w:position w:val="-5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expected</w:t>
      </w:r>
      <w:r>
        <w:rPr>
          <w:spacing w:val="3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change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3"/>
        </w:rPr>
        <w:t> </w:t>
      </w:r>
      <w:r>
        <w:rPr/>
        <w:t>currency,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other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 defined</w:t>
      </w:r>
      <w:r>
        <w:rPr>
          <w:spacing w:val="2"/>
        </w:rPr>
        <w:t> </w:t>
      </w:r>
      <w:r>
        <w:rPr/>
        <w:t>above.</w:t>
      </w:r>
    </w:p>
    <w:p>
      <w:pPr>
        <w:spacing w:after="0" w:line="352" w:lineRule="auto"/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line="379" w:lineRule="auto" w:before="74"/>
        <w:ind w:left="811" w:right="995"/>
      </w:pPr>
      <w:r>
        <w:rPr/>
        <w:t>The</w:t>
      </w:r>
      <w:r>
        <w:rPr>
          <w:spacing w:val="27"/>
        </w:rPr>
        <w:t> </w:t>
      </w:r>
      <w:r>
        <w:rPr/>
        <w:t>bonds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domestic</w:t>
      </w:r>
      <w:r>
        <w:rPr>
          <w:spacing w:val="28"/>
        </w:rPr>
        <w:t> </w:t>
      </w:r>
      <w:r>
        <w:rPr/>
        <w:t>money</w:t>
      </w:r>
      <w:r>
        <w:rPr>
          <w:spacing w:val="23"/>
        </w:rPr>
        <w:t> </w:t>
      </w:r>
      <w:r>
        <w:rPr/>
        <w:t>supply</w:t>
      </w:r>
      <w:r>
        <w:rPr>
          <w:spacing w:val="24"/>
        </w:rPr>
        <w:t> </w:t>
      </w:r>
      <w:r>
        <w:rPr/>
        <w:t>define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wealth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domestic</w:t>
      </w:r>
      <w:r>
        <w:rPr>
          <w:spacing w:val="27"/>
        </w:rPr>
        <w:t> </w:t>
      </w:r>
      <w:r>
        <w:rPr/>
        <w:t>economy</w:t>
      </w:r>
      <w:r>
        <w:rPr>
          <w:spacing w:val="-57"/>
        </w:rPr>
        <w:t> </w:t>
      </w:r>
      <w:r>
        <w:rPr/>
        <w:t>(</w:t>
      </w:r>
      <w:r>
        <w:rPr>
          <w:i/>
        </w:rPr>
        <w:t>W</w:t>
      </w:r>
      <w:r>
        <w:rPr>
          <w:i/>
          <w:position w:val="-5"/>
          <w:sz w:val="14"/>
        </w:rPr>
        <w:t>d</w:t>
      </w:r>
      <w:r>
        <w:rPr>
          <w:i/>
          <w:spacing w:val="31"/>
          <w:position w:val="-5"/>
          <w:sz w:val="14"/>
        </w:rPr>
        <w:t> </w:t>
      </w:r>
      <w:r>
        <w:rPr/>
        <w:t>) in terms of</w:t>
      </w:r>
      <w:r>
        <w:rPr>
          <w:spacing w:val="-1"/>
        </w:rPr>
        <w:t> </w:t>
      </w:r>
      <w:r>
        <w:rPr/>
        <w:t>its own currency</w:t>
      </w:r>
      <w:r>
        <w:rPr>
          <w:spacing w:val="-5"/>
        </w:rPr>
        <w:t> </w:t>
      </w:r>
      <w:r>
        <w:rPr/>
        <w:t>as: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before="100"/>
        <w:ind w:left="826" w:right="0" w:firstLine="0"/>
        <w:jc w:val="left"/>
        <w:rPr>
          <w:i/>
          <w:sz w:val="14"/>
        </w:rPr>
      </w:pPr>
      <w:r>
        <w:rPr>
          <w:i/>
          <w:sz w:val="24"/>
        </w:rPr>
        <w:t>W</w:t>
      </w:r>
      <w:r>
        <w:rPr>
          <w:i/>
          <w:position w:val="-5"/>
          <w:sz w:val="14"/>
        </w:rPr>
        <w:t>d</w:t>
      </w:r>
      <w:r>
        <w:rPr>
          <w:i/>
          <w:spacing w:val="28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> </w:t>
      </w:r>
      <w:r>
        <w:rPr>
          <w:i/>
          <w:sz w:val="24"/>
        </w:rPr>
        <w:t>M</w:t>
      </w:r>
      <w:r>
        <w:rPr>
          <w:i/>
          <w:position w:val="-5"/>
          <w:sz w:val="14"/>
        </w:rPr>
        <w:t>s</w:t>
      </w:r>
      <w:r>
        <w:rPr>
          <w:i/>
          <w:spacing w:val="36"/>
          <w:position w:val="-5"/>
          <w:sz w:val="14"/>
        </w:rPr>
        <w:t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> </w: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h</w:t>
      </w:r>
      <w:r>
        <w:rPr>
          <w:i/>
          <w:spacing w:val="32"/>
          <w:position w:val="-5"/>
          <w:sz w:val="14"/>
        </w:rPr>
        <w:t> </w:t>
      </w:r>
      <w:r>
        <w:rPr>
          <w:rFonts w:ascii="Symbol" w:hAnsi="Symbol"/>
          <w:sz w:val="24"/>
        </w:rPr>
        <w:t></w:t>
      </w:r>
      <w:r>
        <w:rPr>
          <w:spacing w:val="-24"/>
          <w:sz w:val="24"/>
        </w:rPr>
        <w:t> </w:t>
      </w:r>
      <w:r>
        <w:rPr>
          <w:i/>
          <w:sz w:val="24"/>
        </w:rPr>
        <w:t>eB</w:t>
      </w:r>
      <w:r>
        <w:rPr>
          <w:i/>
          <w:position w:val="-5"/>
          <w:sz w:val="14"/>
        </w:rPr>
        <w:t>o</w:t>
      </w:r>
    </w:p>
    <w:p>
      <w:pPr>
        <w:pStyle w:val="BodyText"/>
        <w:spacing w:before="116"/>
        <w:ind w:left="826"/>
      </w:pPr>
      <w:r>
        <w:rPr/>
        <w:br w:type="column"/>
      </w:r>
      <w:r>
        <w:rPr/>
        <w:t>(4.13)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2712" w:space="4700"/>
            <w:col w:w="3068"/>
          </w:cols>
        </w:sectPr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before="90"/>
        <w:ind w:left="811"/>
      </w:pPr>
      <w:r>
        <w:rPr>
          <w:spacing w:val="-1"/>
        </w:rPr>
        <w:t>Where,</w:t>
      </w:r>
    </w:p>
    <w:p>
      <w:pPr>
        <w:pStyle w:val="BodyText"/>
        <w:spacing w:before="91"/>
        <w:ind w:left="68"/>
      </w:pPr>
      <w:r>
        <w:rPr/>
        <w:br w:type="column"/>
      </w:r>
      <w:r>
        <w:rPr>
          <w:i/>
          <w:spacing w:val="13"/>
        </w:rPr>
        <w:t>M</w:t>
      </w:r>
      <w:r>
        <w:rPr>
          <w:i/>
          <w:spacing w:val="13"/>
          <w:position w:val="-5"/>
          <w:sz w:val="14"/>
        </w:rPr>
        <w:t>s </w:t>
      </w:r>
      <w:r>
        <w:rPr>
          <w:i/>
          <w:spacing w:val="21"/>
          <w:position w:val="-5"/>
          <w:sz w:val="14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money</w:t>
      </w:r>
      <w:r>
        <w:rPr>
          <w:spacing w:val="-1"/>
        </w:rPr>
        <w:t> </w:t>
      </w:r>
      <w:r>
        <w:rPr/>
        <w:t>supply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home</w:t>
      </w:r>
      <w:r>
        <w:rPr>
          <w:spacing w:val="6"/>
        </w:rPr>
        <w:t> </w:t>
      </w:r>
      <w:r>
        <w:rPr/>
        <w:t>country,</w:t>
      </w:r>
    </w:p>
    <w:p>
      <w:pPr>
        <w:pStyle w:val="BodyText"/>
        <w:spacing w:before="91"/>
        <w:ind w:left="74"/>
      </w:pPr>
      <w:r>
        <w:rPr/>
        <w:br w:type="column"/>
      </w:r>
      <w:r>
        <w:rPr>
          <w:i/>
        </w:rPr>
        <w:t>B</w:t>
      </w:r>
      <w:r>
        <w:rPr>
          <w:i/>
          <w:position w:val="-5"/>
          <w:sz w:val="14"/>
        </w:rPr>
        <w:t>h</w:t>
      </w:r>
      <w:r>
        <w:rPr>
          <w:i/>
          <w:spacing w:val="12"/>
          <w:position w:val="-5"/>
          <w:sz w:val="14"/>
        </w:rPr>
        <w:t> </w:t>
      </w:r>
      <w:r>
        <w:rPr/>
        <w:t>is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stock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home</w:t>
      </w:r>
      <w:r>
        <w:rPr>
          <w:spacing w:val="3"/>
        </w:rPr>
        <w:t> </w:t>
      </w:r>
      <w:r>
        <w:rPr/>
        <w:t>bonds</w:t>
      </w:r>
      <w:r>
        <w:rPr>
          <w:spacing w:val="5"/>
        </w:rPr>
        <w:t> </w:t>
      </w:r>
      <w:r>
        <w:rPr/>
        <w:t>held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3" w:equalWidth="0">
            <w:col w:w="1510" w:space="40"/>
            <w:col w:w="4484" w:space="39"/>
            <w:col w:w="4407"/>
          </w:cols>
        </w:sectPr>
      </w:pPr>
    </w:p>
    <w:p>
      <w:pPr>
        <w:pStyle w:val="BodyText"/>
        <w:spacing w:before="183"/>
        <w:ind w:left="811"/>
      </w:pPr>
      <w:r>
        <w:rPr/>
        <w:drawing>
          <wp:anchor distT="0" distB="0" distL="0" distR="0" allowOverlap="1" layoutInCell="1" locked="0" behindDoc="1" simplePos="0" relativeHeight="477957632">
            <wp:simplePos x="0" y="0"/>
            <wp:positionH relativeFrom="page">
              <wp:posOffset>1485138</wp:posOffset>
            </wp:positionH>
            <wp:positionV relativeFrom="paragraph">
              <wp:posOffset>231560</wp:posOffset>
            </wp:positionV>
            <wp:extent cx="5102225" cy="5044439"/>
            <wp:effectExtent l="0" t="0" r="0" b="0"/>
            <wp:wrapNone/>
            <wp:docPr id="1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</w:t>
      </w:r>
      <w:r>
        <w:rPr>
          <w:spacing w:val="-9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investors,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before="185"/>
        <w:ind w:left="64"/>
      </w:pPr>
      <w:r>
        <w:rPr/>
        <w:br w:type="column"/>
      </w:r>
      <w:r>
        <w:rPr>
          <w:i/>
        </w:rPr>
        <w:t>B</w:t>
      </w:r>
      <w:r>
        <w:rPr>
          <w:i/>
          <w:position w:val="-5"/>
          <w:sz w:val="14"/>
        </w:rPr>
        <w:t>o</w:t>
      </w:r>
      <w:r>
        <w:rPr>
          <w:i/>
          <w:spacing w:val="13"/>
          <w:position w:val="-5"/>
          <w:sz w:val="14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stock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foreign</w:t>
      </w:r>
      <w:r>
        <w:rPr>
          <w:spacing w:val="-2"/>
        </w:rPr>
        <w:t> </w:t>
      </w:r>
      <w:r>
        <w:rPr/>
        <w:t>bonds</w:t>
      </w:r>
      <w:r>
        <w:rPr>
          <w:spacing w:val="-1"/>
        </w:rPr>
        <w:t> </w:t>
      </w:r>
      <w:r>
        <w:rPr/>
        <w:t>held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investors.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3373" w:space="40"/>
            <w:col w:w="7067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9" w:lineRule="auto" w:before="89"/>
        <w:ind w:left="811" w:right="996"/>
        <w:jc w:val="both"/>
      </w:pPr>
      <w:r>
        <w:rPr>
          <w:spacing w:val="-1"/>
        </w:rPr>
        <w:t>In</w:t>
      </w:r>
      <w:r>
        <w:rPr/>
        <w:t> </w:t>
      </w:r>
      <w:r>
        <w:rPr>
          <w:spacing w:val="-1"/>
        </w:rPr>
        <w:t>the domestic bond</w:t>
      </w:r>
      <w:r>
        <w:rPr/>
        <w:t> market, a rise in</w:t>
      </w:r>
      <w:r>
        <w:rPr>
          <w:spacing w:val="60"/>
        </w:rPr>
        <w:t> </w:t>
      </w:r>
      <w:r>
        <w:rPr/>
        <w:t>domestic interest rate</w:t>
      </w:r>
      <w:r>
        <w:rPr>
          <w:spacing w:val="60"/>
        </w:rPr>
        <w:t> </w:t>
      </w:r>
      <w:r>
        <w:rPr/>
        <w:t>(</w:t>
      </w:r>
      <w:r>
        <w:rPr>
          <w:i/>
        </w:rPr>
        <w:t>i</w:t>
      </w:r>
      <w:r>
        <w:rPr>
          <w:i/>
          <w:position w:val="-5"/>
          <w:sz w:val="14"/>
        </w:rPr>
        <w:t>d </w:t>
      </w:r>
      <w:r>
        <w:rPr/>
        <w:t>) will induce a huge</w:t>
      </w:r>
      <w:r>
        <w:rPr>
          <w:spacing w:val="1"/>
        </w:rPr>
        <w:t> </w:t>
      </w:r>
      <w:r>
        <w:rPr/>
        <w:t>capital inflow into the domestic economy.</w:t>
      </w:r>
      <w:r>
        <w:rPr>
          <w:spacing w:val="1"/>
        </w:rPr>
        <w:t> </w:t>
      </w:r>
      <w:r>
        <w:rPr/>
        <w:t>The effects of capital inflow may lead to an</w:t>
      </w:r>
      <w:r>
        <w:rPr>
          <w:spacing w:val="1"/>
        </w:rPr>
        <w:t> </w:t>
      </w:r>
      <w:r>
        <w:rPr/>
        <w:t>appreciation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exchange</w:t>
      </w:r>
      <w:r>
        <w:rPr>
          <w:spacing w:val="41"/>
        </w:rPr>
        <w:t> </w:t>
      </w:r>
      <w:r>
        <w:rPr/>
        <w:t>rate</w:t>
      </w:r>
      <w:r>
        <w:rPr>
          <w:spacing w:val="41"/>
        </w:rPr>
        <w:t> </w:t>
      </w:r>
      <w:r>
        <w:rPr/>
        <w:t>through</w:t>
      </w:r>
      <w:r>
        <w:rPr>
          <w:spacing w:val="44"/>
        </w:rPr>
        <w:t> </w:t>
      </w:r>
      <w:r>
        <w:rPr/>
        <w:t>high</w:t>
      </w:r>
      <w:r>
        <w:rPr>
          <w:spacing w:val="42"/>
        </w:rPr>
        <w:t> </w:t>
      </w:r>
      <w:r>
        <w:rPr/>
        <w:t>demand</w:t>
      </w:r>
      <w:r>
        <w:rPr>
          <w:spacing w:val="42"/>
        </w:rPr>
        <w:t> </w:t>
      </w:r>
      <w:r>
        <w:rPr/>
        <w:t>for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local</w:t>
      </w:r>
      <w:r>
        <w:rPr>
          <w:spacing w:val="42"/>
        </w:rPr>
        <w:t> </w:t>
      </w:r>
      <w:r>
        <w:rPr/>
        <w:t>currency.</w:t>
      </w:r>
      <w:r>
        <w:rPr>
          <w:spacing w:val="27"/>
        </w:rPr>
        <w:t> </w:t>
      </w:r>
      <w:r>
        <w:rPr/>
        <w:t>While</w:t>
      </w:r>
      <w:r>
        <w:rPr>
          <w:spacing w:val="41"/>
        </w:rPr>
        <w:t> </w:t>
      </w:r>
      <w:r>
        <w:rPr/>
        <w:t>an</w:t>
      </w:r>
    </w:p>
    <w:p>
      <w:pPr>
        <w:spacing w:after="0" w:line="369" w:lineRule="auto"/>
        <w:jc w:val="both"/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before="15"/>
        <w:ind w:left="811"/>
      </w:pPr>
      <w:r>
        <w:rPr/>
        <w:t>increase</w:t>
      </w:r>
      <w:r>
        <w:rPr>
          <w:spacing w:val="55"/>
        </w:rPr>
        <w:t> </w:t>
      </w:r>
      <w:r>
        <w:rPr/>
        <w:t>in</w:t>
      </w:r>
      <w:r>
        <w:rPr>
          <w:spacing w:val="57"/>
        </w:rPr>
        <w:t> </w:t>
      </w:r>
      <w:r>
        <w:rPr/>
        <w:t>foreign</w:t>
      </w:r>
      <w:r>
        <w:rPr>
          <w:spacing w:val="55"/>
        </w:rPr>
        <w:t> </w:t>
      </w:r>
      <w:r>
        <w:rPr/>
        <w:t>interest</w:t>
      </w:r>
      <w:r>
        <w:rPr>
          <w:spacing w:val="57"/>
        </w:rPr>
        <w:t> </w:t>
      </w:r>
      <w:r>
        <w:rPr/>
        <w:t>rate</w:t>
      </w:r>
      <w:r>
        <w:rPr>
          <w:spacing w:val="93"/>
        </w:rPr>
        <w:t> </w:t>
      </w:r>
      <w:r>
        <w:rPr/>
        <w:t>(</w:t>
      </w:r>
      <w:r>
        <w:rPr>
          <w:i/>
        </w:rPr>
        <w:t>i</w:t>
      </w:r>
      <w:r>
        <w:rPr>
          <w:i/>
          <w:position w:val="-5"/>
          <w:sz w:val="14"/>
        </w:rPr>
        <w:t>f</w:t>
      </w:r>
      <w:r>
        <w:rPr>
          <w:i/>
          <w:spacing w:val="27"/>
          <w:position w:val="-5"/>
          <w:sz w:val="14"/>
        </w:rPr>
        <w:t> </w:t>
      </w:r>
      <w:r>
        <w:rPr/>
        <w:t>)</w:t>
      </w:r>
    </w:p>
    <w:p>
      <w:pPr>
        <w:pStyle w:val="BodyText"/>
        <w:ind w:left="118"/>
      </w:pPr>
      <w:r>
        <w:rPr/>
        <w:br w:type="column"/>
      </w:r>
      <w:r>
        <w:rPr/>
        <w:t>and</w:t>
      </w:r>
      <w:r>
        <w:rPr>
          <w:spacing w:val="55"/>
        </w:rPr>
        <w:t> </w:t>
      </w:r>
      <w:r>
        <w:rPr/>
        <w:t>changes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exchange</w:t>
      </w:r>
      <w:r>
        <w:rPr>
          <w:spacing w:val="54"/>
        </w:rPr>
        <w:t> </w:t>
      </w:r>
      <w:r>
        <w:rPr/>
        <w:t>rate</w:t>
      </w:r>
      <w:r>
        <w:rPr>
          <w:spacing w:val="93"/>
        </w:rPr>
        <w:t> </w:t>
      </w:r>
      <w:r>
        <w:rPr/>
        <w:t>(</w:t>
      </w:r>
      <w:r>
        <w:rPr>
          <w:rFonts w:ascii="Symbol" w:hAnsi="Symbol"/>
        </w:rPr>
        <w:t></w:t>
      </w:r>
      <w:r>
        <w:rPr>
          <w:i/>
        </w:rPr>
        <w:t>x</w:t>
      </w:r>
      <w:r>
        <w:rPr/>
        <w:t>)</w:t>
      </w:r>
    </w:p>
    <w:p>
      <w:pPr>
        <w:pStyle w:val="BodyText"/>
        <w:spacing w:before="15"/>
        <w:ind w:left="232"/>
      </w:pPr>
      <w:r>
        <w:rPr/>
        <w:br w:type="column"/>
      </w:r>
      <w:r>
        <w:rPr/>
        <w:t>make</w:t>
      </w:r>
      <w:r>
        <w:rPr>
          <w:spacing w:val="53"/>
        </w:rPr>
        <w:t> </w:t>
      </w:r>
      <w:r>
        <w:rPr/>
        <w:t>the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3" w:equalWidth="0">
            <w:col w:w="4508" w:space="40"/>
            <w:col w:w="3736" w:space="39"/>
            <w:col w:w="2157"/>
          </w:cols>
        </w:sectPr>
      </w:pPr>
    </w:p>
    <w:p>
      <w:pPr>
        <w:pStyle w:val="BodyText"/>
        <w:spacing w:before="183"/>
        <w:ind w:left="811"/>
      </w:pPr>
      <w:r>
        <w:rPr/>
        <w:t>demand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holding</w:t>
      </w:r>
      <w:r>
        <w:rPr>
          <w:spacing w:val="5"/>
        </w:rPr>
        <w:t> </w:t>
      </w:r>
      <w:r>
        <w:rPr/>
        <w:t>domestic</w:t>
      </w:r>
      <w:r>
        <w:rPr>
          <w:spacing w:val="7"/>
        </w:rPr>
        <w:t> </w:t>
      </w:r>
      <w:r>
        <w:rPr/>
        <w:t>bonds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fall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favour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foreign</w:t>
      </w:r>
      <w:r>
        <w:rPr>
          <w:spacing w:val="8"/>
        </w:rPr>
        <w:t> </w:t>
      </w:r>
      <w:r>
        <w:rPr/>
        <w:t>bonds.</w:t>
      </w:r>
      <w:r>
        <w:rPr>
          <w:spacing w:val="79"/>
        </w:rPr>
        <w:t> </w:t>
      </w:r>
      <w:r>
        <w:rPr/>
        <w:t>Similarly,</w:t>
      </w:r>
      <w:r>
        <w:rPr>
          <w:spacing w:val="10"/>
        </w:rPr>
        <w:t> </w:t>
      </w:r>
      <w:r>
        <w:rPr/>
        <w:t>growth</w:t>
      </w:r>
    </w:p>
    <w:p>
      <w:pPr>
        <w:pStyle w:val="BodyText"/>
        <w:spacing w:before="159"/>
        <w:ind w:left="811"/>
      </w:pPr>
      <w:r>
        <w:rPr>
          <w:spacing w:val="-1"/>
        </w:rPr>
        <w:t>in</w:t>
      </w:r>
      <w:r>
        <w:rPr>
          <w:spacing w:val="26"/>
        </w:rPr>
        <w:t> </w:t>
      </w:r>
      <w:r>
        <w:rPr>
          <w:spacing w:val="-1"/>
        </w:rPr>
        <w:t>domestic</w:t>
      </w:r>
      <w:r>
        <w:rPr>
          <w:spacing w:val="25"/>
        </w:rPr>
        <w:t> </w:t>
      </w:r>
      <w:r>
        <w:rPr>
          <w:spacing w:val="-1"/>
        </w:rPr>
        <w:t>income</w:t>
      </w:r>
      <w:r>
        <w:rPr>
          <w:spacing w:val="63"/>
        </w:rPr>
        <w:t> </w:t>
      </w:r>
      <w:r>
        <w:rPr>
          <w:spacing w:val="-1"/>
        </w:rPr>
        <w:t>(</w:t>
      </w:r>
      <w:r>
        <w:rPr>
          <w:i/>
          <w:spacing w:val="-1"/>
        </w:rPr>
        <w:t>Y</w:t>
      </w:r>
      <w:r>
        <w:rPr>
          <w:i/>
          <w:spacing w:val="-1"/>
          <w:position w:val="-5"/>
          <w:sz w:val="14"/>
        </w:rPr>
        <w:t>d</w:t>
      </w:r>
      <w:r>
        <w:rPr>
          <w:i/>
          <w:spacing w:val="6"/>
          <w:position w:val="-5"/>
          <w:sz w:val="14"/>
        </w:rPr>
        <w:t> </w:t>
      </w:r>
      <w:r>
        <w:rPr>
          <w:spacing w:val="-1"/>
        </w:rPr>
        <w:t>)</w:t>
      </w:r>
      <w:r>
        <w:rPr>
          <w:spacing w:val="71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>
          <w:spacing w:val="-1"/>
        </w:rPr>
        <w:t>increases</w:t>
      </w:r>
      <w:r>
        <w:rPr>
          <w:spacing w:val="27"/>
        </w:rPr>
        <w:t> </w:t>
      </w:r>
      <w:r>
        <w:rPr>
          <w:spacing w:val="-1"/>
        </w:rPr>
        <w:t>in</w:t>
      </w:r>
      <w:r>
        <w:rPr>
          <w:spacing w:val="26"/>
        </w:rPr>
        <w:t> </w:t>
      </w:r>
      <w:r>
        <w:rPr>
          <w:spacing w:val="-1"/>
        </w:rPr>
        <w:t>domestic</w:t>
      </w:r>
      <w:r>
        <w:rPr>
          <w:spacing w:val="25"/>
        </w:rPr>
        <w:t> </w:t>
      </w:r>
      <w:r>
        <w:rPr/>
        <w:t>price</w:t>
      </w:r>
      <w:r>
        <w:rPr>
          <w:spacing w:val="64"/>
        </w:rPr>
        <w:t> </w:t>
      </w:r>
      <w:r>
        <w:rPr/>
        <w:t>(</w:t>
      </w:r>
      <w:r>
        <w:rPr>
          <w:i/>
        </w:rPr>
        <w:t>P</w:t>
      </w:r>
      <w:r>
        <w:rPr>
          <w:i/>
          <w:position w:val="-5"/>
          <w:sz w:val="14"/>
        </w:rPr>
        <w:t>d</w:t>
      </w:r>
      <w:r>
        <w:rPr>
          <w:i/>
          <w:spacing w:val="7"/>
          <w:position w:val="-5"/>
          <w:sz w:val="14"/>
        </w:rPr>
        <w:t> </w:t>
      </w:r>
      <w:r>
        <w:rPr/>
        <w:t>)</w:t>
      </w:r>
      <w:r>
        <w:rPr>
          <w:spacing w:val="-27"/>
        </w:rPr>
        <w:t> </w:t>
      </w:r>
      <w:r>
        <w:rPr/>
        <w:t>in</w:t>
      </w:r>
      <w:r>
        <w:rPr>
          <w:spacing w:val="26"/>
        </w:rPr>
        <w:t> </w:t>
      </w:r>
      <w:r>
        <w:rPr/>
        <w:t>total</w:t>
      </w:r>
      <w:r>
        <w:rPr>
          <w:spacing w:val="27"/>
        </w:rPr>
        <w:t> </w:t>
      </w:r>
      <w:r>
        <w:rPr/>
        <w:t>leads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a</w:t>
      </w:r>
      <w:r>
        <w:rPr>
          <w:spacing w:val="28"/>
        </w:rPr>
        <w:t> </w:t>
      </w:r>
      <w:r>
        <w:rPr/>
        <w:t>fall</w:t>
      </w:r>
      <w:r>
        <w:rPr>
          <w:spacing w:val="26"/>
        </w:rPr>
        <w:t> </w:t>
      </w:r>
      <w:r>
        <w:rPr/>
        <w:t>in</w:t>
      </w:r>
    </w:p>
    <w:p>
      <w:pPr>
        <w:pStyle w:val="BodyText"/>
        <w:spacing w:line="360" w:lineRule="auto" w:before="162"/>
        <w:ind w:left="811" w:right="993"/>
      </w:pPr>
      <w:r>
        <w:rPr/>
        <w:t>demand</w:t>
      </w:r>
      <w:r>
        <w:rPr>
          <w:spacing w:val="19"/>
        </w:rPr>
        <w:t> </w:t>
      </w:r>
      <w:r>
        <w:rPr/>
        <w:t>for</w:t>
      </w:r>
      <w:r>
        <w:rPr>
          <w:spacing w:val="20"/>
        </w:rPr>
        <w:t> </w:t>
      </w:r>
      <w:r>
        <w:rPr/>
        <w:t>both</w:t>
      </w:r>
      <w:r>
        <w:rPr>
          <w:spacing w:val="21"/>
        </w:rPr>
        <w:t> </w:t>
      </w:r>
      <w:r>
        <w:rPr/>
        <w:t>domestic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foreign</w:t>
      </w:r>
      <w:r>
        <w:rPr>
          <w:spacing w:val="23"/>
        </w:rPr>
        <w:t> </w:t>
      </w:r>
      <w:r>
        <w:rPr/>
        <w:t>bonds.</w:t>
      </w:r>
      <w:r>
        <w:rPr>
          <w:spacing w:val="49"/>
        </w:rPr>
        <w:t> </w:t>
      </w:r>
      <w:r>
        <w:rPr/>
        <w:t>This</w:t>
      </w:r>
      <w:r>
        <w:rPr>
          <w:spacing w:val="21"/>
        </w:rPr>
        <w:t> </w:t>
      </w:r>
      <w:r>
        <w:rPr/>
        <w:t>may</w:t>
      </w:r>
      <w:r>
        <w:rPr>
          <w:spacing w:val="18"/>
        </w:rPr>
        <w:t> </w:t>
      </w:r>
      <w:r>
        <w:rPr/>
        <w:t>be</w:t>
      </w:r>
      <w:r>
        <w:rPr>
          <w:spacing w:val="22"/>
        </w:rPr>
        <w:t> </w:t>
      </w:r>
      <w:r>
        <w:rPr/>
        <w:t>due</w:t>
      </w:r>
      <w:r>
        <w:rPr>
          <w:spacing w:val="20"/>
        </w:rPr>
        <w:t> </w:t>
      </w:r>
      <w:r>
        <w:rPr/>
        <w:t>to</w:t>
      </w:r>
      <w:r>
        <w:rPr>
          <w:spacing w:val="24"/>
        </w:rPr>
        <w:t> </w:t>
      </w:r>
      <w:r>
        <w:rPr/>
        <w:t>transactions</w:t>
      </w:r>
      <w:r>
        <w:rPr>
          <w:spacing w:val="21"/>
        </w:rPr>
        <w:t> </w:t>
      </w:r>
      <w:r>
        <w:rPr/>
        <w:t>demand</w:t>
      </w:r>
      <w:r>
        <w:rPr>
          <w:spacing w:val="-57"/>
        </w:rPr>
        <w:t> </w:t>
      </w:r>
      <w:r>
        <w:rPr/>
        <w:t>for</w:t>
      </w:r>
      <w:r>
        <w:rPr>
          <w:spacing w:val="45"/>
        </w:rPr>
        <w:t> </w:t>
      </w:r>
      <w:r>
        <w:rPr/>
        <w:t>money,</w:t>
      </w:r>
      <w:r>
        <w:rPr>
          <w:spacing w:val="46"/>
        </w:rPr>
        <w:t> </w:t>
      </w:r>
      <w:r>
        <w:rPr/>
        <w:t>which</w:t>
      </w:r>
      <w:r>
        <w:rPr>
          <w:spacing w:val="46"/>
        </w:rPr>
        <w:t> </w:t>
      </w:r>
      <w:r>
        <w:rPr/>
        <w:t>implies</w:t>
      </w:r>
      <w:r>
        <w:rPr>
          <w:spacing w:val="48"/>
        </w:rPr>
        <w:t> </w:t>
      </w:r>
      <w:r>
        <w:rPr/>
        <w:t>that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rise</w:t>
      </w:r>
      <w:r>
        <w:rPr>
          <w:spacing w:val="45"/>
        </w:rPr>
        <w:t> </w:t>
      </w:r>
      <w:r>
        <w:rPr/>
        <w:t>in</w:t>
      </w:r>
      <w:r>
        <w:rPr>
          <w:spacing w:val="48"/>
        </w:rPr>
        <w:t> </w:t>
      </w:r>
      <w:r>
        <w:rPr/>
        <w:t>income</w:t>
      </w:r>
      <w:r>
        <w:rPr>
          <w:spacing w:val="45"/>
        </w:rPr>
        <w:t> </w:t>
      </w:r>
      <w:r>
        <w:rPr/>
        <w:t>causes</w:t>
      </w:r>
      <w:r>
        <w:rPr>
          <w:spacing w:val="46"/>
        </w:rPr>
        <w:t> </w:t>
      </w:r>
      <w:r>
        <w:rPr/>
        <w:t>an</w:t>
      </w:r>
      <w:r>
        <w:rPr>
          <w:spacing w:val="47"/>
        </w:rPr>
        <w:t> </w:t>
      </w:r>
      <w:r>
        <w:rPr/>
        <w:t>increase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transaction</w:t>
      </w:r>
    </w:p>
    <w:p>
      <w:pPr>
        <w:spacing w:after="0" w:line="360" w:lineRule="auto"/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before="22"/>
        <w:ind w:left="811"/>
      </w:pPr>
      <w:r>
        <w:rPr/>
        <w:t>demand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money.</w:t>
      </w:r>
      <w:r>
        <w:rPr>
          <w:spacing w:val="61"/>
        </w:rPr>
        <w:t> </w:t>
      </w:r>
      <w:r>
        <w:rPr/>
        <w:t>While a</w:t>
      </w:r>
      <w:r>
        <w:rPr>
          <w:spacing w:val="-1"/>
        </w:rPr>
        <w:t> </w:t>
      </w:r>
      <w:r>
        <w:rPr/>
        <w:t>rise in</w:t>
      </w:r>
      <w:r>
        <w:rPr>
          <w:spacing w:val="4"/>
        </w:rPr>
        <w:t> </w:t>
      </w:r>
      <w:r>
        <w:rPr/>
        <w:t>total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wealth</w:t>
      </w:r>
      <w:r>
        <w:rPr>
          <w:spacing w:val="38"/>
        </w:rPr>
        <w:t> </w:t>
      </w:r>
      <w:r>
        <w:rPr/>
        <w:t>(</w:t>
      </w:r>
      <w:r>
        <w:rPr>
          <w:i/>
        </w:rPr>
        <w:t>W</w:t>
      </w:r>
      <w:r>
        <w:rPr>
          <w:i/>
          <w:position w:val="-5"/>
          <w:sz w:val="14"/>
        </w:rPr>
        <w:t>d</w:t>
      </w:r>
      <w:r>
        <w:rPr>
          <w:i/>
          <w:spacing w:val="5"/>
          <w:position w:val="-5"/>
          <w:sz w:val="14"/>
        </w:rPr>
        <w:t> </w:t>
      </w:r>
      <w:r>
        <w:rPr/>
        <w:t>)</w:t>
      </w:r>
    </w:p>
    <w:p>
      <w:pPr>
        <w:pStyle w:val="BodyText"/>
        <w:spacing w:before="22"/>
        <w:ind w:left="63"/>
      </w:pPr>
      <w:r>
        <w:rPr/>
        <w:br w:type="column"/>
      </w:r>
      <w:r>
        <w:rPr/>
        <w:t>will</w:t>
      </w:r>
      <w:r>
        <w:rPr>
          <w:spacing w:val="2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 in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6906" w:space="40"/>
            <w:col w:w="3534"/>
          </w:cols>
        </w:sectPr>
      </w:pPr>
    </w:p>
    <w:p>
      <w:pPr>
        <w:pStyle w:val="BodyText"/>
        <w:spacing w:line="360" w:lineRule="auto" w:before="161"/>
        <w:ind w:left="811" w:right="990"/>
      </w:pPr>
      <w:r>
        <w:rPr/>
        <w:t>the</w:t>
      </w:r>
      <w:r>
        <w:rPr>
          <w:spacing w:val="15"/>
        </w:rPr>
        <w:t> </w:t>
      </w:r>
      <w:r>
        <w:rPr/>
        <w:t>demand</w:t>
      </w:r>
      <w:r>
        <w:rPr>
          <w:spacing w:val="18"/>
        </w:rPr>
        <w:t> </w:t>
      </w:r>
      <w:r>
        <w:rPr/>
        <w:t>for</w:t>
      </w:r>
      <w:r>
        <w:rPr>
          <w:spacing w:val="15"/>
        </w:rPr>
        <w:t> </w:t>
      </w:r>
      <w:r>
        <w:rPr/>
        <w:t>both</w:t>
      </w:r>
      <w:r>
        <w:rPr>
          <w:spacing w:val="19"/>
        </w:rPr>
        <w:t> </w:t>
      </w:r>
      <w:r>
        <w:rPr/>
        <w:t>bonds</w:t>
      </w:r>
      <w:r>
        <w:rPr>
          <w:spacing w:val="18"/>
        </w:rPr>
        <w:t> </w:t>
      </w:r>
      <w:r>
        <w:rPr/>
        <w:t>since</w:t>
      </w:r>
      <w:r>
        <w:rPr>
          <w:spacing w:val="15"/>
        </w:rPr>
        <w:t> </w:t>
      </w:r>
      <w:r>
        <w:rPr/>
        <w:t>there</w:t>
      </w:r>
      <w:r>
        <w:rPr>
          <w:spacing w:val="17"/>
        </w:rPr>
        <w:t> </w:t>
      </w:r>
      <w:r>
        <w:rPr/>
        <w:t>would</w:t>
      </w:r>
      <w:r>
        <w:rPr>
          <w:spacing w:val="16"/>
        </w:rPr>
        <w:t> </w:t>
      </w:r>
      <w:r>
        <w:rPr/>
        <w:t>be</w:t>
      </w:r>
      <w:r>
        <w:rPr>
          <w:spacing w:val="18"/>
        </w:rPr>
        <w:t> </w:t>
      </w:r>
      <w:r>
        <w:rPr/>
        <w:t>available</w:t>
      </w:r>
      <w:r>
        <w:rPr>
          <w:spacing w:val="17"/>
        </w:rPr>
        <w:t> </w:t>
      </w:r>
      <w:r>
        <w:rPr/>
        <w:t>resources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invest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two</w:t>
      </w:r>
      <w:r>
        <w:rPr>
          <w:spacing w:val="-57"/>
        </w:rPr>
        <w:t> </w:t>
      </w:r>
      <w:r>
        <w:rPr/>
        <w:t>bond</w:t>
      </w:r>
      <w:r>
        <w:rPr>
          <w:spacing w:val="-1"/>
        </w:rPr>
        <w:t> </w:t>
      </w:r>
      <w:r>
        <w:rPr/>
        <w:t>markets.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before="116"/>
        <w:ind w:left="811"/>
      </w:pPr>
      <w:r>
        <w:rPr>
          <w:spacing w:val="-1"/>
        </w:rPr>
        <w:t>For</w:t>
      </w:r>
      <w:r>
        <w:rPr>
          <w:spacing w:val="18"/>
        </w:rPr>
        <w:t> </w:t>
      </w:r>
      <w:r>
        <w:rPr>
          <w:spacing w:val="-1"/>
        </w:rPr>
        <w:t>money</w:t>
      </w:r>
      <w:r>
        <w:rPr>
          <w:spacing w:val="16"/>
        </w:rPr>
        <w:t> </w:t>
      </w:r>
      <w:r>
        <w:rPr/>
        <w:t>demand</w:t>
      </w:r>
      <w:r>
        <w:rPr>
          <w:spacing w:val="21"/>
        </w:rPr>
        <w:t> </w:t>
      </w:r>
      <w:r>
        <w:rPr/>
        <w:t>function,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rise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any</w:t>
      </w:r>
      <w:r>
        <w:rPr>
          <w:spacing w:val="14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variables</w:t>
      </w:r>
      <w:r>
        <w:rPr>
          <w:spacing w:val="-23"/>
        </w:rPr>
        <w:t> </w:t>
      </w:r>
      <w:r>
        <w:rPr>
          <w:i/>
        </w:rPr>
        <w:t>i</w:t>
      </w:r>
      <w:r>
        <w:rPr>
          <w:i/>
          <w:position w:val="-5"/>
          <w:sz w:val="14"/>
        </w:rPr>
        <w:t>d</w:t>
      </w:r>
      <w:r>
        <w:rPr>
          <w:i/>
          <w:spacing w:val="28"/>
          <w:position w:val="-5"/>
          <w:sz w:val="14"/>
        </w:rPr>
        <w:t> </w:t>
      </w:r>
      <w:r>
        <w:rPr/>
        <w:t>,</w:t>
      </w:r>
    </w:p>
    <w:p>
      <w:pPr>
        <w:spacing w:before="100"/>
        <w:ind w:left="7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2"/>
          <w:sz w:val="24"/>
        </w:rPr>
        <w:t>i</w:t>
      </w:r>
      <w:r>
        <w:rPr>
          <w:i/>
          <w:spacing w:val="-37"/>
          <w:sz w:val="24"/>
        </w:rPr>
        <w:t> </w:t>
      </w:r>
      <w:r>
        <w:rPr>
          <w:i/>
          <w:spacing w:val="-2"/>
          <w:position w:val="-5"/>
          <w:sz w:val="14"/>
        </w:rPr>
        <w:t>f</w:t>
      </w:r>
      <w:r>
        <w:rPr>
          <w:i/>
          <w:spacing w:val="53"/>
          <w:position w:val="-5"/>
          <w:sz w:val="14"/>
        </w:rPr>
        <w:t> </w:t>
      </w:r>
      <w:r>
        <w:rPr>
          <w:spacing w:val="-2"/>
          <w:sz w:val="24"/>
        </w:rPr>
        <w:t>and</w:t>
      </w:r>
      <w:r>
        <w:rPr>
          <w:spacing w:val="57"/>
          <w:sz w:val="24"/>
        </w:rPr>
        <w:t> </w:t>
      </w:r>
      <w:r>
        <w:rPr>
          <w:rFonts w:ascii="Symbol" w:hAnsi="Symbol"/>
          <w:spacing w:val="-2"/>
          <w:sz w:val="24"/>
        </w:rPr>
        <w:t></w:t>
      </w:r>
      <w:r>
        <w:rPr>
          <w:i/>
          <w:spacing w:val="-2"/>
          <w:sz w:val="24"/>
        </w:rPr>
        <w:t>x</w:t>
      </w:r>
    </w:p>
    <w:p>
      <w:pPr>
        <w:pStyle w:val="BodyText"/>
        <w:spacing w:before="116"/>
        <w:ind w:left="90"/>
      </w:pPr>
      <w:r>
        <w:rPr/>
        <w:br w:type="column"/>
      </w:r>
      <w:r>
        <w:rPr/>
        <w:t>makes</w:t>
      </w:r>
      <w:r>
        <w:rPr>
          <w:spacing w:val="17"/>
        </w:rPr>
        <w:t> </w:t>
      </w:r>
      <w:r>
        <w:rPr/>
        <w:t>demand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3" w:equalWidth="0">
            <w:col w:w="6849" w:space="40"/>
            <w:col w:w="1012" w:space="39"/>
            <w:col w:w="2540"/>
          </w:cols>
        </w:sectPr>
      </w:pPr>
    </w:p>
    <w:p>
      <w:pPr>
        <w:pStyle w:val="BodyText"/>
        <w:spacing w:line="360" w:lineRule="auto" w:before="179"/>
        <w:ind w:left="811" w:right="1001"/>
        <w:jc w:val="both"/>
      </w:pPr>
      <w:r>
        <w:rPr/>
        <w:t>for money to fall as investors would want to invest in both bonds due to an increase in</w:t>
      </w:r>
      <w:r>
        <w:rPr>
          <w:spacing w:val="1"/>
        </w:rPr>
        <w:t> </w:t>
      </w:r>
      <w:r>
        <w:rPr/>
        <w:t>their returns.</w:t>
      </w:r>
      <w:r>
        <w:rPr>
          <w:spacing w:val="1"/>
        </w:rPr>
        <w:t> </w:t>
      </w:r>
      <w:r>
        <w:rPr/>
        <w:t>Growth in income, general price level and wealth will cause an increase in</w:t>
      </w:r>
      <w:r>
        <w:rPr>
          <w:spacing w:val="1"/>
        </w:rPr>
        <w:t> </w:t>
      </w:r>
      <w:r>
        <w:rPr/>
        <w:t>demand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money</w:t>
      </w:r>
      <w:r>
        <w:rPr>
          <w:spacing w:val="-5"/>
        </w:rPr>
        <w:t> </w:t>
      </w:r>
      <w:r>
        <w:rPr/>
        <w:t>in order to finance additional transactions.</w:t>
      </w:r>
    </w:p>
    <w:p>
      <w:pPr>
        <w:pStyle w:val="BodyText"/>
        <w:spacing w:line="360" w:lineRule="auto" w:before="200"/>
        <w:ind w:left="811" w:right="997"/>
        <w:jc w:val="both"/>
      </w:pPr>
      <w:r>
        <w:rPr/>
        <w:t>Two other policy issues are considered in this approach.</w:t>
      </w:r>
      <w:r>
        <w:rPr>
          <w:spacing w:val="1"/>
        </w:rPr>
        <w:t> </w:t>
      </w:r>
      <w:r>
        <w:rPr/>
        <w:t>Under the BoP accounting, a</w:t>
      </w:r>
      <w:r>
        <w:rPr>
          <w:spacing w:val="1"/>
        </w:rPr>
        <w:t> </w:t>
      </w:r>
      <w:r>
        <w:rPr/>
        <w:t>current account deficit is associated with a capital account surplus; that is, with a current</w:t>
      </w:r>
      <w:r>
        <w:rPr>
          <w:spacing w:val="1"/>
        </w:rPr>
        <w:t> </w:t>
      </w:r>
      <w:r>
        <w:rPr/>
        <w:t>account deficit, the home country borrows from</w:t>
      </w:r>
      <w:r>
        <w:rPr>
          <w:spacing w:val="1"/>
        </w:rPr>
        <w:t> </w:t>
      </w:r>
      <w:r>
        <w:rPr/>
        <w:t>foreign countries due to</w:t>
      </w:r>
      <w:r>
        <w:rPr>
          <w:spacing w:val="60"/>
        </w:rPr>
        <w:t> </w:t>
      </w:r>
      <w:r>
        <w:rPr/>
        <w:t>the net outflow</w:t>
      </w:r>
      <w:r>
        <w:rPr>
          <w:spacing w:val="1"/>
        </w:rPr>
        <w:t> </w:t>
      </w:r>
      <w:r>
        <w:rPr/>
        <w:t>of foreign exchange on the current account.</w:t>
      </w:r>
      <w:r>
        <w:rPr>
          <w:spacing w:val="1"/>
        </w:rPr>
        <w:t> </w:t>
      </w:r>
      <w:r>
        <w:rPr/>
        <w:t>This will lead to a depreciation of the</w:t>
      </w:r>
      <w:r>
        <w:rPr>
          <w:spacing w:val="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currency.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line="360" w:lineRule="auto" w:before="74"/>
        <w:ind w:left="811" w:right="992"/>
        <w:jc w:val="both"/>
      </w:pPr>
      <w:r>
        <w:rPr/>
        <w:drawing>
          <wp:anchor distT="0" distB="0" distL="0" distR="0" allowOverlap="1" layoutInCell="1" locked="0" behindDoc="1" simplePos="0" relativeHeight="477958144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6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existence of fiscal deficit also plays a role in the bond market.</w:t>
      </w:r>
      <w:r>
        <w:rPr>
          <w:spacing w:val="1"/>
        </w:rPr>
        <w:t> </w:t>
      </w:r>
      <w:r>
        <w:rPr/>
        <w:t>According to Rivera-</w:t>
      </w:r>
      <w:r>
        <w:rPr>
          <w:spacing w:val="1"/>
        </w:rPr>
        <w:t> </w:t>
      </w:r>
      <w:r>
        <w:rPr/>
        <w:t>Batiz, et al., (1994), if the government deficit is financed by domestic bonds, then the</w:t>
      </w:r>
      <w:r>
        <w:rPr>
          <w:spacing w:val="1"/>
        </w:rPr>
        <w:t> </w:t>
      </w:r>
      <w:r>
        <w:rPr/>
        <w:t>supply of domestic bonds must increase.</w:t>
      </w:r>
      <w:r>
        <w:rPr>
          <w:spacing w:val="1"/>
        </w:rPr>
        <w:t> </w:t>
      </w:r>
      <w:r>
        <w:rPr/>
        <w:t>This increase would require a reduction in their</w:t>
      </w:r>
      <w:r>
        <w:rPr>
          <w:spacing w:val="1"/>
        </w:rPr>
        <w:t> </w:t>
      </w:r>
      <w:r>
        <w:rPr/>
        <w:t>price in order to attract foreign investors.</w:t>
      </w:r>
      <w:r>
        <w:rPr>
          <w:spacing w:val="1"/>
        </w:rPr>
        <w:t> </w:t>
      </w:r>
      <w:r>
        <w:rPr/>
        <w:t>Such a reduction in price that might attract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depreciation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local</w:t>
      </w:r>
      <w:r>
        <w:rPr>
          <w:spacing w:val="2"/>
        </w:rPr>
        <w:t> </w:t>
      </w:r>
      <w:r>
        <w:rPr/>
        <w:t>currency.</w:t>
      </w:r>
    </w:p>
    <w:p>
      <w:pPr>
        <w:pStyle w:val="BodyText"/>
        <w:spacing w:line="360" w:lineRule="auto" w:before="200"/>
        <w:ind w:left="811" w:right="993"/>
        <w:jc w:val="both"/>
      </w:pPr>
      <w:r>
        <w:rPr/>
        <w:t>The portfolio balance model generally suggests that the existence of a BoP surplus or</w:t>
      </w:r>
      <w:r>
        <w:rPr>
          <w:spacing w:val="1"/>
        </w:rPr>
        <w:t> </w:t>
      </w:r>
      <w:r>
        <w:rPr/>
        <w:t>deficit, or of a domestic currency appreciation or depreciation, is only temporary.</w:t>
      </w:r>
      <w:r>
        <w:rPr>
          <w:spacing w:val="1"/>
        </w:rPr>
        <w:t> </w:t>
      </w:r>
      <w:r>
        <w:rPr/>
        <w:t>It only</w:t>
      </w:r>
      <w:r>
        <w:rPr>
          <w:spacing w:val="1"/>
        </w:rPr>
        <w:t> </w:t>
      </w:r>
      <w:r>
        <w:rPr/>
        <w:t>occurs when the adjustment process to the new equilibrium portfolios is in the process.</w:t>
      </w:r>
      <w:r>
        <w:rPr>
          <w:spacing w:val="1"/>
        </w:rPr>
        <w:t> </w:t>
      </w:r>
      <w:r>
        <w:rPr/>
        <w:t>Once the new desired portfolios have been attained, there is no longer any net flow of</w:t>
      </w:r>
      <w:r>
        <w:rPr>
          <w:spacing w:val="1"/>
        </w:rPr>
        <w:t> </w:t>
      </w:r>
      <w:r>
        <w:rPr/>
        <w:t>bonds,</w:t>
      </w:r>
      <w:r>
        <w:rPr>
          <w:spacing w:val="-1"/>
        </w:rPr>
        <w:t> </w:t>
      </w:r>
      <w:r>
        <w:rPr/>
        <w:t>and the BoP imbalance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the exchange</w:t>
      </w:r>
      <w:r>
        <w:rPr>
          <w:spacing w:val="-1"/>
        </w:rPr>
        <w:t> </w:t>
      </w:r>
      <w:r>
        <w:rPr/>
        <w:t>rate</w:t>
      </w:r>
      <w:r>
        <w:rPr>
          <w:spacing w:val="2"/>
        </w:rPr>
        <w:t> </w:t>
      </w:r>
      <w:r>
        <w:rPr/>
        <w:t>becomes stable.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1"/>
          <w:numId w:val="15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33" w:id="41"/>
      <w:bookmarkEnd w:id="41"/>
      <w:r>
        <w:rPr/>
        <w:t>Methodology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58656">
            <wp:simplePos x="0" y="0"/>
            <wp:positionH relativeFrom="page">
              <wp:posOffset>1485138</wp:posOffset>
            </wp:positionH>
            <wp:positionV relativeFrom="paragraph">
              <wp:posOffset>1180631</wp:posOffset>
            </wp:positionV>
            <wp:extent cx="5102225" cy="5044439"/>
            <wp:effectExtent l="0" t="0" r="0" b="0"/>
            <wp:wrapNone/>
            <wp:docPr id="16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analysis in section 4.1 indicates that all the four (elasticity, absorption, monetary and</w:t>
      </w:r>
      <w:r>
        <w:rPr>
          <w:spacing w:val="1"/>
        </w:rPr>
        <w:t> </w:t>
      </w:r>
      <w:r>
        <w:rPr/>
        <w:t>the asset market) approaches must be incorporated into a model in order to attain a</w:t>
      </w:r>
      <w:r>
        <w:rPr>
          <w:spacing w:val="1"/>
        </w:rPr>
        <w:t> </w:t>
      </w:r>
      <w:r>
        <w:rPr/>
        <w:t>favourable balance of payments position.</w:t>
      </w:r>
      <w:r>
        <w:rPr>
          <w:spacing w:val="1"/>
        </w:rPr>
        <w:t> </w:t>
      </w:r>
      <w:r>
        <w:rPr/>
        <w:t>The model for this study is therefore, drawn</w:t>
      </w:r>
      <w:r>
        <w:rPr>
          <w:spacing w:val="1"/>
        </w:rPr>
        <w:t> </w:t>
      </w:r>
      <w:r>
        <w:rPr/>
        <w:t>from these approaches.</w:t>
      </w:r>
      <w:r>
        <w:rPr>
          <w:spacing w:val="1"/>
        </w:rPr>
        <w:t> </w:t>
      </w:r>
      <w:r>
        <w:rPr/>
        <w:t>The estimation techniques and the definition of the variables are</w:t>
      </w:r>
      <w:r>
        <w:rPr>
          <w:spacing w:val="1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in this section.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2"/>
          <w:numId w:val="15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32" w:id="42"/>
      <w:r>
        <w:rPr/>
        <w:t>Model</w:t>
      </w:r>
      <w:r>
        <w:rPr>
          <w:spacing w:val="-2"/>
        </w:rPr>
        <w:t> </w:t>
      </w:r>
      <w:bookmarkEnd w:id="42"/>
      <w:r>
        <w:rPr/>
        <w:t>Specification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The model adopted in this study is seen as an extension of the model used by Hernan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Alawattage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Both,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 for Colombia; and exchange rate and balance of payments for Sri Lanka.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approaches discussed in the theoretical framework section are netted together into the</w:t>
      </w:r>
      <w:r>
        <w:rPr>
          <w:spacing w:val="1"/>
        </w:rPr>
        <w:t> </w:t>
      </w:r>
      <w:r>
        <w:rPr/>
        <w:t>specific components of BoP identity, which are classified in this study as the current</w:t>
      </w:r>
      <w:r>
        <w:rPr>
          <w:spacing w:val="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balance,</w:t>
      </w:r>
      <w:r>
        <w:rPr>
          <w:spacing w:val="2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account balance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account balance.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For an extensive analysis of exchange rate behaviour on the BoP, the current account</w:t>
      </w:r>
      <w:r>
        <w:rPr>
          <w:spacing w:val="1"/>
        </w:rPr>
        <w:t> </w:t>
      </w:r>
      <w:r>
        <w:rPr/>
        <w:t>balance is disaggregated into trade balance, which in turn, is further disaggregated into</w:t>
      </w:r>
      <w:r>
        <w:rPr>
          <w:spacing w:val="1"/>
        </w:rPr>
        <w:t> </w:t>
      </w:r>
      <w:r>
        <w:rPr/>
        <w:t>exports and imports in order to determine the effects of exchange rate on each of them.</w:t>
      </w:r>
      <w:r>
        <w:rPr>
          <w:spacing w:val="1"/>
        </w:rPr>
        <w:t> </w:t>
      </w:r>
      <w:r>
        <w:rPr/>
        <w:t>Also, foreign direct investment inflow is given much consideration.</w:t>
      </w:r>
      <w:r>
        <w:rPr>
          <w:spacing w:val="60"/>
        </w:rPr>
        <w:t> </w:t>
      </w:r>
      <w:r>
        <w:rPr/>
        <w:t>Major consideration</w:t>
      </w:r>
      <w:r>
        <w:rPr>
          <w:spacing w:val="1"/>
        </w:rPr>
        <w:t> </w:t>
      </w:r>
      <w:r>
        <w:rPr/>
        <w:t>is given to these sub-components for some reasons:</w:t>
      </w:r>
      <w:r>
        <w:rPr>
          <w:spacing w:val="1"/>
        </w:rPr>
        <w:t> </w:t>
      </w:r>
      <w:r>
        <w:rPr/>
        <w:t>In the literature, substantial evidence</w:t>
      </w:r>
      <w:r>
        <w:rPr>
          <w:spacing w:val="1"/>
        </w:rPr>
        <w:t> </w:t>
      </w:r>
      <w:r>
        <w:rPr/>
        <w:t>of exchange behaviour on the current account balance is provided through trade balance</w:t>
      </w:r>
      <w:r>
        <w:rPr>
          <w:spacing w:val="1"/>
        </w:rPr>
        <w:t> </w:t>
      </w:r>
      <w:r>
        <w:rPr/>
        <w:t>disaggregated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exports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imports</w:t>
      </w:r>
      <w:r>
        <w:rPr>
          <w:spacing w:val="1"/>
        </w:rPr>
        <w:t> </w:t>
      </w:r>
      <w:r>
        <w:rPr/>
        <w:t>(Rawlins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Praveen,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Hernan,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Petrovic and Gligoric, 2010; Sekantsi, 2010).</w:t>
      </w:r>
      <w:r>
        <w:rPr>
          <w:spacing w:val="1"/>
        </w:rPr>
        <w:t> </w:t>
      </w:r>
      <w:r>
        <w:rPr/>
        <w:t>Similarly, exchange rate behaviour on the</w:t>
      </w:r>
      <w:r>
        <w:rPr>
          <w:spacing w:val="1"/>
        </w:rPr>
        <w:t> </w:t>
      </w:r>
      <w:r>
        <w:rPr/>
        <w:t>financial account balance has greatly featured through investment flows</w:t>
      </w:r>
      <w:r>
        <w:rPr>
          <w:spacing w:val="1"/>
        </w:rPr>
        <w:t> </w:t>
      </w:r>
      <w:r>
        <w:rPr/>
        <w:t>(Kohlhagen,</w:t>
      </w:r>
      <w:r>
        <w:rPr>
          <w:spacing w:val="1"/>
        </w:rPr>
        <w:t> </w:t>
      </w:r>
      <w:r>
        <w:rPr/>
        <w:t>1977;</w:t>
      </w:r>
      <w:r>
        <w:rPr>
          <w:spacing w:val="1"/>
        </w:rPr>
        <w:t> </w:t>
      </w:r>
      <w:r>
        <w:rPr/>
        <w:t>Kodongo,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sub-components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BoP performance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any</w:t>
      </w:r>
      <w:r>
        <w:rPr>
          <w:spacing w:val="-5"/>
        </w:rPr>
        <w:t> </w:t>
      </w:r>
      <w:r>
        <w:rPr/>
        <w:t>economy.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3"/>
          <w:numId w:val="15"/>
        </w:numPr>
        <w:tabs>
          <w:tab w:pos="1712" w:val="left" w:leader="none"/>
        </w:tabs>
        <w:spacing w:line="240" w:lineRule="auto" w:before="79" w:after="0"/>
        <w:ind w:left="1711" w:right="0" w:hanging="901"/>
        <w:jc w:val="both"/>
      </w:pPr>
      <w:bookmarkStart w:name="_TOC_250031" w:id="43"/>
      <w:r>
        <w:rPr/>
        <w:t>Export</w:t>
      </w:r>
      <w:r>
        <w:rPr>
          <w:spacing w:val="-1"/>
        </w:rPr>
        <w:t> </w:t>
      </w:r>
      <w:r>
        <w:rPr/>
        <w:t>and Import</w:t>
      </w:r>
      <w:r>
        <w:rPr>
          <w:spacing w:val="-1"/>
        </w:rPr>
        <w:t> </w:t>
      </w:r>
      <w:bookmarkEnd w:id="43"/>
      <w:r>
        <w:rPr/>
        <w:t>Equations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Theoretically, the real effective exchange rate plays a significant role in influencing a</w:t>
      </w:r>
      <w:r>
        <w:rPr>
          <w:spacing w:val="1"/>
        </w:rPr>
        <w:t> </w:t>
      </w:r>
      <w:r>
        <w:rPr/>
        <w:t>country‘s exports and imports positions mainly because, it is an important economic</w:t>
      </w:r>
      <w:r>
        <w:rPr>
          <w:spacing w:val="1"/>
        </w:rPr>
        <w:t> </w:t>
      </w:r>
      <w:r>
        <w:rPr/>
        <w:t>indicator that shows the strength of an economy‘s international competitiveness, and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has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strong</w:t>
      </w:r>
      <w:r>
        <w:rPr>
          <w:spacing w:val="-4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on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country‘s balance</w:t>
      </w:r>
      <w:r>
        <w:rPr>
          <w:spacing w:val="-1"/>
        </w:rPr>
        <w:t> </w:t>
      </w:r>
      <w:r>
        <w:rPr/>
        <w:t>of payments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59168">
            <wp:simplePos x="0" y="0"/>
            <wp:positionH relativeFrom="page">
              <wp:posOffset>1485138</wp:posOffset>
            </wp:positionH>
            <wp:positionV relativeFrom="paragraph">
              <wp:posOffset>-23328</wp:posOffset>
            </wp:positionV>
            <wp:extent cx="5102225" cy="5044439"/>
            <wp:effectExtent l="0" t="0" r="0" b="0"/>
            <wp:wrapNone/>
            <wp:docPr id="16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be consistent with data, the real exchange rate between two countries is taken to be the</w:t>
      </w:r>
      <w:r>
        <w:rPr>
          <w:spacing w:val="-57"/>
        </w:rPr>
        <w:t> </w:t>
      </w:r>
      <w:r>
        <w:rPr/>
        <w:t>ratio</w:t>
      </w:r>
      <w:r>
        <w:rPr>
          <w:spacing w:val="-1"/>
        </w:rPr>
        <w:t> </w:t>
      </w:r>
      <w:r>
        <w:rPr/>
        <w:t>of consumer price levels expressed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common currency.</w:t>
      </w:r>
    </w:p>
    <w:p>
      <w:pPr>
        <w:pStyle w:val="BodyText"/>
        <w:spacing w:before="203"/>
        <w:ind w:left="811"/>
        <w:jc w:val="both"/>
      </w:pPr>
      <w:r>
        <w:rPr/>
        <w:t>The</w:t>
      </w:r>
      <w:r>
        <w:rPr>
          <w:spacing w:val="4"/>
        </w:rPr>
        <w:t> </w:t>
      </w:r>
      <w:r>
        <w:rPr/>
        <w:t>model</w:t>
      </w:r>
      <w:r>
        <w:rPr>
          <w:spacing w:val="6"/>
        </w:rPr>
        <w:t> </w:t>
      </w:r>
      <w:r>
        <w:rPr/>
        <w:t>further</w:t>
      </w:r>
      <w:r>
        <w:rPr>
          <w:spacing w:val="5"/>
        </w:rPr>
        <w:t> </w:t>
      </w:r>
      <w:r>
        <w:rPr/>
        <w:t>deduced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demand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imports</w:t>
      </w:r>
      <w:r>
        <w:rPr>
          <w:spacing w:val="7"/>
        </w:rPr>
        <w:t> </w:t>
      </w:r>
      <w:r>
        <w:rPr>
          <w:i/>
        </w:rPr>
        <w:t>(M)</w:t>
      </w:r>
      <w:r>
        <w:rPr>
          <w:i/>
          <w:spacing w:val="3"/>
        </w:rPr>
        <w:t> </w:t>
      </w:r>
      <w:r>
        <w:rPr/>
        <w:t>depends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domestic</w:t>
      </w:r>
      <w:r>
        <w:rPr>
          <w:spacing w:val="5"/>
        </w:rPr>
        <w:t> </w:t>
      </w:r>
      <w:r>
        <w:rPr/>
        <w:t>income</w:t>
      </w:r>
    </w:p>
    <w:p>
      <w:pPr>
        <w:pStyle w:val="BodyText"/>
        <w:spacing w:line="360" w:lineRule="auto" w:before="137"/>
        <w:ind w:left="811" w:right="997"/>
        <w:jc w:val="both"/>
      </w:pPr>
      <w:r>
        <w:rPr>
          <w:i/>
        </w:rPr>
        <w:t>(Y) </w:t>
      </w:r>
      <w:r>
        <w:rPr/>
        <w:t>and the relative price of imported goods to the domestically produced goods </w:t>
      </w:r>
      <w:r>
        <w:rPr>
          <w:i/>
        </w:rPr>
        <w:t>(P</w:t>
      </w:r>
      <w:r>
        <w:rPr>
          <w:i/>
          <w:vertAlign w:val="subscript"/>
        </w:rPr>
        <w:t>m</w:t>
      </w:r>
      <w:r>
        <w:rPr>
          <w:i/>
          <w:vertAlign w:val="baseline"/>
        </w:rPr>
        <w:t>)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both measured in home currency terms</w:t>
      </w:r>
      <w:r>
        <w:rPr>
          <w:i/>
          <w:vertAlign w:val="baseline"/>
        </w:rPr>
        <w:t>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The equation showing these relationships is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specified</w:t>
      </w:r>
      <w:r>
        <w:rPr>
          <w:spacing w:val="-2"/>
          <w:vertAlign w:val="baseline"/>
        </w:rPr>
        <w:t> </w:t>
      </w:r>
      <w:r>
        <w:rPr>
          <w:vertAlign w:val="baseline"/>
        </w:rPr>
        <w:t>as,</w:t>
      </w: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before="100"/>
        <w:ind w:left="1572" w:right="0" w:firstLine="0"/>
        <w:jc w:val="left"/>
        <w:rPr>
          <w:sz w:val="24"/>
        </w:rPr>
      </w:pPr>
      <w:r>
        <w:rPr>
          <w:i/>
          <w:spacing w:val="-4"/>
          <w:sz w:val="24"/>
        </w:rPr>
        <w:t>M</w:t>
      </w:r>
      <w:r>
        <w:rPr>
          <w:i/>
          <w:spacing w:val="24"/>
          <w:sz w:val="24"/>
        </w:rPr>
        <w:t> </w:t>
      </w:r>
      <w:r>
        <w:rPr>
          <w:rFonts w:ascii="Symbol" w:hAnsi="Symbol"/>
          <w:spacing w:val="-4"/>
          <w:sz w:val="24"/>
        </w:rPr>
        <w:t></w:t>
      </w:r>
      <w:r>
        <w:rPr>
          <w:spacing w:val="35"/>
          <w:sz w:val="24"/>
        </w:rPr>
        <w:t> </w:t>
      </w:r>
      <w:r>
        <w:rPr>
          <w:i/>
          <w:spacing w:val="-4"/>
          <w:sz w:val="24"/>
        </w:rPr>
        <w:t>f</w:t>
      </w:r>
      <w:r>
        <w:rPr>
          <w:i/>
          <w:spacing w:val="-6"/>
          <w:sz w:val="24"/>
        </w:rPr>
        <w:t> </w:t>
      </w:r>
      <w:r>
        <w:rPr>
          <w:spacing w:val="-4"/>
          <w:sz w:val="24"/>
        </w:rPr>
        <w:t>(</w:t>
      </w:r>
      <w:r>
        <w:rPr>
          <w:i/>
          <w:spacing w:val="-4"/>
          <w:sz w:val="24"/>
        </w:rPr>
        <w:t>Y</w:t>
      </w:r>
      <w:r>
        <w:rPr>
          <w:i/>
          <w:spacing w:val="-4"/>
          <w:position w:val="-5"/>
          <w:sz w:val="14"/>
        </w:rPr>
        <w:t>d</w:t>
      </w:r>
      <w:r>
        <w:rPr>
          <w:i/>
          <w:position w:val="-5"/>
          <w:sz w:val="14"/>
        </w:rPr>
        <w:t> </w:t>
      </w:r>
      <w:r>
        <w:rPr>
          <w:spacing w:val="-3"/>
          <w:sz w:val="24"/>
        </w:rPr>
        <w:t>,</w:t>
      </w:r>
      <w:r>
        <w:rPr>
          <w:spacing w:val="-26"/>
          <w:sz w:val="24"/>
        </w:rPr>
        <w:t> </w:t>
      </w:r>
      <w:r>
        <w:rPr>
          <w:i/>
          <w:spacing w:val="-3"/>
          <w:sz w:val="24"/>
        </w:rPr>
        <w:t>P</w:t>
      </w:r>
      <w:r>
        <w:rPr>
          <w:i/>
          <w:spacing w:val="-3"/>
          <w:position w:val="-5"/>
          <w:sz w:val="14"/>
        </w:rPr>
        <w:t>m</w:t>
      </w:r>
      <w:r>
        <w:rPr>
          <w:i/>
          <w:spacing w:val="-12"/>
          <w:position w:val="-5"/>
          <w:sz w:val="14"/>
        </w:rPr>
        <w:t> </w:t>
      </w:r>
      <w:r>
        <w:rPr>
          <w:spacing w:val="-3"/>
          <w:sz w:val="24"/>
        </w:rPr>
        <w:t>)</w:t>
      </w:r>
    </w:p>
    <w:p>
      <w:pPr>
        <w:pStyle w:val="BodyText"/>
        <w:spacing w:before="116"/>
        <w:ind w:left="1551" w:right="1447"/>
        <w:jc w:val="center"/>
      </w:pPr>
      <w:r>
        <w:rPr/>
        <w:br w:type="column"/>
      </w:r>
      <w:r>
        <w:rPr/>
        <w:t>(4.14)</w:t>
      </w:r>
    </w:p>
    <w:p>
      <w:pPr>
        <w:spacing w:after="0"/>
        <w:jc w:val="center"/>
        <w:sectPr>
          <w:type w:val="continuous"/>
          <w:pgSz w:w="12240" w:h="15840"/>
          <w:pgMar w:top="1500" w:bottom="1200" w:left="1320" w:right="440"/>
          <w:cols w:num="2" w:equalWidth="0">
            <w:col w:w="2977" w:space="3884"/>
            <w:col w:w="3619"/>
          </w:cols>
        </w:sectPr>
      </w:pPr>
    </w:p>
    <w:p>
      <w:pPr>
        <w:spacing w:before="188"/>
        <w:ind w:left="1572" w:right="0" w:firstLine="0"/>
        <w:jc w:val="left"/>
        <w:rPr>
          <w:i/>
          <w:sz w:val="24"/>
        </w:rPr>
      </w:pPr>
      <w:r>
        <w:rPr/>
        <w:pict>
          <v:shape style="position:absolute;margin-left:192.270004pt;margin-top:18.395012pt;width:20.3pt;height:7.7pt;mso-position-horizontal-relative:page;mso-position-vertical-relative:paragraph;z-index:-25356800" type="#_x0000_t202" filled="false" stroked="false">
            <v:textbox inset="0,0,0,0">
              <w:txbxContent>
                <w:p>
                  <w:pPr>
                    <w:tabs>
                      <w:tab w:pos="301" w:val="left" w:leader="none"/>
                    </w:tabs>
                    <w:spacing w:line="154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5"/>
                      <w:sz w:val="14"/>
                    </w:rPr>
                    <w:t>f</w:t>
                    <w:tab/>
                  </w:r>
                  <w:r>
                    <w:rPr>
                      <w:i/>
                      <w:spacing w:val="-9"/>
                      <w:w w:val="105"/>
                      <w:sz w:val="1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i/>
          <w:spacing w:val="-3"/>
          <w:sz w:val="24"/>
        </w:rPr>
        <w:t>M</w:t>
      </w:r>
      <w:r>
        <w:rPr>
          <w:i/>
          <w:spacing w:val="-31"/>
          <w:sz w:val="24"/>
        </w:rPr>
        <w:t> </w:t>
      </w:r>
      <w:r>
        <w:rPr>
          <w:spacing w:val="-3"/>
          <w:sz w:val="24"/>
          <w:vertAlign w:val="superscript"/>
        </w:rPr>
        <w:t>*</w:t>
      </w:r>
      <w:r>
        <w:rPr>
          <w:spacing w:val="10"/>
          <w:sz w:val="24"/>
          <w:vertAlign w:val="baseline"/>
        </w:rPr>
        <w:t> </w:t>
      </w:r>
      <w:r>
        <w:rPr>
          <w:rFonts w:ascii="Symbol" w:hAnsi="Symbol"/>
          <w:spacing w:val="-3"/>
          <w:sz w:val="24"/>
          <w:vertAlign w:val="baseline"/>
        </w:rPr>
        <w:t></w:t>
      </w:r>
      <w:r>
        <w:rPr>
          <w:spacing w:val="35"/>
          <w:sz w:val="24"/>
          <w:vertAlign w:val="baseline"/>
        </w:rPr>
        <w:t> </w:t>
      </w:r>
      <w:r>
        <w:rPr>
          <w:i/>
          <w:spacing w:val="-3"/>
          <w:sz w:val="24"/>
          <w:vertAlign w:val="baseline"/>
        </w:rPr>
        <w:t>f</w:t>
      </w:r>
      <w:r>
        <w:rPr>
          <w:i/>
          <w:spacing w:val="-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(</w:t>
      </w:r>
      <w:r>
        <w:rPr>
          <w:i/>
          <w:spacing w:val="-2"/>
          <w:sz w:val="24"/>
          <w:vertAlign w:val="baseline"/>
        </w:rPr>
        <w:t>Y</w:t>
      </w:r>
    </w:p>
    <w:p>
      <w:pPr>
        <w:spacing w:before="205"/>
        <w:ind w:left="6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,</w:t>
      </w:r>
      <w:r>
        <w:rPr>
          <w:spacing w:val="-19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13"/>
          <w:sz w:val="24"/>
        </w:rPr>
        <w:t> 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)</w:t>
      </w:r>
    </w:p>
    <w:p>
      <w:pPr>
        <w:pStyle w:val="BodyText"/>
        <w:spacing w:before="205"/>
        <w:ind w:left="1551" w:right="1466"/>
        <w:jc w:val="center"/>
      </w:pPr>
      <w:r>
        <w:rPr/>
        <w:br w:type="column"/>
      </w:r>
      <w:r>
        <w:rPr/>
        <w:t>(4.15)</w:t>
      </w:r>
    </w:p>
    <w:p>
      <w:pPr>
        <w:spacing w:after="0"/>
        <w:jc w:val="center"/>
        <w:sectPr>
          <w:type w:val="continuous"/>
          <w:pgSz w:w="12240" w:h="15840"/>
          <w:pgMar w:top="1500" w:bottom="1200" w:left="1320" w:right="440"/>
          <w:cols w:num="3" w:equalWidth="0">
            <w:col w:w="2518" w:space="40"/>
            <w:col w:w="586" w:space="3698"/>
            <w:col w:w="36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360" w:lineRule="auto" w:before="90"/>
        <w:ind w:left="811" w:right="996"/>
        <w:jc w:val="both"/>
      </w:pPr>
      <w:r>
        <w:rPr/>
        <w:t>Where </w:t>
      </w:r>
      <w:r>
        <w:rPr>
          <w:i/>
        </w:rPr>
        <w:t>M </w:t>
      </w:r>
      <w:r>
        <w:rPr/>
        <w:t>and </w:t>
      </w:r>
      <w:r>
        <w:rPr>
          <w:i/>
        </w:rPr>
        <w:t>M* </w:t>
      </w:r>
      <w:r>
        <w:rPr/>
        <w:t>are the quantity of imports by home and foreign country, respectively</w:t>
      </w:r>
      <w:r>
        <w:rPr>
          <w:spacing w:val="1"/>
        </w:rPr>
        <w:t> </w:t>
      </w:r>
      <w:r>
        <w:rPr/>
        <w:t>and </w:t>
      </w:r>
      <w:r>
        <w:rPr>
          <w:i/>
        </w:rPr>
        <w:t>* </w:t>
      </w:r>
      <w:r>
        <w:rPr/>
        <w:t>signifies the foreign component of the analogous relative price of imports </w:t>
      </w:r>
      <w:r>
        <w:rPr>
          <w:i/>
        </w:rPr>
        <w:t>(P</w:t>
      </w:r>
      <w:r>
        <w:rPr>
          <w:i/>
          <w:vertAlign w:val="subscript"/>
        </w:rPr>
        <w:t>m</w:t>
      </w:r>
      <w:r>
        <w:rPr>
          <w:i/>
          <w:vertAlign w:val="baseline"/>
        </w:rPr>
        <w:t>*)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foreign income </w:t>
      </w:r>
      <w:r>
        <w:rPr>
          <w:i/>
          <w:vertAlign w:val="baseline"/>
        </w:rPr>
        <w:t>(Y</w:t>
      </w:r>
      <w:r>
        <w:rPr>
          <w:i/>
          <w:vertAlign w:val="subscript"/>
        </w:rPr>
        <w:t>f</w:t>
      </w:r>
      <w:r>
        <w:rPr>
          <w:i/>
          <w:vertAlign w:val="baseline"/>
        </w:rPr>
        <w:t>)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Equations (4.14) and (4.15), respectively represent the domestic 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 demand functions for goods and services.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They predict income and relative price</w:t>
      </w:r>
      <w:r>
        <w:rPr>
          <w:spacing w:val="1"/>
          <w:vertAlign w:val="baseline"/>
        </w:rPr>
        <w:t> </w:t>
      </w:r>
      <w:r>
        <w:rPr>
          <w:vertAlign w:val="baseline"/>
        </w:rPr>
        <w:t>elasticities to be respectively positive and negative in signs with respect to demand for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imports.</w:t>
      </w:r>
    </w:p>
    <w:p>
      <w:pPr>
        <w:pStyle w:val="BodyText"/>
        <w:spacing w:line="360" w:lineRule="auto" w:before="200"/>
        <w:ind w:left="811" w:right="994"/>
        <w:jc w:val="both"/>
      </w:pPr>
      <w:r>
        <w:rPr/>
        <w:t>The supply of exports in each country depends positively on relative price of exports and;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proposition postulates a perfect competitive</w:t>
      </w:r>
      <w:r>
        <w:rPr>
          <w:spacing w:val="-1"/>
        </w:rPr>
        <w:t> </w:t>
      </w:r>
      <w:r>
        <w:rPr/>
        <w:t>situation.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99"/>
        <w:ind w:left="1587" w:right="0" w:firstLine="0"/>
        <w:jc w:val="left"/>
        <w:rPr>
          <w:sz w:val="24"/>
        </w:rPr>
      </w:pPr>
      <w:r>
        <w:rPr>
          <w:i/>
          <w:sz w:val="24"/>
        </w:rPr>
        <w:t>X</w:t>
      </w:r>
      <w:r>
        <w:rPr>
          <w:i/>
          <w:spacing w:val="26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34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position w:val="-5"/>
          <w:sz w:val="14"/>
        </w:rPr>
        <w:t>x</w:t>
      </w:r>
      <w:r>
        <w:rPr>
          <w:i/>
          <w:spacing w:val="-7"/>
          <w:position w:val="-5"/>
          <w:sz w:val="14"/>
        </w:rPr>
        <w:t> </w:t>
      </w:r>
      <w:r>
        <w:rPr>
          <w:sz w:val="24"/>
        </w:rPr>
        <w:t>)</w:t>
      </w:r>
    </w:p>
    <w:p>
      <w:pPr>
        <w:spacing w:before="187"/>
        <w:ind w:left="1587" w:right="0" w:firstLine="0"/>
        <w:jc w:val="left"/>
        <w:rPr>
          <w:sz w:val="24"/>
        </w:rPr>
      </w:pPr>
      <w:r>
        <w:rPr>
          <w:i/>
          <w:sz w:val="24"/>
        </w:rPr>
        <w:t>X</w:t>
      </w:r>
      <w:r>
        <w:rPr>
          <w:i/>
          <w:spacing w:val="-33"/>
          <w:sz w:val="24"/>
        </w:rPr>
        <w:t> </w:t>
      </w:r>
      <w:r>
        <w:rPr>
          <w:sz w:val="24"/>
        </w:rPr>
        <w:t>*</w:t>
      </w:r>
      <w:r>
        <w:rPr>
          <w:spacing w:val="-17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53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)</w:t>
      </w:r>
    </w:p>
    <w:p>
      <w:pPr>
        <w:pStyle w:val="BodyText"/>
        <w:spacing w:before="117"/>
        <w:ind w:left="1566" w:right="1507"/>
        <w:jc w:val="center"/>
      </w:pPr>
      <w:r>
        <w:rPr/>
        <w:br w:type="column"/>
      </w:r>
      <w:r>
        <w:rPr/>
        <w:t>(4.16)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66" w:right="1507"/>
        <w:jc w:val="center"/>
      </w:pPr>
      <w:r>
        <w:rPr/>
        <w:t>(4.17)</w:t>
      </w:r>
    </w:p>
    <w:p>
      <w:pPr>
        <w:spacing w:after="0"/>
        <w:jc w:val="center"/>
        <w:sectPr>
          <w:type w:val="continuous"/>
          <w:pgSz w:w="12240" w:h="15840"/>
          <w:pgMar w:top="1500" w:bottom="1200" w:left="1320" w:right="440"/>
          <w:cols w:num="2" w:equalWidth="0">
            <w:col w:w="2739" w:space="4047"/>
            <w:col w:w="36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0" w:lineRule="auto" w:before="90"/>
        <w:ind w:left="811" w:right="993"/>
      </w:pPr>
      <w:r>
        <w:rPr/>
        <w:t>Where,</w:t>
      </w:r>
      <w:r>
        <w:rPr>
          <w:spacing w:val="19"/>
        </w:rPr>
        <w:t> </w:t>
      </w:r>
      <w:r>
        <w:rPr>
          <w:i/>
        </w:rPr>
        <w:t>X</w:t>
      </w:r>
      <w:r>
        <w:rPr>
          <w:i/>
          <w:spacing w:val="2"/>
        </w:rPr>
        <w:t> </w:t>
      </w:r>
      <w:r>
        <w:rPr/>
        <w:t>and</w:t>
      </w:r>
      <w:r>
        <w:rPr>
          <w:spacing w:val="19"/>
        </w:rPr>
        <w:t> </w:t>
      </w:r>
      <w:r>
        <w:rPr>
          <w:i/>
        </w:rPr>
        <w:t>X*</w:t>
      </w:r>
      <w:r>
        <w:rPr>
          <w:i/>
          <w:spacing w:val="22"/>
        </w:rPr>
        <w:t> </w:t>
      </w:r>
      <w:r>
        <w:rPr/>
        <w:t>are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home</w:t>
      </w:r>
      <w:r>
        <w:rPr>
          <w:spacing w:val="20"/>
        </w:rPr>
        <w:t> </w:t>
      </w:r>
      <w:r>
        <w:rPr/>
        <w:t>country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foreign</w:t>
      </w:r>
      <w:r>
        <w:rPr>
          <w:spacing w:val="21"/>
        </w:rPr>
        <w:t> </w:t>
      </w:r>
      <w:r>
        <w:rPr/>
        <w:t>country‘s</w:t>
      </w:r>
      <w:r>
        <w:rPr>
          <w:spacing w:val="20"/>
        </w:rPr>
        <w:t> </w:t>
      </w:r>
      <w:r>
        <w:rPr/>
        <w:t>supply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exports,</w:t>
      </w:r>
      <w:r>
        <w:rPr>
          <w:spacing w:val="-57"/>
        </w:rPr>
        <w:t> </w:t>
      </w:r>
      <w:r>
        <w:rPr/>
        <w:t>respectively.</w:t>
      </w:r>
      <w:r>
        <w:rPr>
          <w:spacing w:val="11"/>
        </w:rPr>
        <w:t> </w:t>
      </w:r>
      <w:r>
        <w:rPr>
          <w:i/>
        </w:rPr>
        <w:t>P</w:t>
      </w:r>
      <w:r>
        <w:rPr>
          <w:i/>
          <w:vertAlign w:val="subscript"/>
        </w:rPr>
        <w:t>x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home</w:t>
      </w:r>
      <w:r>
        <w:rPr>
          <w:spacing w:val="11"/>
          <w:vertAlign w:val="baseline"/>
        </w:rPr>
        <w:t> </w:t>
      </w:r>
      <w:r>
        <w:rPr>
          <w:vertAlign w:val="baseline"/>
        </w:rPr>
        <w:t>country‘s</w:t>
      </w:r>
      <w:r>
        <w:rPr>
          <w:spacing w:val="12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10"/>
          <w:vertAlign w:val="baseline"/>
        </w:rPr>
        <w:t> </w:t>
      </w:r>
      <w:r>
        <w:rPr>
          <w:vertAlign w:val="baseline"/>
        </w:rPr>
        <w:t>price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exportable,</w:t>
      </w:r>
      <w:r>
        <w:rPr>
          <w:spacing w:val="11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12"/>
          <w:vertAlign w:val="baseline"/>
        </w:rPr>
        <w:t> </w:t>
      </w:r>
      <w:r>
        <w:rPr>
          <w:vertAlign w:val="baseline"/>
        </w:rPr>
        <w:t>as</w:t>
      </w:r>
      <w:r>
        <w:rPr>
          <w:spacing w:val="10"/>
          <w:vertAlign w:val="baseline"/>
        </w:rPr>
        <w:t> </w:t>
      </w:r>
      <w:r>
        <w:rPr>
          <w:vertAlign w:val="baseline"/>
        </w:rPr>
        <w:t>ratio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line="386" w:lineRule="auto" w:before="74"/>
        <w:ind w:left="811" w:right="992"/>
        <w:jc w:val="both"/>
      </w:pPr>
      <w:r>
        <w:rPr/>
        <w:t>domestic currency price of exportable to the domestic price level </w:t>
      </w:r>
      <w:r>
        <w:rPr>
          <w:i/>
        </w:rPr>
        <w:t>(P)</w:t>
      </w:r>
      <w:r>
        <w:rPr/>
        <w:t>.   Similarly, </w:t>
      </w:r>
      <w:r>
        <w:rPr>
          <w:i/>
        </w:rPr>
        <w:t>P</w:t>
      </w:r>
      <w:r>
        <w:rPr>
          <w:i/>
          <w:vertAlign w:val="subscript"/>
        </w:rPr>
        <w:t>x</w:t>
      </w:r>
      <w:r>
        <w:rPr>
          <w:i/>
          <w:vertAlign w:val="baseline"/>
        </w:rPr>
        <w:t>*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4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5"/>
          <w:vertAlign w:val="baseline"/>
        </w:rPr>
        <w:t> </w:t>
      </w:r>
      <w:r>
        <w:rPr>
          <w:vertAlign w:val="baseline"/>
        </w:rPr>
        <w:t>which,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4"/>
          <w:vertAlign w:val="baseline"/>
        </w:rPr>
        <w:t> </w:t>
      </w:r>
      <w:r>
        <w:rPr>
          <w:vertAlign w:val="baseline"/>
        </w:rPr>
        <w:t>currency</w:t>
      </w:r>
      <w:r>
        <w:rPr>
          <w:spacing w:val="-1"/>
          <w:vertAlign w:val="baseline"/>
        </w:rPr>
        <w:t> </w:t>
      </w:r>
      <w:r>
        <w:rPr>
          <w:vertAlign w:val="baseline"/>
        </w:rPr>
        <w:t>price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exportable</w:t>
      </w:r>
      <w:r>
        <w:rPr>
          <w:spacing w:val="4"/>
          <w:vertAlign w:val="baseline"/>
        </w:rPr>
        <w:t> </w:t>
      </w:r>
      <w:r>
        <w:rPr>
          <w:vertAlign w:val="baseline"/>
        </w:rPr>
        <w:t>(</w:t>
      </w:r>
      <w:r>
        <w:rPr>
          <w:spacing w:val="6"/>
          <w:position w:val="-4"/>
          <w:vertAlign w:val="baseline"/>
        </w:rPr>
        <w:drawing>
          <wp:inline distT="0" distB="0" distL="0" distR="0">
            <wp:extent cx="172489" cy="143307"/>
            <wp:effectExtent l="0" t="0" r="0" b="0"/>
            <wp:docPr id="16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89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-4"/>
          <w:vertAlign w:val="baseline"/>
        </w:rPr>
      </w:r>
      <w:r>
        <w:rPr>
          <w:spacing w:val="-5"/>
          <w:vertAlign w:val="baseline"/>
        </w:rPr>
        <w:t> 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divided</w:t>
      </w:r>
      <w:r>
        <w:rPr>
          <w:spacing w:val="4"/>
          <w:vertAlign w:val="baseline"/>
        </w:rPr>
        <w:t> </w:t>
      </w:r>
      <w:r>
        <w:rPr>
          <w:vertAlign w:val="baseline"/>
        </w:rPr>
        <w:t>by</w:t>
      </w:r>
      <w:r>
        <w:rPr>
          <w:spacing w:val="-57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-1"/>
          <w:vertAlign w:val="baseline"/>
        </w:rPr>
        <w:t> </w:t>
      </w:r>
      <w:r>
        <w:rPr>
          <w:vertAlign w:val="baseline"/>
        </w:rPr>
        <w:t>price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P*</w:t>
      </w:r>
      <w:r>
        <w:rPr>
          <w:vertAlign w:val="baseline"/>
        </w:rPr>
        <w:t>.</w:t>
      </w:r>
    </w:p>
    <w:p>
      <w:pPr>
        <w:pStyle w:val="BodyText"/>
        <w:spacing w:line="244" w:lineRule="exact"/>
        <w:ind w:left="811"/>
        <w:jc w:val="both"/>
      </w:pPr>
      <w:r>
        <w:rPr/>
        <w:t>The</w:t>
      </w:r>
      <w:r>
        <w:rPr>
          <w:spacing w:val="50"/>
        </w:rPr>
        <w:t> </w:t>
      </w:r>
      <w:r>
        <w:rPr/>
        <w:t>domestic</w:t>
      </w:r>
      <w:r>
        <w:rPr>
          <w:spacing w:val="51"/>
        </w:rPr>
        <w:t> </w:t>
      </w:r>
      <w:r>
        <w:rPr/>
        <w:t>relative</w:t>
      </w:r>
      <w:r>
        <w:rPr>
          <w:spacing w:val="52"/>
        </w:rPr>
        <w:t> </w:t>
      </w:r>
      <w:r>
        <w:rPr/>
        <w:t>price</w:t>
      </w:r>
      <w:r>
        <w:rPr>
          <w:spacing w:val="50"/>
        </w:rPr>
        <w:t> </w:t>
      </w:r>
      <w:r>
        <w:rPr/>
        <w:t>of</w:t>
      </w:r>
      <w:r>
        <w:rPr>
          <w:spacing w:val="54"/>
        </w:rPr>
        <w:t> </w:t>
      </w:r>
      <w:r>
        <w:rPr/>
        <w:t>imports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equations</w:t>
      </w:r>
      <w:r>
        <w:rPr>
          <w:spacing w:val="53"/>
        </w:rPr>
        <w:t> </w:t>
      </w:r>
      <w:r>
        <w:rPr/>
        <w:t>(4.14)</w:t>
      </w:r>
      <w:r>
        <w:rPr>
          <w:spacing w:val="51"/>
        </w:rPr>
        <w:t> </w:t>
      </w:r>
      <w:r>
        <w:rPr/>
        <w:t>and</w:t>
      </w:r>
      <w:r>
        <w:rPr>
          <w:spacing w:val="54"/>
        </w:rPr>
        <w:t> </w:t>
      </w:r>
      <w:r>
        <w:rPr/>
        <w:t>(4.15)</w:t>
      </w:r>
      <w:r>
        <w:rPr>
          <w:spacing w:val="53"/>
        </w:rPr>
        <w:t> </w:t>
      </w:r>
      <w:r>
        <w:rPr/>
        <w:t>can</w:t>
      </w:r>
      <w:r>
        <w:rPr>
          <w:spacing w:val="52"/>
        </w:rPr>
        <w:t> </w:t>
      </w:r>
      <w:r>
        <w:rPr/>
        <w:t>further</w:t>
      </w:r>
      <w:r>
        <w:rPr>
          <w:spacing w:val="51"/>
        </w:rPr>
        <w:t> </w:t>
      </w:r>
      <w:r>
        <w:rPr/>
        <w:t>be</w:t>
      </w:r>
    </w:p>
    <w:p>
      <w:pPr>
        <w:pStyle w:val="BodyText"/>
        <w:spacing w:before="137"/>
        <w:ind w:left="811"/>
        <w:jc w:val="both"/>
      </w:pPr>
      <w:r>
        <w:rPr/>
        <w:t>expressed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line="340" w:lineRule="exact" w:before="105"/>
        <w:ind w:left="855" w:right="0" w:firstLine="0"/>
        <w:jc w:val="left"/>
        <w:rPr>
          <w:i/>
          <w:sz w:val="24"/>
        </w:rPr>
      </w:pPr>
      <w:r>
        <w:rPr/>
        <w:pict>
          <v:group style="position:absolute;margin-left:116.940002pt;margin-top:1.450291pt;width:401.75pt;height:397.2pt;mso-position-horizontal-relative:page;mso-position-vertical-relative:paragraph;z-index:-25355776" coordorigin="2339,29" coordsize="8035,7944">
            <v:shape style="position:absolute;left:2338;top:29;width:8035;height:7944" type="#_x0000_t75" stroked="false">
              <v:imagedata r:id="rId18" o:title=""/>
            </v:shape>
            <v:line style="position:absolute" from="2973,446" to="3244,446" stroked="true" strokeweight=".583257pt" strokecolor="#000000">
              <v:stroke dashstyle="solid"/>
            </v:line>
            <v:line style="position:absolute" from="3364,2252" to="3277,2522" stroked="true" strokeweight=".589470pt" strokecolor="#000000">
              <v:stroke dashstyle="solid"/>
            </v:line>
            <v:line style="position:absolute" from="3381,4679" to="3617,4679" stroked="true" strokeweight=".57895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32.289536pt;margin-top:16.168365pt;width:4.75pt;height:14.75pt;mso-position-horizontal-relative:page;mso-position-vertical-relative:paragraph;z-index:-25355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2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>
          <w:i/>
          <w:spacing w:val="-2"/>
          <w:sz w:val="24"/>
        </w:rPr>
        <w:t>P</w:t>
      </w:r>
      <w:r>
        <w:rPr>
          <w:i/>
          <w:spacing w:val="80"/>
          <w:sz w:val="24"/>
        </w:rPr>
        <w:t> </w:t>
      </w:r>
      <w:r>
        <w:rPr>
          <w:rFonts w:ascii="Symbol" w:hAnsi="Symbol"/>
          <w:spacing w:val="-2"/>
          <w:sz w:val="24"/>
        </w:rPr>
        <w:t></w:t>
      </w:r>
      <w:r>
        <w:rPr>
          <w:spacing w:val="-15"/>
          <w:sz w:val="24"/>
        </w:rPr>
        <w:t> </w:t>
      </w:r>
      <w:r>
        <w:rPr>
          <w:rFonts w:ascii="Symbol" w:hAnsi="Symbol"/>
          <w:spacing w:val="-2"/>
          <w:position w:val="16"/>
          <w:sz w:val="24"/>
        </w:rPr>
        <w:t></w:t>
      </w:r>
      <w:r>
        <w:rPr>
          <w:spacing w:val="-22"/>
          <w:position w:val="16"/>
          <w:sz w:val="24"/>
        </w:rPr>
        <w:t> </w:t>
      </w:r>
      <w:r>
        <w:rPr>
          <w:i/>
          <w:spacing w:val="-2"/>
          <w:sz w:val="24"/>
        </w:rPr>
        <w:t>E</w:t>
      </w:r>
    </w:p>
    <w:p>
      <w:pPr>
        <w:pStyle w:val="BodyText"/>
        <w:spacing w:line="153" w:lineRule="exact"/>
        <w:ind w:left="964"/>
        <w:rPr>
          <w:sz w:val="15"/>
        </w:rPr>
      </w:pPr>
      <w:r>
        <w:rPr>
          <w:position w:val="-2"/>
          <w:sz w:val="15"/>
        </w:rPr>
        <w:pict>
          <v:shape style="width:5.15pt;height:7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1"/>
                      <w:sz w:val="14"/>
                    </w:rPr>
                    <w:t>m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line="232" w:lineRule="exact" w:before="104"/>
        <w:ind w:left="2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z w:val="24"/>
        </w:rPr>
        <w:t>P</w:t>
      </w:r>
      <w:r>
        <w:rPr>
          <w:sz w:val="24"/>
          <w:vertAlign w:val="superscript"/>
        </w:rPr>
        <w:t>*</w:t>
      </w:r>
      <w:r>
        <w:rPr>
          <w:spacing w:val="-1"/>
          <w:sz w:val="24"/>
          <w:vertAlign w:val="baseline"/>
        </w:rPr>
        <w:t> </w:t>
      </w:r>
      <w:r>
        <w:rPr>
          <w:rFonts w:ascii="Symbol" w:hAnsi="Symbol"/>
          <w:position w:val="1"/>
          <w:sz w:val="24"/>
          <w:vertAlign w:val="baseline"/>
        </w:rPr>
        <w:t></w:t>
      </w:r>
      <w:r>
        <w:rPr>
          <w:spacing w:val="24"/>
          <w:position w:val="1"/>
          <w:sz w:val="24"/>
          <w:vertAlign w:val="baseline"/>
        </w:rPr>
        <w:t> </w:t>
      </w:r>
      <w:r>
        <w:rPr>
          <w:rFonts w:ascii="Symbol" w:hAnsi="Symbol"/>
          <w:position w:val="1"/>
          <w:sz w:val="24"/>
          <w:vertAlign w:val="baseline"/>
        </w:rPr>
        <w:t></w:t>
      </w:r>
      <w:r>
        <w:rPr>
          <w:spacing w:val="-5"/>
          <w:position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sz w:val="24"/>
          <w:vertAlign w:val="superscript"/>
        </w:rPr>
        <w:t>*</w:t>
      </w:r>
      <w:r>
        <w:rPr>
          <w:spacing w:val="-1"/>
          <w:sz w:val="24"/>
          <w:vertAlign w:val="baseline"/>
        </w:rPr>
        <w:t> </w:t>
      </w:r>
      <w:r>
        <w:rPr>
          <w:rFonts w:ascii="Symbol" w:hAnsi="Symbol"/>
          <w:position w:val="1"/>
          <w:sz w:val="24"/>
          <w:vertAlign w:val="baseline"/>
        </w:rPr>
        <w:t></w:t>
      </w:r>
    </w:p>
    <w:p>
      <w:pPr>
        <w:spacing w:line="109" w:lineRule="exact" w:before="0"/>
        <w:ind w:left="310" w:right="0" w:firstLine="0"/>
        <w:jc w:val="left"/>
        <w:rPr>
          <w:sz w:val="24"/>
        </w:rPr>
      </w:pPr>
      <w:r>
        <w:rPr>
          <w:rFonts w:ascii="Symbol" w:hAnsi="Symbol"/>
          <w:position w:val="-5"/>
          <w:sz w:val="24"/>
        </w:rPr>
        <w:t></w:t>
      </w:r>
      <w:r>
        <w:rPr>
          <w:sz w:val="24"/>
        </w:rPr>
        <w:t>.</w:t>
      </w:r>
      <w:r>
        <w:rPr>
          <w:rFonts w:ascii="Symbol" w:hAnsi="Symbol"/>
          <w:position w:val="-5"/>
          <w:sz w:val="24"/>
        </w:rPr>
        <w:t></w:t>
      </w:r>
      <w:r>
        <w:rPr>
          <w:position w:val="9"/>
          <w:sz w:val="24"/>
          <w:u w:val="single"/>
        </w:rPr>
        <w:t>  </w:t>
      </w:r>
      <w:r>
        <w:rPr>
          <w:spacing w:val="13"/>
          <w:position w:val="9"/>
          <w:sz w:val="24"/>
          <w:u w:val="single"/>
        </w:rPr>
        <w:t> </w:t>
      </w:r>
      <w:r>
        <w:rPr>
          <w:i/>
          <w:position w:val="9"/>
          <w:sz w:val="14"/>
          <w:u w:val="single"/>
        </w:rPr>
        <w:t>m</w:t>
      </w:r>
      <w:r>
        <w:rPr>
          <w:i/>
          <w:spacing w:val="34"/>
          <w:position w:val="9"/>
          <w:sz w:val="14"/>
        </w:rPr>
        <w:t> </w:t>
      </w:r>
      <w:r>
        <w:rPr>
          <w:rFonts w:ascii="Symbol" w:hAnsi="Symbol"/>
          <w:position w:val="-5"/>
          <w:sz w:val="24"/>
        </w:rPr>
        <w:t></w:t>
      </w:r>
      <w:r>
        <w:rPr>
          <w:spacing w:val="-10"/>
          <w:position w:val="-5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> </w:t>
      </w:r>
      <w:r>
        <w:rPr>
          <w:i/>
          <w:sz w:val="24"/>
        </w:rPr>
        <w:t>RER</w:t>
      </w:r>
      <w:r>
        <w:rPr>
          <w:sz w:val="24"/>
        </w:rPr>
        <w:t>.</w:t>
      </w:r>
      <w:r>
        <w:rPr>
          <w:i/>
          <w:sz w:val="24"/>
        </w:rPr>
        <w:t>P</w:t>
      </w:r>
      <w:r>
        <w:rPr>
          <w:sz w:val="24"/>
          <w:vertAlign w:val="superscript"/>
        </w:rPr>
        <w:t>*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pStyle w:val="BodyText"/>
        <w:spacing w:line="163" w:lineRule="exact"/>
        <w:ind w:left="855"/>
      </w:pPr>
      <w:r>
        <w:rPr/>
        <w:t>(4.18)</w:t>
      </w:r>
    </w:p>
    <w:p>
      <w:pPr>
        <w:spacing w:after="0" w:line="163" w:lineRule="exact"/>
        <w:sectPr>
          <w:type w:val="continuous"/>
          <w:pgSz w:w="12240" w:h="15840"/>
          <w:pgMar w:top="1500" w:bottom="1200" w:left="1320" w:right="440"/>
          <w:cols w:num="3" w:equalWidth="0">
            <w:col w:w="1608" w:space="40"/>
            <w:col w:w="2023" w:space="3827"/>
            <w:col w:w="2982"/>
          </w:cols>
        </w:sectPr>
      </w:pPr>
    </w:p>
    <w:p>
      <w:pPr>
        <w:tabs>
          <w:tab w:pos="1718" w:val="left" w:leader="none"/>
          <w:tab w:pos="3523" w:val="left" w:leader="none"/>
        </w:tabs>
        <w:spacing w:line="153" w:lineRule="auto" w:before="0"/>
        <w:ind w:left="1325" w:right="0" w:firstLine="0"/>
        <w:jc w:val="left"/>
        <w:rPr>
          <w:i/>
          <w:sz w:val="1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i/>
          <w:position w:val="6"/>
          <w:sz w:val="24"/>
        </w:rPr>
        <w:t>P</w:t>
      </w:r>
      <w:r>
        <w:rPr>
          <w:i/>
          <w:spacing w:val="32"/>
          <w:position w:val="6"/>
          <w:sz w:val="24"/>
        </w:rPr>
        <w:t> </w:t>
      </w:r>
      <w:r>
        <w:rPr>
          <w:rFonts w:ascii="Symbol" w:hAnsi="Symbol"/>
          <w:sz w:val="24"/>
        </w:rPr>
        <w:t></w:t>
      </w:r>
      <w:r>
        <w:rPr>
          <w:spacing w:val="28"/>
          <w:sz w:val="24"/>
        </w:rPr>
        <w:t> </w:t>
      </w:r>
      <w:r>
        <w:rPr>
          <w:rFonts w:ascii="Symbol" w:hAnsi="Symbol"/>
          <w:sz w:val="24"/>
        </w:rPr>
        <w:t></w:t>
      </w:r>
      <w:r>
        <w:rPr>
          <w:spacing w:val="-2"/>
          <w:sz w:val="24"/>
        </w:rPr>
        <w:t> </w:t>
      </w:r>
      <w:r>
        <w:rPr>
          <w:i/>
          <w:position w:val="6"/>
          <w:sz w:val="24"/>
        </w:rPr>
        <w:t>P</w:t>
      </w:r>
      <w:r>
        <w:rPr>
          <w:position w:val="17"/>
          <w:sz w:val="14"/>
        </w:rPr>
        <w:t>*</w:t>
      </w:r>
      <w:r>
        <w:rPr>
          <w:spacing w:val="28"/>
          <w:position w:val="17"/>
          <w:sz w:val="14"/>
        </w:rPr>
        <w:t> </w:t>
      </w:r>
      <w:r>
        <w:rPr>
          <w:rFonts w:ascii="Symbol" w:hAnsi="Symbol"/>
          <w:sz w:val="24"/>
        </w:rPr>
        <w:t></w:t>
      </w:r>
      <w:r>
        <w:rPr>
          <w:sz w:val="24"/>
        </w:rPr>
        <w:tab/>
      </w:r>
      <w:r>
        <w:rPr>
          <w:i/>
          <w:position w:val="19"/>
          <w:sz w:val="14"/>
        </w:rPr>
        <w:t>x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5"/>
        </w:rPr>
      </w:pPr>
    </w:p>
    <w:p>
      <w:pPr>
        <w:pStyle w:val="BodyText"/>
        <w:spacing w:line="357" w:lineRule="auto" w:before="92"/>
        <w:ind w:left="811" w:right="993"/>
      </w:pPr>
      <w:r>
        <w:rPr/>
        <w:t>Where,</w:t>
      </w:r>
      <w:r>
        <w:rPr>
          <w:spacing w:val="37"/>
        </w:rPr>
        <w:t> </w:t>
      </w:r>
      <w:r>
        <w:rPr>
          <w:i/>
        </w:rPr>
        <w:t>E</w:t>
      </w:r>
      <w:r>
        <w:rPr>
          <w:i/>
          <w:spacing w:val="-12"/>
        </w:rPr>
        <w:t> </w:t>
      </w:r>
      <w:r>
        <w:rPr/>
        <w:t>is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nominal</w:t>
      </w:r>
      <w:r>
        <w:rPr>
          <w:spacing w:val="52"/>
        </w:rPr>
        <w:t> </w:t>
      </w:r>
      <w:r>
        <w:rPr/>
        <w:t>exchange</w:t>
      </w:r>
      <w:r>
        <w:rPr>
          <w:spacing w:val="50"/>
        </w:rPr>
        <w:t> </w:t>
      </w:r>
      <w:r>
        <w:rPr/>
        <w:t>rate,</w:t>
      </w:r>
      <w:r>
        <w:rPr>
          <w:spacing w:val="51"/>
        </w:rPr>
        <w:t> </w:t>
      </w:r>
      <w:r>
        <w:rPr/>
        <w:t>defined</w:t>
      </w:r>
      <w:r>
        <w:rPr>
          <w:spacing w:val="53"/>
        </w:rPr>
        <w:t> </w:t>
      </w:r>
      <w:r>
        <w:rPr/>
        <w:t>as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domestic</w:t>
      </w:r>
      <w:r>
        <w:rPr>
          <w:spacing w:val="50"/>
        </w:rPr>
        <w:t> </w:t>
      </w:r>
      <w:r>
        <w:rPr/>
        <w:t>currency‘s</w:t>
      </w:r>
      <w:r>
        <w:rPr>
          <w:spacing w:val="51"/>
        </w:rPr>
        <w:t> </w:t>
      </w:r>
      <w:r>
        <w:rPr/>
        <w:t>value</w:t>
      </w:r>
      <w:r>
        <w:rPr>
          <w:spacing w:val="51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foreign</w:t>
      </w:r>
      <w:r>
        <w:rPr>
          <w:spacing w:val="23"/>
        </w:rPr>
        <w:t> </w:t>
      </w:r>
      <w:r>
        <w:rPr>
          <w:spacing w:val="-1"/>
        </w:rPr>
        <w:t>exchange</w:t>
      </w:r>
      <w:r>
        <w:rPr>
          <w:spacing w:val="25"/>
        </w:rPr>
        <w:t> </w:t>
      </w:r>
      <w:r>
        <w:rPr/>
        <w:t>following</w:t>
      </w:r>
      <w:r>
        <w:rPr>
          <w:spacing w:val="21"/>
        </w:rPr>
        <w:t> </w:t>
      </w:r>
      <w:r>
        <w:rPr/>
        <w:t>direct</w:t>
      </w:r>
      <w:r>
        <w:rPr>
          <w:spacing w:val="24"/>
        </w:rPr>
        <w:t> </w:t>
      </w:r>
      <w:r>
        <w:rPr/>
        <w:t>method</w:t>
      </w:r>
      <w:r>
        <w:rPr>
          <w:spacing w:val="23"/>
        </w:rPr>
        <w:t> </w:t>
      </w:r>
      <w:r>
        <w:rPr/>
        <w:t>and</w:t>
      </w:r>
      <w:r>
        <w:rPr>
          <w:spacing w:val="12"/>
        </w:rPr>
        <w:t> </w:t>
      </w:r>
      <w:r>
        <w:rPr>
          <w:i/>
        </w:rPr>
        <w:t>RER</w:t>
      </w:r>
      <w:r>
        <w:rPr>
          <w:i/>
          <w:spacing w:val="-29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real</w:t>
      </w:r>
      <w:r>
        <w:rPr>
          <w:spacing w:val="24"/>
        </w:rPr>
        <w:t> </w:t>
      </w:r>
      <w:r>
        <w:rPr/>
        <w:t>exchange</w:t>
      </w:r>
      <w:r>
        <w:rPr>
          <w:spacing w:val="25"/>
        </w:rPr>
        <w:t> </w:t>
      </w:r>
      <w:r>
        <w:rPr/>
        <w:t>rate</w:t>
      </w:r>
      <w:r>
        <w:rPr>
          <w:spacing w:val="25"/>
        </w:rPr>
        <w:t> </w:t>
      </w:r>
      <w:r>
        <w:rPr/>
        <w:t>defined</w:t>
      </w:r>
      <w:r>
        <w:rPr>
          <w:spacing w:val="24"/>
        </w:rPr>
        <w:t> </w:t>
      </w:r>
      <w:r>
        <w:rPr/>
        <w:t>as</w:t>
      </w:r>
    </w:p>
    <w:p>
      <w:pPr>
        <w:spacing w:after="0" w:line="357" w:lineRule="auto"/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28"/>
        <w:ind w:left="856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RER</w:t>
      </w:r>
      <w:r>
        <w:rPr>
          <w:i/>
          <w:spacing w:val="-7"/>
          <w:sz w:val="24"/>
        </w:rPr>
        <w:t> </w:t>
      </w:r>
      <w:r>
        <w:rPr>
          <w:rFonts w:ascii="Symbol" w:hAnsi="Symbol"/>
          <w:spacing w:val="-1"/>
          <w:sz w:val="24"/>
        </w:rPr>
        <w:t></w:t>
      </w:r>
      <w:r>
        <w:rPr>
          <w:spacing w:val="-14"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spacing w:val="-1"/>
          <w:sz w:val="24"/>
        </w:rPr>
        <w:t>.</w:t>
      </w:r>
      <w:r>
        <w:rPr>
          <w:spacing w:val="-38"/>
          <w:sz w:val="24"/>
        </w:rPr>
        <w:t> </w:t>
      </w:r>
      <w:r>
        <w:rPr>
          <w:i/>
          <w:spacing w:val="-1"/>
          <w:sz w:val="24"/>
        </w:rPr>
        <w:t>P</w:t>
      </w:r>
      <w:r>
        <w:rPr>
          <w:spacing w:val="-1"/>
          <w:sz w:val="24"/>
          <w:vertAlign w:val="superscript"/>
        </w:rPr>
        <w:t>*</w:t>
      </w:r>
      <w:r>
        <w:rPr>
          <w:spacing w:val="57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P</w:t>
      </w:r>
    </w:p>
    <w:p>
      <w:pPr>
        <w:pStyle w:val="BodyText"/>
        <w:spacing w:before="44"/>
        <w:ind w:left="96"/>
      </w:pPr>
      <w:r>
        <w:rPr/>
        <w:br w:type="column"/>
      </w:r>
      <w:r>
        <w:rPr/>
        <w:t>following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Purchasing</w:t>
      </w:r>
      <w:r>
        <w:rPr>
          <w:spacing w:val="35"/>
        </w:rPr>
        <w:t> </w:t>
      </w:r>
      <w:r>
        <w:rPr/>
        <w:t>Power</w:t>
      </w:r>
      <w:r>
        <w:rPr>
          <w:spacing w:val="36"/>
        </w:rPr>
        <w:t> </w:t>
      </w:r>
      <w:r>
        <w:rPr/>
        <w:t>Parity</w:t>
      </w:r>
      <w:r>
        <w:rPr>
          <w:spacing w:val="32"/>
        </w:rPr>
        <w:t> </w:t>
      </w:r>
      <w:r>
        <w:rPr/>
        <w:t>(PPP)-based</w:t>
      </w:r>
      <w:r>
        <w:rPr>
          <w:spacing w:val="37"/>
        </w:rPr>
        <w:t> </w:t>
      </w:r>
      <w:r>
        <w:rPr/>
        <w:t>real</w:t>
      </w:r>
      <w:r>
        <w:rPr>
          <w:spacing w:val="37"/>
        </w:rPr>
        <w:t> </w:t>
      </w:r>
      <w:r>
        <w:rPr/>
        <w:t>exchange</w:t>
      </w:r>
      <w:r>
        <w:rPr>
          <w:spacing w:val="36"/>
        </w:rPr>
        <w:t> </w:t>
      </w:r>
      <w:r>
        <w:rPr/>
        <w:t>rate.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2214" w:space="40"/>
            <w:col w:w="8226"/>
          </w:cols>
        </w:sectPr>
      </w:pPr>
    </w:p>
    <w:p>
      <w:pPr>
        <w:pStyle w:val="BodyText"/>
        <w:spacing w:line="360" w:lineRule="auto" w:before="180"/>
        <w:ind w:left="811" w:right="994"/>
        <w:jc w:val="both"/>
      </w:pPr>
      <w:r>
        <w:rPr/>
        <w:t>Thus, an increase in value of</w:t>
      </w:r>
      <w:r>
        <w:rPr>
          <w:spacing w:val="1"/>
        </w:rPr>
        <w:t> </w:t>
      </w:r>
      <w:r>
        <w:rPr>
          <w:i/>
        </w:rPr>
        <w:t>E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RER </w:t>
      </w:r>
      <w:r>
        <w:rPr/>
        <w:t>indicates a devaluation or depreciation of the</w:t>
      </w:r>
      <w:r>
        <w:rPr>
          <w:spacing w:val="1"/>
        </w:rPr>
        <w:t> </w:t>
      </w:r>
      <w:r>
        <w:rPr/>
        <w:t>domestic currency. The foreign country‘s relative price of imports is defined analogously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equation (4.19).</w:t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line="313" w:lineRule="exact" w:before="93"/>
        <w:ind w:left="0" w:right="38" w:firstLine="0"/>
        <w:jc w:val="right"/>
        <w:rPr>
          <w:i/>
          <w:sz w:val="14"/>
        </w:rPr>
      </w:pPr>
      <w:r>
        <w:rPr>
          <w:i/>
          <w:sz w:val="24"/>
        </w:rPr>
        <w:t>P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</w:t>
      </w:r>
      <w:r>
        <w:rPr>
          <w:spacing w:val="7"/>
          <w:sz w:val="24"/>
          <w:vertAlign w:val="baseline"/>
        </w:rPr>
        <w:t> </w:t>
      </w:r>
      <w:r>
        <w:rPr>
          <w:i/>
          <w:position w:val="15"/>
          <w:sz w:val="24"/>
          <w:vertAlign w:val="baseline"/>
        </w:rPr>
        <w:t>P</w:t>
      </w:r>
      <w:r>
        <w:rPr>
          <w:i/>
          <w:position w:val="9"/>
          <w:sz w:val="14"/>
          <w:vertAlign w:val="baseline"/>
        </w:rPr>
        <w:t>x</w:t>
      </w:r>
    </w:p>
    <w:p>
      <w:pPr>
        <w:pStyle w:val="BodyText"/>
        <w:spacing w:before="1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pStyle w:val="BodyText"/>
        <w:spacing w:line="163" w:lineRule="exact"/>
        <w:ind w:left="1557" w:right="1946"/>
        <w:jc w:val="center"/>
      </w:pPr>
      <w:r>
        <w:rPr/>
        <w:t>(4.19)</w:t>
      </w:r>
    </w:p>
    <w:p>
      <w:pPr>
        <w:spacing w:after="0" w:line="163" w:lineRule="exact"/>
        <w:jc w:val="center"/>
        <w:sectPr>
          <w:type w:val="continuous"/>
          <w:pgSz w:w="12240" w:h="15840"/>
          <w:pgMar w:top="1500" w:bottom="1200" w:left="1320" w:right="440"/>
          <w:cols w:num="2" w:equalWidth="0">
            <w:col w:w="2301" w:space="4056"/>
            <w:col w:w="4123"/>
          </w:cols>
        </w:sectPr>
      </w:pPr>
    </w:p>
    <w:p>
      <w:pPr>
        <w:tabs>
          <w:tab w:pos="2109" w:val="left" w:leader="none"/>
        </w:tabs>
        <w:spacing w:line="132" w:lineRule="auto" w:before="35"/>
        <w:ind w:left="1684" w:right="0" w:firstLine="0"/>
        <w:jc w:val="left"/>
        <w:rPr>
          <w:i/>
          <w:sz w:val="24"/>
        </w:rPr>
      </w:pPr>
      <w:r>
        <w:rPr>
          <w:i/>
          <w:sz w:val="14"/>
        </w:rPr>
        <w:t>m</w:t>
        <w:tab/>
      </w:r>
      <w:r>
        <w:rPr>
          <w:i/>
          <w:position w:val="-12"/>
          <w:sz w:val="24"/>
        </w:rPr>
        <w:t>P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spacing w:before="90"/>
        <w:ind w:left="811"/>
      </w:pPr>
      <w:r>
        <w:rPr/>
        <w:t>The</w:t>
      </w:r>
      <w:r>
        <w:rPr>
          <w:spacing w:val="-3"/>
        </w:rPr>
        <w:t> </w:t>
      </w:r>
      <w:r>
        <w:rPr/>
        <w:t>quantities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transactions and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prices of</w:t>
      </w:r>
      <w:r>
        <w:rPr>
          <w:spacing w:val="-1"/>
        </w:rPr>
        <w:t> </w:t>
      </w:r>
      <w:r>
        <w:rPr/>
        <w:t>exports</w:t>
      </w:r>
      <w:r>
        <w:rPr>
          <w:spacing w:val="-1"/>
        </w:rPr>
        <w:t> </w:t>
      </w:r>
      <w:r>
        <w:rPr/>
        <w:t>in equilibrium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are:</w:t>
      </w:r>
    </w:p>
    <w:p>
      <w:pPr>
        <w:spacing w:after="0"/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144"/>
        <w:ind w:left="856" w:right="0" w:firstLine="0"/>
        <w:jc w:val="left"/>
        <w:rPr>
          <w:i/>
          <w:sz w:val="14"/>
        </w:rPr>
      </w:pPr>
      <w:r>
        <w:rPr>
          <w:i/>
          <w:spacing w:val="-13"/>
          <w:w w:val="105"/>
          <w:sz w:val="24"/>
        </w:rPr>
        <w:t>D</w:t>
      </w:r>
      <w:r>
        <w:rPr>
          <w:i/>
          <w:spacing w:val="-13"/>
          <w:w w:val="105"/>
          <w:position w:val="-5"/>
          <w:sz w:val="14"/>
        </w:rPr>
        <w:t>m</w:t>
      </w:r>
      <w:r>
        <w:rPr>
          <w:i/>
          <w:spacing w:val="42"/>
          <w:w w:val="105"/>
          <w:position w:val="-5"/>
          <w:sz w:val="14"/>
        </w:rPr>
        <w:t> </w:t>
      </w:r>
      <w:r>
        <w:rPr>
          <w:rFonts w:ascii="Symbol" w:hAnsi="Symbol"/>
          <w:spacing w:val="-13"/>
          <w:w w:val="105"/>
          <w:sz w:val="24"/>
        </w:rPr>
        <w:t></w:t>
      </w:r>
      <w:r>
        <w:rPr>
          <w:spacing w:val="-5"/>
          <w:w w:val="105"/>
          <w:sz w:val="24"/>
        </w:rPr>
        <w:t> </w:t>
      </w:r>
      <w:r>
        <w:rPr>
          <w:i/>
          <w:spacing w:val="-13"/>
          <w:w w:val="105"/>
          <w:sz w:val="24"/>
        </w:rPr>
        <w:t>F</w:t>
      </w:r>
      <w:r>
        <w:rPr>
          <w:i/>
          <w:spacing w:val="-13"/>
          <w:w w:val="105"/>
          <w:position w:val="-5"/>
          <w:sz w:val="14"/>
        </w:rPr>
        <w:t>x</w:t>
      </w:r>
    </w:p>
    <w:p>
      <w:pPr>
        <w:spacing w:before="161"/>
        <w:ind w:left="11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and</w:t>
      </w:r>
    </w:p>
    <w:p>
      <w:pPr>
        <w:spacing w:before="144"/>
        <w:ind w:left="64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pacing w:val="-7"/>
          <w:w w:val="105"/>
          <w:sz w:val="24"/>
        </w:rPr>
        <w:t>F</w:t>
      </w:r>
      <w:r>
        <w:rPr>
          <w:i/>
          <w:spacing w:val="-7"/>
          <w:w w:val="105"/>
          <w:position w:val="-5"/>
          <w:sz w:val="14"/>
        </w:rPr>
        <w:t>m</w:t>
      </w:r>
      <w:r>
        <w:rPr>
          <w:i/>
          <w:spacing w:val="34"/>
          <w:w w:val="105"/>
          <w:position w:val="-5"/>
          <w:sz w:val="14"/>
        </w:rPr>
        <w:t> </w:t>
      </w:r>
      <w:r>
        <w:rPr>
          <w:rFonts w:ascii="Symbol" w:hAnsi="Symbol"/>
          <w:spacing w:val="-7"/>
          <w:w w:val="105"/>
          <w:sz w:val="24"/>
        </w:rPr>
        <w:t></w:t>
      </w:r>
      <w:r>
        <w:rPr>
          <w:spacing w:val="-9"/>
          <w:w w:val="105"/>
          <w:sz w:val="24"/>
        </w:rPr>
        <w:t> </w:t>
      </w:r>
      <w:r>
        <w:rPr>
          <w:i/>
          <w:spacing w:val="-7"/>
          <w:w w:val="105"/>
          <w:sz w:val="24"/>
        </w:rPr>
        <w:t>D</w:t>
      </w:r>
      <w:r>
        <w:rPr>
          <w:i/>
          <w:spacing w:val="-7"/>
          <w:w w:val="105"/>
          <w:position w:val="-5"/>
          <w:sz w:val="14"/>
        </w:rPr>
        <w:t>x</w:t>
      </w:r>
    </w:p>
    <w:p>
      <w:pPr>
        <w:pStyle w:val="BodyText"/>
        <w:spacing w:before="161"/>
        <w:ind w:left="856"/>
      </w:pPr>
      <w:r>
        <w:rPr/>
        <w:br w:type="column"/>
      </w:r>
      <w:r>
        <w:rPr/>
        <w:t>(4.20)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4" w:equalWidth="0">
            <w:col w:w="1595" w:space="40"/>
            <w:col w:w="479" w:space="39"/>
            <w:col w:w="844" w:space="4182"/>
            <w:col w:w="3301"/>
          </w:cols>
        </w:sectPr>
      </w:pPr>
    </w:p>
    <w:p>
      <w:pPr>
        <w:pStyle w:val="BodyText"/>
        <w:spacing w:line="360" w:lineRule="auto" w:before="161"/>
        <w:ind w:left="811" w:right="994"/>
        <w:jc w:val="both"/>
      </w:pPr>
      <w:r>
        <w:rPr/>
        <w:t>Where,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>
          <w:i/>
        </w:rPr>
        <w:t>D</w:t>
      </w:r>
      <w:r>
        <w:rPr>
          <w:i/>
          <w:vertAlign w:val="subscript"/>
        </w:rPr>
        <w:t>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F</w:t>
      </w:r>
      <w:r>
        <w:rPr>
          <w:i/>
          <w:vertAlign w:val="subscript"/>
        </w:rPr>
        <w:t>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imports;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</w:t>
      </w:r>
      <w:r>
        <w:rPr>
          <w:i/>
          <w:vertAlign w:val="subscript"/>
        </w:rPr>
        <w:t>x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60"/>
          <w:vertAlign w:val="baseline"/>
        </w:rPr>
        <w:t> </w:t>
      </w:r>
      <w:r>
        <w:rPr>
          <w:i/>
          <w:vertAlign w:val="baseline"/>
        </w:rPr>
        <w:t>F</w:t>
      </w:r>
      <w:r>
        <w:rPr>
          <w:i/>
          <w:vertAlign w:val="subscript"/>
        </w:rPr>
        <w:t>x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exports,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4.20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aggregate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 demand for imports (</w:t>
      </w:r>
      <w:r>
        <w:rPr>
          <w:i/>
          <w:vertAlign w:val="baseline"/>
        </w:rPr>
        <w:t>D</w:t>
      </w:r>
      <w:r>
        <w:rPr>
          <w:i/>
          <w:vertAlign w:val="subscript"/>
        </w:rPr>
        <w:t>m</w:t>
      </w:r>
      <w:r>
        <w:rPr>
          <w:vertAlign w:val="baseline"/>
        </w:rPr>
        <w:t>) is equal to the aggregate</w:t>
      </w:r>
      <w:r>
        <w:rPr>
          <w:spacing w:val="1"/>
          <w:vertAlign w:val="baseline"/>
        </w:rPr>
        <w:t> </w:t>
      </w:r>
      <w:r>
        <w:rPr>
          <w:vertAlign w:val="baseline"/>
        </w:rPr>
        <w:t>exports of foreign</w:t>
      </w:r>
      <w:r>
        <w:rPr>
          <w:spacing w:val="60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domestic economy.   Similarly, the aggregate imports of foreign economies equal</w:t>
      </w:r>
      <w:r>
        <w:rPr>
          <w:spacing w:val="1"/>
          <w:vertAlign w:val="baseline"/>
        </w:rPr>
        <w:t> </w:t>
      </w:r>
      <w:r>
        <w:rPr>
          <w:vertAlign w:val="baseline"/>
        </w:rPr>
        <w:t>the total exports from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-1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-5"/>
          <w:vertAlign w:val="baseline"/>
        </w:rPr>
        <w:t> </w:t>
      </w:r>
      <w:r>
        <w:rPr>
          <w:vertAlign w:val="baseline"/>
        </w:rPr>
        <w:t>to those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countries.</w:t>
      </w:r>
    </w:p>
    <w:p>
      <w:pPr>
        <w:pStyle w:val="BodyText"/>
        <w:spacing w:before="2"/>
        <w:ind w:left="811"/>
        <w:jc w:val="both"/>
      </w:pPr>
      <w:r>
        <w:rPr/>
        <w:t>The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country</w:t>
      </w:r>
      <w:r>
        <w:rPr>
          <w:spacing w:val="-5"/>
        </w:rPr>
        <w:t> </w:t>
      </w:r>
      <w:r>
        <w:rPr/>
        <w:t>Trade Balance</w:t>
      </w:r>
      <w:r>
        <w:rPr>
          <w:spacing w:val="1"/>
        </w:rPr>
        <w:t> </w:t>
      </w:r>
      <w:r>
        <w:rPr/>
        <w:t>(TB)</w:t>
      </w:r>
      <w:r>
        <w:rPr>
          <w:spacing w:val="-1"/>
        </w:rPr>
        <w:t> </w:t>
      </w:r>
      <w:r>
        <w:rPr/>
        <w:t>becomes,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line="180" w:lineRule="exact" w:before="100"/>
        <w:ind w:left="833" w:right="0" w:firstLine="0"/>
        <w:jc w:val="left"/>
        <w:rPr>
          <w:i/>
          <w:sz w:val="24"/>
        </w:rPr>
      </w:pPr>
      <w:r>
        <w:rPr>
          <w:i/>
          <w:sz w:val="24"/>
        </w:rPr>
        <w:t>TB</w:t>
      </w:r>
      <w:r>
        <w:rPr>
          <w:i/>
          <w:spacing w:val="-3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15"/>
          <w:sz w:val="24"/>
        </w:rPr>
        <w:t> </w:t>
      </w:r>
      <w:r>
        <w:rPr>
          <w:sz w:val="24"/>
        </w:rPr>
        <w:t>.</w:t>
      </w:r>
      <w:r>
        <w:rPr>
          <w:i/>
          <w:sz w:val="24"/>
        </w:rPr>
        <w:t>D</w:t>
      </w:r>
      <w:r>
        <w:rPr>
          <w:i/>
          <w:spacing w:val="87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> </w:t>
      </w:r>
      <w:r>
        <w:rPr>
          <w:i/>
          <w:sz w:val="24"/>
        </w:rPr>
        <w:t>RER</w:t>
      </w:r>
      <w:r>
        <w:rPr>
          <w:sz w:val="24"/>
        </w:rPr>
        <w:t>.</w:t>
      </w:r>
      <w:r>
        <w:rPr>
          <w:i/>
          <w:sz w:val="24"/>
        </w:rPr>
        <w:t>P</w:t>
      </w:r>
      <w:r>
        <w:rPr>
          <w:sz w:val="24"/>
          <w:vertAlign w:val="superscript"/>
        </w:rPr>
        <w:t>*</w:t>
      </w:r>
      <w:r>
        <w:rPr>
          <w:i/>
          <w:sz w:val="24"/>
          <w:vertAlign w:val="baseline"/>
        </w:rPr>
        <w:t>D</w:t>
      </w:r>
    </w:p>
    <w:p>
      <w:pPr>
        <w:pStyle w:val="BodyText"/>
        <w:spacing w:line="163" w:lineRule="exact" w:before="117"/>
        <w:ind w:left="833"/>
      </w:pPr>
      <w:r>
        <w:rPr/>
        <w:br w:type="column"/>
      </w:r>
      <w:r>
        <w:rPr/>
        <w:t>(4.21)</w:t>
      </w:r>
    </w:p>
    <w:p>
      <w:pPr>
        <w:spacing w:after="0" w:line="163" w:lineRule="exact"/>
        <w:sectPr>
          <w:type w:val="continuous"/>
          <w:pgSz w:w="12240" w:h="15840"/>
          <w:pgMar w:top="1500" w:bottom="1200" w:left="1320" w:right="440"/>
          <w:cols w:num="2" w:equalWidth="0">
            <w:col w:w="3083" w:space="4198"/>
            <w:col w:w="3199"/>
          </w:cols>
        </w:sectPr>
      </w:pPr>
    </w:p>
    <w:p>
      <w:pPr>
        <w:tabs>
          <w:tab w:pos="1794" w:val="left" w:leader="none"/>
          <w:tab w:pos="2742" w:val="left" w:leader="none"/>
          <w:tab w:pos="3031" w:val="left" w:leader="none"/>
        </w:tabs>
        <w:spacing w:line="154" w:lineRule="exact" w:before="0"/>
        <w:ind w:left="1483" w:right="0" w:firstLine="0"/>
        <w:jc w:val="left"/>
        <w:rPr>
          <w:i/>
          <w:sz w:val="14"/>
        </w:rPr>
      </w:pPr>
      <w:r>
        <w:rPr>
          <w:i/>
          <w:w w:val="105"/>
          <w:sz w:val="14"/>
        </w:rPr>
        <w:t>x</w:t>
        <w:tab/>
        <w:t>x</w:t>
        <w:tab/>
        <w:t>x</w:t>
        <w:tab/>
        <w:t>x</w:t>
      </w:r>
    </w:p>
    <w:p>
      <w:pPr>
        <w:spacing w:after="0" w:line="154" w:lineRule="exact"/>
        <w:jc w:val="left"/>
        <w:rPr>
          <w:sz w:val="14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line="360" w:lineRule="auto" w:before="74"/>
        <w:ind w:left="811" w:right="993"/>
        <w:jc w:val="both"/>
      </w:pPr>
      <w:r>
        <w:rPr/>
        <w:t>The trade balance in real terms can be represented as value of net exports in domestic</w:t>
      </w:r>
      <w:r>
        <w:rPr>
          <w:spacing w:val="1"/>
        </w:rPr>
        <w:t> </w:t>
      </w:r>
      <w:r>
        <w:rPr/>
        <w:t>currency divided by domestic price level (P).</w:t>
      </w:r>
      <w:r>
        <w:rPr>
          <w:spacing w:val="1"/>
        </w:rPr>
        <w:t> </w:t>
      </w:r>
      <w:r>
        <w:rPr/>
        <w:t>From the law of demand, the higher the</w:t>
      </w:r>
      <w:r>
        <w:rPr>
          <w:spacing w:val="1"/>
        </w:rPr>
        <w:t> </w:t>
      </w:r>
      <w:r>
        <w:rPr/>
        <w:t>income of an economy the more quantity of goods and services that citizens will be</w:t>
      </w:r>
      <w:r>
        <w:rPr>
          <w:spacing w:val="1"/>
        </w:rPr>
        <w:t> </w:t>
      </w:r>
      <w:r>
        <w:rPr/>
        <w:t>willing to purchase.</w:t>
      </w:r>
      <w:r>
        <w:rPr>
          <w:spacing w:val="1"/>
        </w:rPr>
        <w:t> </w:t>
      </w:r>
      <w:r>
        <w:rPr/>
        <w:t>Trade balance is, therefore, further influenced by both the domestic</w:t>
      </w:r>
      <w:r>
        <w:rPr>
          <w:spacing w:val="1"/>
        </w:rPr>
        <w:t> </w:t>
      </w:r>
      <w:r>
        <w:rPr/>
        <w:t>and foreign GDPs of trading partners.</w:t>
      </w:r>
      <w:r>
        <w:rPr>
          <w:spacing w:val="61"/>
        </w:rPr>
        <w:t> </w:t>
      </w:r>
      <w:r>
        <w:rPr/>
        <w:t>Equation 4.21 is expanded to yield the trade</w:t>
      </w:r>
      <w:r>
        <w:rPr>
          <w:spacing w:val="1"/>
        </w:rPr>
        <w:t> </w:t>
      </w:r>
      <w:r>
        <w:rPr/>
        <w:t>balance equation (equation 4.22).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tabs>
          <w:tab w:pos="3916" w:val="left" w:leader="dot"/>
        </w:tabs>
        <w:spacing w:before="177"/>
        <w:ind w:left="833" w:right="0" w:firstLine="0"/>
        <w:jc w:val="left"/>
        <w:rPr>
          <w:rFonts w:ascii="Symbol" w:hAnsi="Symbol"/>
          <w:sz w:val="38"/>
        </w:rPr>
      </w:pPr>
      <w:r>
        <w:rPr/>
        <w:drawing>
          <wp:anchor distT="0" distB="0" distL="0" distR="0" allowOverlap="1" layoutInCell="1" locked="0" behindDoc="1" simplePos="0" relativeHeight="477961728">
            <wp:simplePos x="0" y="0"/>
            <wp:positionH relativeFrom="page">
              <wp:posOffset>1485138</wp:posOffset>
            </wp:positionH>
            <wp:positionV relativeFrom="paragraph">
              <wp:posOffset>18022</wp:posOffset>
            </wp:positionV>
            <wp:extent cx="5102225" cy="5044439"/>
            <wp:effectExtent l="0" t="0" r="0" b="0"/>
            <wp:wrapNone/>
            <wp:docPr id="1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TB</w:t>
      </w:r>
      <w:r>
        <w:rPr>
          <w:i/>
          <w:spacing w:val="1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48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9"/>
          <w:sz w:val="24"/>
        </w:rPr>
        <w:t> </w:t>
      </w:r>
      <w:r>
        <w:rPr>
          <w:rFonts w:ascii="Symbol" w:hAnsi="Symbol"/>
          <w:position w:val="-2"/>
          <w:sz w:val="38"/>
        </w:rPr>
        <w:t></w:t>
      </w:r>
      <w:r>
        <w:rPr>
          <w:i/>
          <w:sz w:val="24"/>
        </w:rPr>
        <w:t>RER</w:t>
      </w:r>
      <w:r>
        <w:rPr>
          <w:sz w:val="24"/>
        </w:rPr>
        <w:t>,</w:t>
      </w:r>
      <w:r>
        <w:rPr>
          <w:i/>
          <w:sz w:val="24"/>
        </w:rPr>
        <w:t>GDP</w:t>
      </w:r>
      <w:r>
        <w:rPr>
          <w:i/>
          <w:sz w:val="24"/>
          <w:vertAlign w:val="superscript"/>
        </w:rPr>
        <w:t>d</w:t>
      </w:r>
      <w:r>
        <w:rPr>
          <w:i/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i/>
          <w:sz w:val="24"/>
          <w:vertAlign w:val="baseline"/>
        </w:rPr>
        <w:t>GDP</w:t>
      </w:r>
      <w:r>
        <w:rPr>
          <w:i/>
          <w:sz w:val="24"/>
          <w:vertAlign w:val="superscript"/>
        </w:rPr>
        <w:t>f</w:t>
      </w:r>
      <w:r>
        <w:rPr>
          <w:i/>
          <w:position w:val="11"/>
          <w:sz w:val="24"/>
          <w:vertAlign w:val="baseline"/>
        </w:rPr>
        <w:tab/>
      </w:r>
      <w:r>
        <w:rPr>
          <w:rFonts w:ascii="Symbol" w:hAnsi="Symbol"/>
          <w:w w:val="85"/>
          <w:position w:val="-2"/>
          <w:sz w:val="38"/>
          <w:vertAlign w:val="baseline"/>
        </w:rPr>
        <w:t></w:t>
      </w:r>
    </w:p>
    <w:p>
      <w:pPr>
        <w:pStyle w:val="BodyText"/>
        <w:spacing w:before="9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ind w:left="833"/>
      </w:pPr>
      <w:r>
        <w:rPr/>
        <w:t>(4.22)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4039" w:space="3781"/>
            <w:col w:w="2660"/>
          </w:cols>
        </w:sectPr>
      </w:pPr>
    </w:p>
    <w:p>
      <w:pPr>
        <w:pStyle w:val="BodyText"/>
        <w:spacing w:before="10"/>
      </w:pPr>
    </w:p>
    <w:p>
      <w:pPr>
        <w:pStyle w:val="BodyText"/>
        <w:spacing w:line="360" w:lineRule="auto" w:before="92"/>
        <w:ind w:left="811" w:right="993"/>
        <w:jc w:val="both"/>
      </w:pPr>
      <w:r>
        <w:rPr>
          <w:spacing w:val="-1"/>
        </w:rPr>
        <w:t>In estimating the </w:t>
      </w:r>
      <w:r>
        <w:rPr/>
        <w:t>equations the real effective exchange rate ( </w:t>
      </w:r>
      <w:r>
        <w:rPr>
          <w:i/>
        </w:rPr>
        <w:t>REER </w:t>
      </w:r>
      <w:r>
        <w:rPr/>
        <w:t>) will replace the real</w:t>
      </w:r>
      <w:r>
        <w:rPr>
          <w:spacing w:val="1"/>
        </w:rPr>
        <w:t> </w:t>
      </w:r>
      <w:r>
        <w:rPr>
          <w:spacing w:val="-1"/>
        </w:rPr>
        <w:t>exchange rate </w:t>
      </w:r>
      <w:r>
        <w:rPr/>
        <w:t>( </w:t>
      </w:r>
      <w:r>
        <w:rPr>
          <w:i/>
        </w:rPr>
        <w:t>RER </w:t>
      </w:r>
      <w:r>
        <w:rPr/>
        <w:t>) in order to account for the effect of multilateral trade, rather than</w:t>
      </w:r>
      <w:r>
        <w:rPr>
          <w:spacing w:val="1"/>
        </w:rPr>
        <w:t> </w:t>
      </w:r>
      <w:r>
        <w:rPr/>
        <w:t>using the real exchange rate, which is more efficient for bilateral trade.    It is expected</w:t>
      </w:r>
      <w:r>
        <w:rPr>
          <w:spacing w:val="1"/>
        </w:rPr>
        <w:t> </w:t>
      </w:r>
      <w:r>
        <w:rPr/>
        <w:t>that exchange rate depreciation and real foreign income to be positively related to trade</w:t>
      </w:r>
      <w:r>
        <w:rPr>
          <w:spacing w:val="1"/>
        </w:rPr>
        <w:t> </w:t>
      </w:r>
      <w:r>
        <w:rPr/>
        <w:t>balance and domestic</w:t>
      </w:r>
      <w:r>
        <w:rPr>
          <w:spacing w:val="-1"/>
        </w:rPr>
        <w:t> </w:t>
      </w:r>
      <w:r>
        <w:rPr/>
        <w:t>income negatively</w:t>
      </w:r>
      <w:r>
        <w:rPr>
          <w:spacing w:val="-5"/>
        </w:rPr>
        <w:t> </w:t>
      </w:r>
      <w:r>
        <w:rPr/>
        <w:t>related to</w:t>
      </w:r>
      <w:r>
        <w:rPr>
          <w:spacing w:val="1"/>
        </w:rPr>
        <w:t> </w:t>
      </w:r>
      <w:r>
        <w:rPr/>
        <w:t>trade</w:t>
      </w:r>
      <w:r>
        <w:rPr>
          <w:spacing w:val="-1"/>
        </w:rPr>
        <w:t> </w:t>
      </w:r>
      <w:r>
        <w:rPr/>
        <w:t>balance.</w:t>
      </w:r>
    </w:p>
    <w:p>
      <w:pPr>
        <w:pStyle w:val="BodyText"/>
        <w:spacing w:line="360" w:lineRule="auto" w:before="199"/>
        <w:ind w:left="811" w:right="993"/>
        <w:jc w:val="both"/>
      </w:pPr>
      <w:r>
        <w:rPr/>
        <w:t>The monetary variable, money supply, plays a role in trade.</w:t>
      </w:r>
      <w:r>
        <w:rPr>
          <w:spacing w:val="1"/>
        </w:rPr>
        <w:t> </w:t>
      </w:r>
      <w:r>
        <w:rPr/>
        <w:t>Its effect is similar to the</w:t>
      </w:r>
      <w:r>
        <w:rPr>
          <w:spacing w:val="1"/>
        </w:rPr>
        <w:t> </w:t>
      </w:r>
      <w:r>
        <w:rPr/>
        <w:t>influence income has on trade.</w:t>
      </w:r>
      <w:r>
        <w:rPr>
          <w:spacing w:val="60"/>
        </w:rPr>
        <w:t> </w:t>
      </w:r>
      <w:r>
        <w:rPr/>
        <w:t>The more money consumers hold the higher the quantity</w:t>
      </w:r>
      <w:r>
        <w:rPr>
          <w:spacing w:val="1"/>
        </w:rPr>
        <w:t> </w:t>
      </w:r>
      <w:r>
        <w:rPr/>
        <w:t>of goods and services they may demand (</w:t>
      </w:r>
      <w:r>
        <w:rPr>
          <w:i/>
        </w:rPr>
        <w:t>ceteris paribus)</w:t>
      </w:r>
      <w:r>
        <w:rPr/>
        <w:t>.</w:t>
      </w:r>
      <w:r>
        <w:rPr>
          <w:spacing w:val="1"/>
        </w:rPr>
        <w:t> </w:t>
      </w:r>
      <w:r>
        <w:rPr/>
        <w:t>Hence, an increase in money</w:t>
      </w:r>
      <w:r>
        <w:rPr>
          <w:spacing w:val="1"/>
        </w:rPr>
        <w:t> </w:t>
      </w:r>
      <w:r>
        <w:rPr/>
        <w:t>supply, whether for investments or otherwise, will encourage importation of more goods</w:t>
      </w:r>
      <w:r>
        <w:rPr>
          <w:spacing w:val="1"/>
        </w:rPr>
        <w:t> </w:t>
      </w:r>
      <w:r>
        <w:rPr/>
        <w:t>thereby negatively affecting the trade balance.</w:t>
      </w:r>
      <w:r>
        <w:rPr>
          <w:spacing w:val="1"/>
        </w:rPr>
        <w:t> </w:t>
      </w:r>
      <w:r>
        <w:rPr/>
        <w:t>Contrarily, the portfolio balance variable,</w:t>
      </w:r>
      <w:r>
        <w:rPr>
          <w:spacing w:val="1"/>
        </w:rPr>
        <w:t> </w:t>
      </w:r>
      <w:r>
        <w:rPr/>
        <w:t>interest rate may have positive effects on trade balance.</w:t>
      </w:r>
      <w:r>
        <w:rPr>
          <w:spacing w:val="1"/>
        </w:rPr>
        <w:t> </w:t>
      </w:r>
      <w:r>
        <w:rPr/>
        <w:t>A high interest rate encourages</w:t>
      </w:r>
      <w:r>
        <w:rPr>
          <w:spacing w:val="1"/>
        </w:rPr>
        <w:t> </w:t>
      </w:r>
      <w:r>
        <w:rPr/>
        <w:t>individuals to save thus postpone consumption to a later date.</w:t>
      </w:r>
      <w:r>
        <w:rPr>
          <w:spacing w:val="1"/>
        </w:rPr>
        <w:t> </w:t>
      </w:r>
      <w:r>
        <w:rPr/>
        <w:t>This will discourage</w:t>
      </w:r>
      <w:r>
        <w:rPr>
          <w:spacing w:val="1"/>
        </w:rPr>
        <w:t> </w:t>
      </w:r>
      <w:r>
        <w:rPr/>
        <w:t>imports, which will lead to exports or trade surplus.</w:t>
      </w:r>
      <w:r>
        <w:rPr>
          <w:spacing w:val="1"/>
        </w:rPr>
        <w:t> </w:t>
      </w:r>
      <w:r>
        <w:rPr/>
        <w:t>Due to the destructive effect of war</w:t>
      </w:r>
      <w:r>
        <w:rPr>
          <w:spacing w:val="1"/>
        </w:rPr>
        <w:t> </w:t>
      </w:r>
      <w:r>
        <w:rPr/>
        <w:t>and political unrest on an economy, the effect of the civil strife is hypothetically 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especially the</w:t>
      </w:r>
      <w:r>
        <w:rPr>
          <w:spacing w:val="1"/>
        </w:rPr>
        <w:t> </w:t>
      </w:r>
      <w:r>
        <w:rPr/>
        <w:t>mining and the agricultural sectors, which are the country‘s export base. During this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the country</w:t>
      </w:r>
      <w:r>
        <w:rPr>
          <w:spacing w:val="-4"/>
        </w:rPr>
        <w:t> </w:t>
      </w:r>
      <w:r>
        <w:rPr/>
        <w:t>greatly</w:t>
      </w:r>
      <w:r>
        <w:rPr>
          <w:spacing w:val="-3"/>
        </w:rPr>
        <w:t> </w:t>
      </w:r>
      <w:r>
        <w:rPr/>
        <w:t>relied</w:t>
      </w:r>
      <w:r>
        <w:rPr>
          <w:spacing w:val="1"/>
        </w:rPr>
        <w:t> </w:t>
      </w:r>
      <w:r>
        <w:rPr/>
        <w:t>on aid</w:t>
      </w:r>
      <w:r>
        <w:rPr>
          <w:spacing w:val="-1"/>
        </w:rPr>
        <w:t> </w:t>
      </w:r>
      <w:r>
        <w:rPr/>
        <w:t>and loans</w:t>
      </w:r>
      <w:r>
        <w:rPr>
          <w:spacing w:val="1"/>
        </w:rPr>
        <w:t> </w:t>
      </w:r>
      <w:r>
        <w:rPr/>
        <w:t>to finance</w:t>
      </w:r>
      <w:r>
        <w:rPr>
          <w:spacing w:val="-2"/>
        </w:rPr>
        <w:t> </w:t>
      </w:r>
      <w:r>
        <w:rPr/>
        <w:t>major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line="360" w:lineRule="auto" w:before="201"/>
        <w:ind w:left="811" w:right="994"/>
        <w:jc w:val="both"/>
      </w:pPr>
      <w:r>
        <w:rPr/>
        <w:t>The trade balance is, therefore, expressed as a function of the following variables: real</w:t>
      </w:r>
      <w:r>
        <w:rPr>
          <w:spacing w:val="1"/>
        </w:rPr>
        <w:t> </w:t>
      </w:r>
      <w:r>
        <w:rPr/>
        <w:t>effective exchange rate, domestic GDP, foreign GDP, consumer prices index, money</w:t>
      </w:r>
      <w:r>
        <w:rPr>
          <w:spacing w:val="1"/>
        </w:rPr>
        <w:t> </w:t>
      </w:r>
      <w:r>
        <w:rPr/>
        <w:t>supply, domestic interest rate, and the effect of the war.</w:t>
      </w:r>
      <w:r>
        <w:rPr>
          <w:spacing w:val="1"/>
        </w:rPr>
        <w:t> </w:t>
      </w:r>
      <w:r>
        <w:rPr/>
        <w:t>Disaggregating the trade balance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exports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imports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(4.22)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(4.23)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(4.24),</w:t>
      </w:r>
      <w:r>
        <w:rPr>
          <w:spacing w:val="-57"/>
        </w:rPr>
        <w:t> </w:t>
      </w:r>
      <w:r>
        <w:rPr/>
        <w:t>respectively.</w:t>
      </w:r>
      <w:r>
        <w:rPr>
          <w:spacing w:val="18"/>
        </w:rPr>
        <w:t> </w:t>
      </w:r>
      <w:r>
        <w:rPr/>
        <w:t>Taking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logarithmic</w:t>
      </w:r>
      <w:r>
        <w:rPr>
          <w:spacing w:val="7"/>
        </w:rPr>
        <w:t> </w:t>
      </w:r>
      <w:r>
        <w:rPr/>
        <w:t>form</w:t>
      </w:r>
      <w:r>
        <w:rPr>
          <w:spacing w:val="8"/>
        </w:rPr>
        <w:t> </w:t>
      </w:r>
      <w:r>
        <w:rPr/>
        <w:t>after</w:t>
      </w:r>
      <w:r>
        <w:rPr>
          <w:spacing w:val="8"/>
        </w:rPr>
        <w:t> </w:t>
      </w:r>
      <w:r>
        <w:rPr/>
        <w:t>incorporating</w:t>
      </w:r>
      <w:r>
        <w:rPr>
          <w:spacing w:val="5"/>
        </w:rPr>
        <w:t> </w:t>
      </w:r>
      <w:r>
        <w:rPr/>
        <w:t>monetary</w:t>
      </w:r>
      <w:r>
        <w:rPr>
          <w:spacing w:val="3"/>
        </w:rPr>
        <w:t> </w:t>
      </w:r>
      <w:r>
        <w:rPr/>
        <w:t>variables,</w:t>
      </w:r>
      <w:r>
        <w:rPr>
          <w:spacing w:val="8"/>
        </w:rPr>
        <w:t> </w:t>
      </w:r>
      <w:r>
        <w:rPr/>
        <w:t>money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line="360" w:lineRule="auto" w:before="74"/>
        <w:ind w:left="811" w:right="996"/>
      </w:pPr>
      <w:r>
        <w:rPr/>
        <w:t>supply</w:t>
      </w:r>
      <w:r>
        <w:rPr>
          <w:spacing w:val="1"/>
        </w:rPr>
        <w:t> </w:t>
      </w:r>
      <w:r>
        <w:rPr/>
        <w:t>(</w:t>
      </w:r>
      <w:r>
        <w:rPr>
          <w:i/>
        </w:rPr>
        <w:t>MS)</w:t>
      </w:r>
      <w:r>
        <w:rPr/>
        <w:t>,</w:t>
      </w:r>
      <w:r>
        <w:rPr>
          <w:spacing w:val="6"/>
        </w:rPr>
        <w:t> </w:t>
      </w:r>
      <w:r>
        <w:rPr/>
        <w:t>domestic</w:t>
      </w:r>
      <w:r>
        <w:rPr>
          <w:spacing w:val="5"/>
        </w:rPr>
        <w:t> </w:t>
      </w:r>
      <w:r>
        <w:rPr/>
        <w:t>interest</w:t>
      </w:r>
      <w:r>
        <w:rPr>
          <w:spacing w:val="7"/>
        </w:rPr>
        <w:t> </w:t>
      </w:r>
      <w:r>
        <w:rPr/>
        <w:t>rate</w:t>
      </w:r>
      <w:r>
        <w:rPr>
          <w:spacing w:val="6"/>
        </w:rPr>
        <w:t> </w:t>
      </w:r>
      <w:r>
        <w:rPr/>
        <w:t>(</w:t>
      </w:r>
      <w:r>
        <w:rPr>
          <w:i/>
        </w:rPr>
        <w:t>IR</w:t>
      </w:r>
      <w:r>
        <w:rPr/>
        <w:t>)</w:t>
      </w:r>
      <w:r>
        <w:rPr>
          <w:spacing w:val="10"/>
        </w:rPr>
        <w:t> </w:t>
      </w:r>
      <w:r>
        <w:rPr/>
        <w:t>yields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two</w:t>
      </w:r>
      <w:r>
        <w:rPr>
          <w:spacing w:val="9"/>
        </w:rPr>
        <w:t> </w:t>
      </w:r>
      <w:r>
        <w:rPr/>
        <w:t>components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trade</w:t>
      </w:r>
      <w:r>
        <w:rPr>
          <w:spacing w:val="-57"/>
        </w:rPr>
        <w:t> </w:t>
      </w:r>
      <w:r>
        <w:rPr/>
        <w:t>balance equations.  The</w:t>
      </w:r>
      <w:r>
        <w:rPr>
          <w:spacing w:val="-1"/>
        </w:rPr>
        <w:t> </w:t>
      </w:r>
      <w:r>
        <w:rPr/>
        <w:t>first component being exports is given as: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line="154" w:lineRule="exact" w:before="136"/>
        <w:ind w:left="853" w:right="0" w:firstLine="0"/>
        <w:jc w:val="left"/>
        <w:rPr>
          <w:i/>
          <w:sz w:val="23"/>
        </w:rPr>
      </w:pPr>
      <w:r>
        <w:rPr>
          <w:i/>
          <w:spacing w:val="-4"/>
          <w:sz w:val="23"/>
        </w:rPr>
        <w:t>L</w:t>
      </w:r>
      <w:r>
        <w:rPr>
          <w:i/>
          <w:spacing w:val="-28"/>
          <w:sz w:val="23"/>
        </w:rPr>
        <w:t> </w:t>
      </w:r>
      <w:r>
        <w:rPr>
          <w:spacing w:val="-3"/>
          <w:sz w:val="23"/>
        </w:rPr>
        <w:t>n</w:t>
      </w:r>
      <w:r>
        <w:rPr>
          <w:spacing w:val="-15"/>
          <w:sz w:val="23"/>
        </w:rPr>
        <w:t> </w:t>
      </w:r>
      <w:r>
        <w:rPr>
          <w:i/>
          <w:spacing w:val="-3"/>
          <w:sz w:val="23"/>
        </w:rPr>
        <w:t>EX</w:t>
      </w:r>
    </w:p>
    <w:p>
      <w:pPr>
        <w:spacing w:line="191" w:lineRule="exact" w:before="100"/>
        <w:ind w:left="98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pacing w:val="-2"/>
          <w:sz w:val="23"/>
        </w:rPr>
        <w:t></w:t>
      </w:r>
      <w:r>
        <w:rPr>
          <w:spacing w:val="-26"/>
          <w:sz w:val="23"/>
        </w:rPr>
        <w:t> </w:t>
      </w:r>
      <w:r>
        <w:rPr>
          <w:rFonts w:ascii="Symbol" w:hAnsi="Symbol"/>
          <w:spacing w:val="-2"/>
          <w:sz w:val="25"/>
        </w:rPr>
        <w:t></w:t>
      </w:r>
      <w:r>
        <w:rPr>
          <w:spacing w:val="73"/>
          <w:sz w:val="25"/>
        </w:rPr>
        <w:t> </w:t>
      </w:r>
      <w:r>
        <w:rPr>
          <w:rFonts w:ascii="Symbol" w:hAnsi="Symbol"/>
          <w:spacing w:val="-2"/>
          <w:sz w:val="23"/>
        </w:rPr>
        <w:t></w:t>
      </w:r>
      <w:r>
        <w:rPr>
          <w:spacing w:val="-37"/>
          <w:sz w:val="23"/>
        </w:rPr>
        <w:t> </w:t>
      </w:r>
      <w:r>
        <w:rPr>
          <w:rFonts w:ascii="Symbol" w:hAnsi="Symbol"/>
          <w:spacing w:val="-2"/>
          <w:sz w:val="25"/>
        </w:rPr>
        <w:t></w:t>
      </w:r>
      <w:r>
        <w:rPr>
          <w:spacing w:val="8"/>
          <w:sz w:val="25"/>
        </w:rPr>
        <w:t> </w:t>
      </w:r>
      <w:r>
        <w:rPr>
          <w:i/>
          <w:spacing w:val="-2"/>
          <w:sz w:val="23"/>
        </w:rPr>
        <w:t>LnREER</w:t>
      </w:r>
      <w:r>
        <w:rPr>
          <w:i/>
          <w:spacing w:val="34"/>
          <w:sz w:val="23"/>
        </w:rPr>
        <w:t> </w:t>
      </w:r>
      <w:r>
        <w:rPr>
          <w:rFonts w:ascii="Symbol" w:hAnsi="Symbol"/>
          <w:spacing w:val="-2"/>
          <w:sz w:val="23"/>
        </w:rPr>
        <w:t></w:t>
      </w:r>
      <w:r>
        <w:rPr>
          <w:spacing w:val="-37"/>
          <w:sz w:val="23"/>
        </w:rPr>
        <w:t> </w:t>
      </w:r>
      <w:r>
        <w:rPr>
          <w:rFonts w:ascii="Symbol" w:hAnsi="Symbol"/>
          <w:spacing w:val="-1"/>
          <w:sz w:val="25"/>
        </w:rPr>
        <w:t></w:t>
      </w:r>
      <w:r>
        <w:rPr>
          <w:spacing w:val="31"/>
          <w:sz w:val="25"/>
        </w:rPr>
        <w:t> </w:t>
      </w:r>
      <w:r>
        <w:rPr>
          <w:i/>
          <w:spacing w:val="-1"/>
          <w:sz w:val="23"/>
        </w:rPr>
        <w:t>LnGDP</w:t>
      </w:r>
      <w:r>
        <w:rPr>
          <w:i/>
          <w:spacing w:val="-1"/>
          <w:sz w:val="23"/>
          <w:vertAlign w:val="superscript"/>
        </w:rPr>
        <w:t>d</w:t>
      </w:r>
      <w:r>
        <w:rPr>
          <w:i/>
          <w:spacing w:val="16"/>
          <w:sz w:val="23"/>
          <w:vertAlign w:val="baseline"/>
        </w:rPr>
        <w:t> </w:t>
      </w:r>
      <w:r>
        <w:rPr>
          <w:rFonts w:ascii="Symbol" w:hAnsi="Symbol"/>
          <w:spacing w:val="-1"/>
          <w:sz w:val="23"/>
          <w:vertAlign w:val="baseline"/>
        </w:rPr>
        <w:t></w:t>
      </w:r>
      <w:r>
        <w:rPr>
          <w:spacing w:val="-37"/>
          <w:sz w:val="23"/>
          <w:vertAlign w:val="baseline"/>
        </w:rPr>
        <w:t> </w:t>
      </w:r>
      <w:r>
        <w:rPr>
          <w:rFonts w:ascii="Symbol" w:hAnsi="Symbol"/>
          <w:spacing w:val="-1"/>
          <w:sz w:val="25"/>
          <w:vertAlign w:val="baseline"/>
        </w:rPr>
        <w:t></w:t>
      </w:r>
      <w:r>
        <w:rPr>
          <w:spacing w:val="24"/>
          <w:sz w:val="25"/>
          <w:vertAlign w:val="baseline"/>
        </w:rPr>
        <w:t> </w:t>
      </w:r>
      <w:r>
        <w:rPr>
          <w:i/>
          <w:spacing w:val="-1"/>
          <w:sz w:val="23"/>
          <w:vertAlign w:val="baseline"/>
        </w:rPr>
        <w:t>LnGDP</w:t>
      </w:r>
      <w:r>
        <w:rPr>
          <w:i/>
          <w:spacing w:val="-24"/>
          <w:sz w:val="23"/>
          <w:vertAlign w:val="baseline"/>
        </w:rPr>
        <w:t> </w:t>
      </w:r>
      <w:r>
        <w:rPr>
          <w:i/>
          <w:spacing w:val="-1"/>
          <w:sz w:val="23"/>
          <w:vertAlign w:val="superscript"/>
        </w:rPr>
        <w:t>f</w:t>
      </w:r>
      <w:r>
        <w:rPr>
          <w:i/>
          <w:spacing w:val="34"/>
          <w:sz w:val="23"/>
          <w:vertAlign w:val="baseline"/>
        </w:rPr>
        <w:t> </w:t>
      </w:r>
      <w:r>
        <w:rPr>
          <w:rFonts w:ascii="Symbol" w:hAnsi="Symbol"/>
          <w:spacing w:val="-1"/>
          <w:sz w:val="23"/>
          <w:vertAlign w:val="baseline"/>
        </w:rPr>
        <w:t></w:t>
      </w:r>
    </w:p>
    <w:p>
      <w:pPr>
        <w:spacing w:after="0" w:line="191" w:lineRule="exact"/>
        <w:jc w:val="left"/>
        <w:rPr>
          <w:rFonts w:ascii="Symbol" w:hAnsi="Symbol"/>
          <w:sz w:val="23"/>
        </w:rPr>
        <w:sectPr>
          <w:type w:val="continuous"/>
          <w:pgSz w:w="12240" w:h="15840"/>
          <w:pgMar w:top="1500" w:bottom="1200" w:left="1320" w:right="440"/>
          <w:cols w:num="2" w:equalWidth="0">
            <w:col w:w="1457" w:space="40"/>
            <w:col w:w="8983"/>
          </w:cols>
        </w:sectPr>
      </w:pPr>
    </w:p>
    <w:p>
      <w:pPr>
        <w:tabs>
          <w:tab w:pos="1911" w:val="left" w:leader="none"/>
          <w:tab w:pos="2400" w:val="right" w:leader="none"/>
        </w:tabs>
        <w:spacing w:before="0"/>
        <w:ind w:left="1473" w:right="0" w:firstLine="0"/>
        <w:jc w:val="left"/>
        <w:rPr>
          <w:sz w:val="13"/>
        </w:rPr>
      </w:pPr>
      <w:r>
        <w:rPr>
          <w:i/>
          <w:w w:val="105"/>
          <w:sz w:val="13"/>
        </w:rPr>
        <w:t>t</w:t>
        <w:tab/>
      </w:r>
      <w:r>
        <w:rPr>
          <w:w w:val="105"/>
          <w:sz w:val="13"/>
        </w:rPr>
        <w:t>0</w:t>
        <w:tab/>
        <w:t>1</w:t>
      </w:r>
    </w:p>
    <w:p>
      <w:pPr>
        <w:tabs>
          <w:tab w:pos="1169" w:val="left" w:leader="none"/>
          <w:tab w:pos="1923" w:val="left" w:leader="none"/>
          <w:tab w:pos="2422" w:val="left" w:leader="none"/>
          <w:tab w:pos="3172" w:val="left" w:leader="none"/>
        </w:tabs>
        <w:spacing w:before="0"/>
        <w:ind w:left="754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w w:val="105"/>
          <w:sz w:val="13"/>
        </w:rPr>
        <w:t>t</w:t>
        <w:tab/>
      </w:r>
      <w:r>
        <w:rPr>
          <w:w w:val="105"/>
          <w:sz w:val="13"/>
        </w:rPr>
        <w:t>2</w:t>
        <w:tab/>
      </w:r>
      <w:r>
        <w:rPr>
          <w:i/>
          <w:w w:val="105"/>
          <w:sz w:val="13"/>
        </w:rPr>
        <w:t>t</w:t>
        <w:tab/>
      </w:r>
      <w:r>
        <w:rPr>
          <w:w w:val="105"/>
          <w:sz w:val="13"/>
        </w:rPr>
        <w:t>3</w:t>
        <w:tab/>
      </w:r>
      <w:r>
        <w:rPr>
          <w:i/>
          <w:w w:val="105"/>
          <w:sz w:val="13"/>
        </w:rPr>
        <w:t>t</w:t>
      </w:r>
    </w:p>
    <w:p>
      <w:pPr>
        <w:pStyle w:val="BodyText"/>
        <w:spacing w:line="188" w:lineRule="exact" w:before="14"/>
        <w:ind w:left="1454" w:right="1486"/>
        <w:jc w:val="center"/>
      </w:pPr>
      <w:r>
        <w:rPr/>
        <w:br w:type="column"/>
      </w:r>
      <w:r>
        <w:rPr/>
        <w:t>(4.23)</w:t>
      </w:r>
    </w:p>
    <w:p>
      <w:pPr>
        <w:spacing w:after="0" w:line="188" w:lineRule="exact"/>
        <w:jc w:val="center"/>
        <w:sectPr>
          <w:type w:val="continuous"/>
          <w:pgSz w:w="12240" w:h="15840"/>
          <w:pgMar w:top="1500" w:bottom="1200" w:left="1320" w:right="440"/>
          <w:cols w:num="3" w:equalWidth="0">
            <w:col w:w="2402" w:space="40"/>
            <w:col w:w="3251" w:space="1226"/>
            <w:col w:w="3561"/>
          </w:cols>
        </w:sectPr>
      </w:pPr>
    </w:p>
    <w:p>
      <w:pPr>
        <w:spacing w:line="191" w:lineRule="exact" w:before="0"/>
        <w:ind w:left="828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w w:val="95"/>
          <w:sz w:val="25"/>
        </w:rPr>
        <w:t></w:t>
      </w:r>
      <w:r>
        <w:rPr>
          <w:spacing w:val="46"/>
          <w:w w:val="95"/>
          <w:sz w:val="25"/>
        </w:rPr>
        <w:t> </w:t>
      </w:r>
      <w:r>
        <w:rPr>
          <w:i/>
          <w:w w:val="95"/>
          <w:sz w:val="23"/>
        </w:rPr>
        <w:t>LnCPI</w:t>
      </w:r>
      <w:r>
        <w:rPr>
          <w:i/>
          <w:spacing w:val="6"/>
          <w:w w:val="95"/>
          <w:sz w:val="23"/>
        </w:rPr>
        <w:t> </w:t>
      </w:r>
      <w:r>
        <w:rPr>
          <w:i/>
          <w:w w:val="95"/>
          <w:sz w:val="23"/>
          <w:vertAlign w:val="superscript"/>
        </w:rPr>
        <w:t>f</w:t>
      </w:r>
      <w:r>
        <w:rPr>
          <w:i/>
          <w:spacing w:val="47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  <w:r>
        <w:rPr>
          <w:spacing w:val="-31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</w:t>
      </w:r>
      <w:r>
        <w:rPr>
          <w:spacing w:val="39"/>
          <w:w w:val="95"/>
          <w:sz w:val="25"/>
          <w:vertAlign w:val="baseline"/>
        </w:rPr>
        <w:t> </w:t>
      </w:r>
      <w:r>
        <w:rPr>
          <w:i/>
          <w:w w:val="95"/>
          <w:sz w:val="23"/>
          <w:vertAlign w:val="baseline"/>
        </w:rPr>
        <w:t>LnMS</w:t>
      </w:r>
      <w:r>
        <w:rPr>
          <w:i/>
          <w:spacing w:val="9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  <w:r>
        <w:rPr>
          <w:spacing w:val="-32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</w:t>
      </w:r>
      <w:r>
        <w:rPr>
          <w:spacing w:val="45"/>
          <w:w w:val="95"/>
          <w:sz w:val="25"/>
          <w:vertAlign w:val="baseline"/>
        </w:rPr>
        <w:t> </w:t>
      </w:r>
      <w:r>
        <w:rPr>
          <w:i/>
          <w:w w:val="95"/>
          <w:sz w:val="23"/>
          <w:vertAlign w:val="baseline"/>
        </w:rPr>
        <w:t>LnIR</w:t>
      </w:r>
      <w:r>
        <w:rPr>
          <w:i/>
          <w:spacing w:val="46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  <w:r>
        <w:rPr>
          <w:spacing w:val="-32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</w:t>
      </w:r>
      <w:r>
        <w:rPr>
          <w:spacing w:val="48"/>
          <w:w w:val="95"/>
          <w:sz w:val="25"/>
          <w:vertAlign w:val="baseline"/>
        </w:rPr>
        <w:t> </w:t>
      </w:r>
      <w:r>
        <w:rPr>
          <w:i/>
          <w:w w:val="95"/>
          <w:sz w:val="23"/>
          <w:vertAlign w:val="baseline"/>
        </w:rPr>
        <w:t>D</w:t>
      </w:r>
      <w:r>
        <w:rPr>
          <w:i/>
          <w:spacing w:val="45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  <w:r>
        <w:rPr>
          <w:spacing w:val="-24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</w:t>
      </w:r>
    </w:p>
    <w:p>
      <w:pPr>
        <w:spacing w:after="0" w:line="191" w:lineRule="exact"/>
        <w:jc w:val="left"/>
        <w:rPr>
          <w:rFonts w:ascii="Symbol" w:hAnsi="Symbol"/>
          <w:sz w:val="25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1691" w:val="left" w:leader="none"/>
          <w:tab w:pos="2241" w:val="right" w:leader="none"/>
        </w:tabs>
        <w:spacing w:before="1"/>
        <w:ind w:left="987" w:right="0" w:firstLine="0"/>
        <w:jc w:val="left"/>
        <w:rPr>
          <w:sz w:val="13"/>
        </w:rPr>
      </w:pPr>
      <w:r>
        <w:rPr>
          <w:w w:val="105"/>
          <w:sz w:val="13"/>
        </w:rPr>
        <w:t>4</w:t>
        <w:tab/>
      </w:r>
      <w:r>
        <w:rPr>
          <w:i/>
          <w:w w:val="105"/>
          <w:sz w:val="13"/>
        </w:rPr>
        <w:t>t</w:t>
        <w:tab/>
      </w:r>
      <w:r>
        <w:rPr>
          <w:w w:val="105"/>
          <w:sz w:val="13"/>
        </w:rPr>
        <w:t>5</w:t>
      </w:r>
    </w:p>
    <w:p>
      <w:pPr>
        <w:tabs>
          <w:tab w:pos="937" w:val="left" w:leader="none"/>
          <w:tab w:pos="1466" w:val="left" w:leader="none"/>
        </w:tabs>
        <w:spacing w:before="1"/>
        <w:ind w:left="523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w w:val="105"/>
          <w:sz w:val="13"/>
        </w:rPr>
        <w:t>t</w:t>
        <w:tab/>
      </w:r>
      <w:r>
        <w:rPr>
          <w:w w:val="105"/>
          <w:sz w:val="13"/>
        </w:rPr>
        <w:t>6</w:t>
        <w:tab/>
      </w:r>
      <w:r>
        <w:rPr>
          <w:i/>
          <w:spacing w:val="-7"/>
          <w:w w:val="105"/>
          <w:sz w:val="13"/>
        </w:rPr>
        <w:t>t</w:t>
      </w:r>
    </w:p>
    <w:p>
      <w:pPr>
        <w:tabs>
          <w:tab w:pos="954" w:val="left" w:leader="none"/>
        </w:tabs>
        <w:spacing w:before="1"/>
        <w:ind w:left="335" w:right="0" w:firstLine="0"/>
        <w:jc w:val="left"/>
        <w:rPr>
          <w:i/>
          <w:sz w:val="13"/>
        </w:rPr>
      </w:pPr>
      <w:r>
        <w:rPr/>
        <w:br w:type="column"/>
      </w:r>
      <w:r>
        <w:rPr>
          <w:sz w:val="13"/>
        </w:rPr>
        <w:t>7    </w:t>
      </w:r>
      <w:r>
        <w:rPr>
          <w:spacing w:val="11"/>
          <w:sz w:val="13"/>
        </w:rPr>
        <w:t> </w:t>
      </w:r>
      <w:r>
        <w:rPr>
          <w:i/>
          <w:w w:val="105"/>
          <w:sz w:val="13"/>
        </w:rPr>
        <w:t>t</w:t>
        <w:tab/>
        <w:t>t</w:t>
      </w: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top="1500" w:bottom="1200" w:left="1320" w:right="440"/>
          <w:cols w:num="3" w:equalWidth="0">
            <w:col w:w="2242" w:space="40"/>
            <w:col w:w="1504" w:space="39"/>
            <w:col w:w="6655"/>
          </w:cols>
        </w:sectPr>
      </w:pPr>
    </w:p>
    <w:p>
      <w:pPr>
        <w:spacing w:before="556"/>
        <w:ind w:left="81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962240">
            <wp:simplePos x="0" y="0"/>
            <wp:positionH relativeFrom="page">
              <wp:posOffset>1485138</wp:posOffset>
            </wp:positionH>
            <wp:positionV relativeFrom="paragraph">
              <wp:posOffset>471367</wp:posOffset>
            </wp:positionV>
            <wp:extent cx="5102225" cy="5044439"/>
            <wp:effectExtent l="0" t="0" r="0" b="0"/>
            <wp:wrapNone/>
            <wp:docPr id="17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The,</w:t>
      </w:r>
      <w:r>
        <w:rPr>
          <w:sz w:val="24"/>
        </w:rPr>
        <w:t> </w:t>
      </w:r>
      <w:r>
        <w:rPr>
          <w:spacing w:val="-1"/>
          <w:sz w:val="24"/>
        </w:rPr>
        <w:t>aprior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expectations</w:t>
      </w:r>
      <w:r>
        <w:rPr>
          <w:sz w:val="24"/>
        </w:rPr>
        <w:t> </w:t>
      </w:r>
      <w:r>
        <w:rPr>
          <w:spacing w:val="-1"/>
          <w:sz w:val="24"/>
        </w:rPr>
        <w:t>are:</w:t>
      </w:r>
      <w:r>
        <w:rPr>
          <w:spacing w:val="22"/>
          <w:sz w:val="24"/>
        </w:rPr>
        <w:t> </w:t>
      </w:r>
      <w:r>
        <w:rPr>
          <w:rFonts w:ascii="Symbol" w:hAnsi="Symbol"/>
          <w:spacing w:val="-1"/>
          <w:sz w:val="25"/>
        </w:rPr>
        <w:t></w:t>
      </w:r>
      <w:r>
        <w:rPr>
          <w:spacing w:val="-1"/>
          <w:sz w:val="25"/>
          <w:vertAlign w:val="subscript"/>
        </w:rPr>
        <w:t>1</w:t>
      </w:r>
      <w:r>
        <w:rPr>
          <w:spacing w:val="4"/>
          <w:sz w:val="25"/>
          <w:vertAlign w:val="baseline"/>
        </w:rPr>
        <w:t> </w:t>
      </w:r>
      <w:r>
        <w:rPr>
          <w:rFonts w:ascii="Symbol" w:hAnsi="Symbol"/>
          <w:spacing w:val="-1"/>
          <w:sz w:val="24"/>
          <w:vertAlign w:val="baseline"/>
        </w:rPr>
        <w:t></w:t>
      </w:r>
      <w:r>
        <w:rPr>
          <w:spacing w:val="-12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0,</w:t>
      </w:r>
      <w:r>
        <w:rPr>
          <w:spacing w:val="-12"/>
          <w:sz w:val="24"/>
          <w:vertAlign w:val="baseline"/>
        </w:rPr>
        <w:t> </w:t>
      </w:r>
      <w:r>
        <w:rPr>
          <w:rFonts w:ascii="Symbol" w:hAnsi="Symbol"/>
          <w:spacing w:val="-1"/>
          <w:sz w:val="25"/>
          <w:vertAlign w:val="baseline"/>
        </w:rPr>
        <w:t></w:t>
      </w:r>
      <w:r>
        <w:rPr>
          <w:spacing w:val="-1"/>
          <w:sz w:val="25"/>
          <w:vertAlign w:val="subscript"/>
        </w:rPr>
        <w:t>2</w:t>
      </w:r>
      <w:r>
        <w:rPr>
          <w:spacing w:val="11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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0,</w:t>
      </w:r>
      <w:r>
        <w:rPr>
          <w:spacing w:val="-14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</w:t>
      </w:r>
      <w:r>
        <w:rPr>
          <w:sz w:val="25"/>
          <w:vertAlign w:val="subscript"/>
        </w:rPr>
        <w:t>3</w:t>
      </w:r>
      <w:r>
        <w:rPr>
          <w:spacing w:val="10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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0,</w:t>
      </w:r>
      <w:r>
        <w:rPr>
          <w:spacing w:val="-9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</w:t>
      </w:r>
      <w:r>
        <w:rPr>
          <w:sz w:val="25"/>
          <w:vertAlign w:val="subscript"/>
        </w:rPr>
        <w:t>4</w:t>
      </w:r>
      <w:r>
        <w:rPr>
          <w:spacing w:val="12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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0,</w:t>
      </w:r>
      <w:r>
        <w:rPr>
          <w:spacing w:val="-14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</w:t>
      </w:r>
      <w:r>
        <w:rPr>
          <w:sz w:val="25"/>
          <w:vertAlign w:val="subscript"/>
        </w:rPr>
        <w:t>5</w:t>
      </w:r>
      <w:r>
        <w:rPr>
          <w:spacing w:val="9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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0,</w:t>
      </w:r>
      <w:r>
        <w:rPr>
          <w:spacing w:val="-7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</w:t>
      </w:r>
      <w:r>
        <w:rPr>
          <w:sz w:val="25"/>
          <w:vertAlign w:val="subscript"/>
        </w:rPr>
        <w:t>6</w:t>
      </w:r>
      <w:r>
        <w:rPr>
          <w:spacing w:val="14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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6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</w:t>
      </w:r>
      <w:r>
        <w:rPr>
          <w:sz w:val="25"/>
          <w:vertAlign w:val="subscript"/>
        </w:rPr>
        <w:t>7</w:t>
      </w:r>
      <w:r>
        <w:rPr>
          <w:spacing w:val="13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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0.</w:t>
      </w:r>
    </w:p>
    <w:p>
      <w:pPr>
        <w:pStyle w:val="BodyText"/>
        <w:spacing w:before="195"/>
        <w:ind w:left="811"/>
      </w:pP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1"/>
        </w:rPr>
        <w:t> </w:t>
      </w:r>
      <w:r>
        <w:rPr/>
        <w:t>component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trade</w:t>
      </w:r>
      <w:r>
        <w:rPr>
          <w:spacing w:val="-2"/>
        </w:rPr>
        <w:t> </w:t>
      </w:r>
      <w:r>
        <w:rPr/>
        <w:t>balance</w:t>
      </w:r>
      <w:r>
        <w:rPr>
          <w:spacing w:val="-1"/>
        </w:rPr>
        <w:t> </w:t>
      </w:r>
      <w:r>
        <w:rPr/>
        <w:t>equation,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imports equation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as:</w:t>
      </w:r>
    </w:p>
    <w:p>
      <w:pPr>
        <w:spacing w:after="0"/>
        <w:sectPr>
          <w:type w:val="continuous"/>
          <w:pgSz w:w="12240" w:h="15840"/>
          <w:pgMar w:top="1500" w:bottom="1200" w:left="1320" w:right="440"/>
        </w:sectPr>
      </w:pPr>
    </w:p>
    <w:p>
      <w:pPr>
        <w:spacing w:line="154" w:lineRule="exact" w:before="384"/>
        <w:ind w:left="853" w:right="0" w:firstLine="0"/>
        <w:jc w:val="left"/>
        <w:rPr>
          <w:i/>
          <w:sz w:val="23"/>
        </w:rPr>
      </w:pPr>
      <w:r>
        <w:rPr>
          <w:i/>
          <w:spacing w:val="-6"/>
          <w:sz w:val="23"/>
        </w:rPr>
        <w:t>L</w:t>
      </w:r>
      <w:r>
        <w:rPr>
          <w:i/>
          <w:spacing w:val="-28"/>
          <w:sz w:val="23"/>
        </w:rPr>
        <w:t> </w:t>
      </w:r>
      <w:r>
        <w:rPr>
          <w:spacing w:val="-6"/>
          <w:sz w:val="23"/>
        </w:rPr>
        <w:t>n</w:t>
      </w:r>
      <w:r>
        <w:rPr>
          <w:spacing w:val="-14"/>
          <w:sz w:val="23"/>
        </w:rPr>
        <w:t> </w:t>
      </w:r>
      <w:r>
        <w:rPr>
          <w:i/>
          <w:spacing w:val="-6"/>
          <w:sz w:val="23"/>
        </w:rPr>
        <w:t>IM</w:t>
      </w:r>
    </w:p>
    <w:p>
      <w:pPr>
        <w:spacing w:line="191" w:lineRule="exact" w:before="348"/>
        <w:ind w:left="93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95"/>
          <w:sz w:val="23"/>
        </w:rPr>
        <w:t></w:t>
      </w:r>
      <w:r>
        <w:rPr>
          <w:spacing w:val="1"/>
          <w:w w:val="95"/>
          <w:sz w:val="23"/>
        </w:rPr>
        <w:t> </w:t>
      </w:r>
      <w:r>
        <w:rPr>
          <w:rFonts w:ascii="Symbol" w:hAnsi="Symbol"/>
          <w:w w:val="95"/>
          <w:sz w:val="25"/>
        </w:rPr>
        <w:t></w:t>
      </w:r>
      <w:r>
        <w:rPr>
          <w:spacing w:val="81"/>
          <w:sz w:val="25"/>
        </w:rPr>
        <w:t> </w:t>
      </w:r>
      <w:r>
        <w:rPr>
          <w:rFonts w:ascii="Symbol" w:hAnsi="Symbol"/>
          <w:w w:val="95"/>
          <w:sz w:val="23"/>
        </w:rPr>
        <w:t></w:t>
      </w:r>
      <w:r>
        <w:rPr>
          <w:spacing w:val="-9"/>
          <w:w w:val="95"/>
          <w:sz w:val="23"/>
        </w:rPr>
        <w:t> </w:t>
      </w:r>
      <w:r>
        <w:rPr>
          <w:rFonts w:ascii="Symbol" w:hAnsi="Symbol"/>
          <w:w w:val="95"/>
          <w:sz w:val="25"/>
        </w:rPr>
        <w:t></w:t>
      </w:r>
      <w:r>
        <w:rPr>
          <w:spacing w:val="12"/>
          <w:w w:val="95"/>
          <w:sz w:val="25"/>
        </w:rPr>
        <w:t> </w:t>
      </w:r>
      <w:r>
        <w:rPr>
          <w:i/>
          <w:w w:val="95"/>
          <w:sz w:val="23"/>
        </w:rPr>
        <w:t>LnREER</w:t>
      </w:r>
      <w:r>
        <w:rPr>
          <w:i/>
          <w:spacing w:val="44"/>
          <w:w w:val="95"/>
          <w:sz w:val="23"/>
        </w:rPr>
        <w:t> </w:t>
      </w:r>
      <w:r>
        <w:rPr>
          <w:rFonts w:ascii="Symbol" w:hAnsi="Symbol"/>
          <w:w w:val="95"/>
          <w:sz w:val="23"/>
        </w:rPr>
        <w:t></w:t>
      </w:r>
      <w:r>
        <w:rPr>
          <w:spacing w:val="-9"/>
          <w:w w:val="95"/>
          <w:sz w:val="23"/>
        </w:rPr>
        <w:t> </w:t>
      </w:r>
      <w:r>
        <w:rPr>
          <w:rFonts w:ascii="Symbol" w:hAnsi="Symbol"/>
          <w:w w:val="95"/>
          <w:sz w:val="25"/>
        </w:rPr>
        <w:t></w:t>
      </w:r>
      <w:r>
        <w:rPr>
          <w:spacing w:val="39"/>
          <w:w w:val="95"/>
          <w:sz w:val="25"/>
        </w:rPr>
        <w:t> </w:t>
      </w:r>
      <w:r>
        <w:rPr>
          <w:i/>
          <w:w w:val="95"/>
          <w:sz w:val="23"/>
        </w:rPr>
        <w:t>LnGDP</w:t>
      </w:r>
      <w:r>
        <w:rPr>
          <w:i/>
          <w:w w:val="95"/>
          <w:sz w:val="23"/>
          <w:vertAlign w:val="superscript"/>
        </w:rPr>
        <w:t>d</w:t>
      </w:r>
      <w:r>
        <w:rPr>
          <w:i/>
          <w:spacing w:val="23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  <w:r>
        <w:rPr>
          <w:spacing w:val="-9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spacing w:val="31"/>
          <w:w w:val="95"/>
          <w:sz w:val="25"/>
          <w:vertAlign w:val="baseline"/>
        </w:rPr>
        <w:t> </w:t>
      </w:r>
      <w:r>
        <w:rPr>
          <w:i/>
          <w:w w:val="95"/>
          <w:sz w:val="23"/>
          <w:vertAlign w:val="baseline"/>
        </w:rPr>
        <w:t>LnGDP</w:t>
      </w:r>
      <w:r>
        <w:rPr>
          <w:i/>
          <w:spacing w:val="-18"/>
          <w:w w:val="95"/>
          <w:sz w:val="23"/>
          <w:vertAlign w:val="baseline"/>
        </w:rPr>
        <w:t> </w:t>
      </w:r>
      <w:r>
        <w:rPr>
          <w:i/>
          <w:w w:val="95"/>
          <w:sz w:val="23"/>
          <w:vertAlign w:val="superscript"/>
        </w:rPr>
        <w:t>f</w:t>
      </w:r>
      <w:r>
        <w:rPr>
          <w:i/>
          <w:spacing w:val="43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</w:p>
    <w:p>
      <w:pPr>
        <w:spacing w:after="0" w:line="191" w:lineRule="exact"/>
        <w:jc w:val="left"/>
        <w:rPr>
          <w:rFonts w:ascii="Symbol" w:hAnsi="Symbol"/>
          <w:sz w:val="23"/>
        </w:rPr>
        <w:sectPr>
          <w:type w:val="continuous"/>
          <w:pgSz w:w="12240" w:h="15840"/>
          <w:pgMar w:top="1500" w:bottom="1200" w:left="1320" w:right="440"/>
          <w:cols w:num="2" w:equalWidth="0">
            <w:col w:w="1434" w:space="40"/>
            <w:col w:w="9006"/>
          </w:cols>
        </w:sectPr>
      </w:pPr>
    </w:p>
    <w:p>
      <w:pPr>
        <w:tabs>
          <w:tab w:pos="1877" w:val="left" w:leader="none"/>
          <w:tab w:pos="2356" w:val="right" w:leader="none"/>
        </w:tabs>
        <w:spacing w:before="0"/>
        <w:ind w:left="1448" w:right="0" w:firstLine="0"/>
        <w:jc w:val="left"/>
        <w:rPr>
          <w:sz w:val="13"/>
        </w:rPr>
      </w:pPr>
      <w:r>
        <w:rPr>
          <w:i/>
          <w:sz w:val="13"/>
        </w:rPr>
        <w:t>t</w:t>
        <w:tab/>
      </w:r>
      <w:r>
        <w:rPr>
          <w:sz w:val="13"/>
        </w:rPr>
        <w:t>0</w:t>
        <w:tab/>
        <w:t>1</w:t>
      </w:r>
    </w:p>
    <w:p>
      <w:pPr>
        <w:tabs>
          <w:tab w:pos="1146" w:val="left" w:leader="none"/>
          <w:tab w:pos="1887" w:val="left" w:leader="none"/>
          <w:tab w:pos="2376" w:val="left" w:leader="none"/>
          <w:tab w:pos="3112" w:val="left" w:leader="none"/>
        </w:tabs>
        <w:spacing w:before="0"/>
        <w:ind w:left="740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sz w:val="13"/>
        </w:rPr>
        <w:t>t</w:t>
        <w:tab/>
      </w:r>
      <w:r>
        <w:rPr>
          <w:sz w:val="13"/>
        </w:rPr>
        <w:t>2</w:t>
        <w:tab/>
      </w:r>
      <w:r>
        <w:rPr>
          <w:i/>
          <w:sz w:val="13"/>
        </w:rPr>
        <w:t>t</w:t>
        <w:tab/>
      </w:r>
      <w:r>
        <w:rPr>
          <w:sz w:val="13"/>
        </w:rPr>
        <w:t>3</w:t>
        <w:tab/>
      </w:r>
      <w:r>
        <w:rPr>
          <w:i/>
          <w:sz w:val="13"/>
        </w:rPr>
        <w:t>t</w:t>
      </w:r>
    </w:p>
    <w:p>
      <w:pPr>
        <w:pStyle w:val="BodyText"/>
        <w:spacing w:line="189" w:lineRule="exact" w:before="14"/>
        <w:ind w:left="1429" w:right="1506"/>
        <w:jc w:val="center"/>
      </w:pPr>
      <w:r>
        <w:rPr/>
        <w:br w:type="column"/>
      </w:r>
      <w:r>
        <w:rPr/>
        <w:t>(4.24)</w:t>
      </w:r>
    </w:p>
    <w:p>
      <w:pPr>
        <w:spacing w:after="0" w:line="189" w:lineRule="exact"/>
        <w:jc w:val="center"/>
        <w:sectPr>
          <w:type w:val="continuous"/>
          <w:pgSz w:w="12240" w:h="15840"/>
          <w:pgMar w:top="1500" w:bottom="1200" w:left="1320" w:right="440"/>
          <w:cols w:num="3" w:equalWidth="0">
            <w:col w:w="2357" w:space="40"/>
            <w:col w:w="3190" w:space="1338"/>
            <w:col w:w="3555"/>
          </w:cols>
        </w:sectPr>
      </w:pPr>
    </w:p>
    <w:p>
      <w:pPr>
        <w:spacing w:line="191" w:lineRule="exact" w:before="0"/>
        <w:ind w:left="849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w w:val="95"/>
          <w:sz w:val="25"/>
        </w:rPr>
        <w:t></w:t>
      </w:r>
      <w:r>
        <w:rPr>
          <w:spacing w:val="35"/>
          <w:w w:val="95"/>
          <w:sz w:val="25"/>
        </w:rPr>
        <w:t> </w:t>
      </w:r>
      <w:r>
        <w:rPr>
          <w:i/>
          <w:w w:val="95"/>
          <w:sz w:val="23"/>
        </w:rPr>
        <w:t>LnCPI</w:t>
      </w:r>
      <w:r>
        <w:rPr>
          <w:i/>
          <w:spacing w:val="3"/>
          <w:w w:val="95"/>
          <w:sz w:val="23"/>
        </w:rPr>
        <w:t> </w:t>
      </w:r>
      <w:r>
        <w:rPr>
          <w:i/>
          <w:w w:val="95"/>
          <w:sz w:val="23"/>
          <w:vertAlign w:val="superscript"/>
        </w:rPr>
        <w:t>f</w:t>
      </w:r>
      <w:r>
        <w:rPr>
          <w:i/>
          <w:spacing w:val="41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  <w:r>
        <w:rPr>
          <w:spacing w:val="-11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spacing w:val="29"/>
          <w:w w:val="95"/>
          <w:sz w:val="25"/>
          <w:vertAlign w:val="baseline"/>
        </w:rPr>
        <w:t> </w:t>
      </w:r>
      <w:r>
        <w:rPr>
          <w:i/>
          <w:w w:val="95"/>
          <w:sz w:val="23"/>
          <w:vertAlign w:val="baseline"/>
        </w:rPr>
        <w:t>LnMS</w:t>
      </w:r>
      <w:r>
        <w:rPr>
          <w:i/>
          <w:spacing w:val="2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  <w:r>
        <w:rPr>
          <w:spacing w:val="-10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spacing w:val="35"/>
          <w:w w:val="95"/>
          <w:sz w:val="25"/>
          <w:vertAlign w:val="baseline"/>
        </w:rPr>
        <w:t> </w:t>
      </w:r>
      <w:r>
        <w:rPr>
          <w:i/>
          <w:w w:val="95"/>
          <w:sz w:val="23"/>
          <w:vertAlign w:val="baseline"/>
        </w:rPr>
        <w:t>LnIR</w:t>
      </w:r>
      <w:r>
        <w:rPr>
          <w:i/>
          <w:spacing w:val="39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  <w:r>
        <w:rPr>
          <w:spacing w:val="-11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spacing w:val="38"/>
          <w:w w:val="95"/>
          <w:sz w:val="25"/>
          <w:vertAlign w:val="baseline"/>
        </w:rPr>
        <w:t> </w:t>
      </w:r>
      <w:r>
        <w:rPr>
          <w:i/>
          <w:w w:val="95"/>
          <w:sz w:val="23"/>
          <w:vertAlign w:val="baseline"/>
        </w:rPr>
        <w:t>D</w:t>
      </w:r>
      <w:r>
        <w:rPr>
          <w:i/>
          <w:spacing w:val="38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3"/>
          <w:vertAlign w:val="baseline"/>
        </w:rPr>
        <w:t></w:t>
      </w:r>
      <w:r>
        <w:rPr>
          <w:spacing w:val="-25"/>
          <w:w w:val="95"/>
          <w:sz w:val="23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</w:t>
      </w:r>
    </w:p>
    <w:p>
      <w:pPr>
        <w:spacing w:after="0" w:line="191" w:lineRule="exact"/>
        <w:jc w:val="left"/>
        <w:rPr>
          <w:rFonts w:ascii="Symbol" w:hAnsi="Symbol"/>
          <w:sz w:val="25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1675" w:val="left" w:leader="none"/>
          <w:tab w:pos="2214" w:val="right" w:leader="none"/>
        </w:tabs>
        <w:spacing w:before="0"/>
        <w:ind w:left="983" w:right="0" w:firstLine="0"/>
        <w:jc w:val="left"/>
        <w:rPr>
          <w:sz w:val="13"/>
        </w:rPr>
      </w:pPr>
      <w:r>
        <w:rPr>
          <w:sz w:val="13"/>
        </w:rPr>
        <w:t>4</w:t>
        <w:tab/>
      </w:r>
      <w:r>
        <w:rPr>
          <w:i/>
          <w:sz w:val="13"/>
        </w:rPr>
        <w:t>t</w:t>
        <w:tab/>
      </w:r>
      <w:r>
        <w:rPr>
          <w:sz w:val="13"/>
        </w:rPr>
        <w:t>5</w:t>
      </w:r>
    </w:p>
    <w:p>
      <w:pPr>
        <w:tabs>
          <w:tab w:pos="918" w:val="left" w:leader="none"/>
          <w:tab w:pos="1439" w:val="left" w:leader="none"/>
        </w:tabs>
        <w:spacing w:before="0"/>
        <w:ind w:left="514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sz w:val="13"/>
        </w:rPr>
        <w:t>t</w:t>
        <w:tab/>
      </w:r>
      <w:r>
        <w:rPr>
          <w:sz w:val="13"/>
        </w:rPr>
        <w:t>6</w:t>
        <w:tab/>
      </w:r>
      <w:r>
        <w:rPr>
          <w:i/>
          <w:spacing w:val="-6"/>
          <w:sz w:val="13"/>
        </w:rPr>
        <w:t>t</w:t>
      </w:r>
    </w:p>
    <w:p>
      <w:pPr>
        <w:tabs>
          <w:tab w:pos="935" w:val="left" w:leader="none"/>
        </w:tabs>
        <w:spacing w:before="0"/>
        <w:ind w:left="327" w:right="0" w:firstLine="0"/>
        <w:jc w:val="left"/>
        <w:rPr>
          <w:i/>
          <w:sz w:val="13"/>
        </w:rPr>
      </w:pPr>
      <w:r>
        <w:rPr/>
        <w:br w:type="column"/>
      </w:r>
      <w:r>
        <w:rPr>
          <w:sz w:val="13"/>
        </w:rPr>
        <w:t>7    </w:t>
      </w:r>
      <w:r>
        <w:rPr>
          <w:spacing w:val="7"/>
          <w:sz w:val="13"/>
        </w:rPr>
        <w:t> </w:t>
      </w:r>
      <w:r>
        <w:rPr>
          <w:i/>
          <w:sz w:val="13"/>
        </w:rPr>
        <w:t>t</w:t>
        <w:tab/>
        <w:t>t</w:t>
      </w: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top="1500" w:bottom="1200" w:left="1320" w:right="440"/>
          <w:cols w:num="3" w:equalWidth="0">
            <w:col w:w="2215" w:space="40"/>
            <w:col w:w="1477" w:space="39"/>
            <w:col w:w="6709"/>
          </w:cols>
        </w:sectPr>
      </w:pPr>
    </w:p>
    <w:p>
      <w:pPr>
        <w:spacing w:before="342"/>
        <w:ind w:left="852" w:right="0" w:firstLine="0"/>
        <w:jc w:val="left"/>
        <w:rPr>
          <w:sz w:val="24"/>
        </w:rPr>
      </w:pPr>
      <w:r>
        <w:rPr>
          <w:rFonts w:ascii="Symbol" w:hAnsi="Symbol"/>
          <w:w w:val="95"/>
          <w:sz w:val="25"/>
        </w:rPr>
        <w:t></w:t>
      </w:r>
      <w:r>
        <w:rPr>
          <w:w w:val="95"/>
          <w:sz w:val="25"/>
          <w:vertAlign w:val="subscript"/>
        </w:rPr>
        <w:t>1</w:t>
      </w:r>
      <w:r>
        <w:rPr>
          <w:spacing w:val="9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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0,</w:t>
      </w:r>
      <w:r>
        <w:rPr>
          <w:spacing w:val="26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w w:val="95"/>
          <w:sz w:val="25"/>
          <w:vertAlign w:val="subscript"/>
        </w:rPr>
        <w:t>2</w:t>
      </w:r>
      <w:r>
        <w:rPr>
          <w:spacing w:val="25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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0,</w:t>
      </w:r>
      <w:r>
        <w:rPr>
          <w:spacing w:val="38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w w:val="95"/>
          <w:sz w:val="25"/>
          <w:vertAlign w:val="subscript"/>
        </w:rPr>
        <w:t>3</w:t>
      </w:r>
      <w:r>
        <w:rPr>
          <w:spacing w:val="17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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0,</w:t>
      </w:r>
      <w:r>
        <w:rPr>
          <w:spacing w:val="30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w w:val="95"/>
          <w:sz w:val="25"/>
          <w:vertAlign w:val="subscript"/>
        </w:rPr>
        <w:t>4</w:t>
      </w:r>
      <w:r>
        <w:rPr>
          <w:spacing w:val="25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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0,</w:t>
      </w:r>
      <w:r>
        <w:rPr>
          <w:spacing w:val="38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w w:val="95"/>
          <w:sz w:val="25"/>
          <w:vertAlign w:val="subscript"/>
        </w:rPr>
        <w:t>5</w:t>
      </w:r>
      <w:r>
        <w:rPr>
          <w:spacing w:val="24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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0,</w:t>
      </w:r>
      <w:r>
        <w:rPr>
          <w:spacing w:val="24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w w:val="95"/>
          <w:sz w:val="25"/>
          <w:vertAlign w:val="subscript"/>
        </w:rPr>
        <w:t>6</w:t>
      </w:r>
      <w:r>
        <w:rPr>
          <w:spacing w:val="21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</w:t>
      </w:r>
      <w:r>
        <w:rPr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</w:t>
      </w:r>
      <w:r>
        <w:rPr>
          <w:spacing w:val="-2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and</w:t>
      </w:r>
      <w:r>
        <w:rPr>
          <w:spacing w:val="54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</w:t>
      </w:r>
      <w:r>
        <w:rPr>
          <w:w w:val="95"/>
          <w:sz w:val="25"/>
          <w:vertAlign w:val="subscript"/>
        </w:rPr>
        <w:t>7</w:t>
      </w:r>
      <w:r>
        <w:rPr>
          <w:spacing w:val="28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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4"/>
        <w:gridCol w:w="7549"/>
      </w:tblGrid>
      <w:tr>
        <w:trPr>
          <w:trHeight w:val="339" w:hRule="atLeast"/>
        </w:trPr>
        <w:tc>
          <w:tcPr>
            <w:tcW w:w="1384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Where:</w:t>
            </w:r>
          </w:p>
        </w:tc>
        <w:tc>
          <w:tcPr>
            <w:tcW w:w="7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6" w:hRule="atLeast"/>
        </w:trPr>
        <w:tc>
          <w:tcPr>
            <w:tcW w:w="1384" w:type="dxa"/>
          </w:tcPr>
          <w:p>
            <w:pPr>
              <w:pStyle w:val="TableParagraph"/>
              <w:spacing w:before="85"/>
              <w:ind w:left="424"/>
              <w:rPr>
                <w:sz w:val="24"/>
              </w:rPr>
            </w:pPr>
            <w:r>
              <w:rPr>
                <w:i/>
                <w:sz w:val="24"/>
              </w:rPr>
              <w:t>LnEX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18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54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Exports</w:t>
            </w:r>
          </w:p>
        </w:tc>
      </w:tr>
      <w:tr>
        <w:trPr>
          <w:trHeight w:val="498" w:hRule="atLeast"/>
        </w:trPr>
        <w:tc>
          <w:tcPr>
            <w:tcW w:w="1384" w:type="dxa"/>
          </w:tcPr>
          <w:p>
            <w:pPr>
              <w:pStyle w:val="TableParagraph"/>
              <w:spacing w:before="96"/>
              <w:ind w:right="127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LnIM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12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549" w:type="dxa"/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Imports</w:t>
            </w:r>
          </w:p>
        </w:tc>
      </w:tr>
      <w:tr>
        <w:trPr>
          <w:trHeight w:val="425" w:hRule="atLeast"/>
        </w:trPr>
        <w:tc>
          <w:tcPr>
            <w:tcW w:w="1384" w:type="dxa"/>
          </w:tcPr>
          <w:p>
            <w:pPr>
              <w:pStyle w:val="TableParagraph"/>
              <w:spacing w:before="76"/>
              <w:ind w:right="127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REER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549" w:type="dxa"/>
          </w:tcPr>
          <w:p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505" w:hRule="atLeast"/>
        </w:trPr>
        <w:tc>
          <w:tcPr>
            <w:tcW w:w="1384" w:type="dxa"/>
          </w:tcPr>
          <w:p>
            <w:pPr>
              <w:pStyle w:val="TableParagraph"/>
              <w:spacing w:line="216" w:lineRule="exact" w:before="104"/>
              <w:ind w:left="244"/>
              <w:rPr>
                <w:sz w:val="24"/>
              </w:rPr>
            </w:pPr>
            <w:r>
              <w:rPr>
                <w:i/>
                <w:sz w:val="24"/>
              </w:rPr>
              <w:t>LnGDP</w:t>
            </w:r>
            <w:r>
              <w:rPr>
                <w:i/>
                <w:sz w:val="24"/>
                <w:vertAlign w:val="superscript"/>
              </w:rPr>
              <w:t>d</w:t>
            </w:r>
            <w:r>
              <w:rPr>
                <w:i/>
                <w:spacing w:val="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101" w:lineRule="exact"/>
              <w:ind w:right="393"/>
              <w:jc w:val="right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t</w:t>
            </w:r>
          </w:p>
        </w:tc>
        <w:tc>
          <w:tcPr>
            <w:tcW w:w="754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GDP</w:t>
            </w:r>
          </w:p>
        </w:tc>
      </w:tr>
      <w:tr>
        <w:trPr>
          <w:trHeight w:val="1254" w:hRule="atLeast"/>
        </w:trPr>
        <w:tc>
          <w:tcPr>
            <w:tcW w:w="1384" w:type="dxa"/>
          </w:tcPr>
          <w:p>
            <w:pPr>
              <w:pStyle w:val="TableParagraph"/>
              <w:spacing w:line="216" w:lineRule="exact" w:before="116"/>
              <w:ind w:left="244"/>
              <w:rPr>
                <w:sz w:val="24"/>
              </w:rPr>
            </w:pPr>
            <w:r>
              <w:rPr>
                <w:i/>
                <w:sz w:val="24"/>
              </w:rPr>
              <w:t>LnGDP</w:t>
            </w:r>
            <w:r>
              <w:rPr>
                <w:i/>
                <w:sz w:val="24"/>
                <w:vertAlign w:val="superscript"/>
              </w:rPr>
              <w:t>f</w:t>
            </w:r>
            <w:r>
              <w:rPr>
                <w:i/>
                <w:spacing w:val="2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101" w:lineRule="exact"/>
              <w:ind w:right="393"/>
              <w:jc w:val="right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t</w:t>
            </w:r>
          </w:p>
        </w:tc>
        <w:tc>
          <w:tcPr>
            <w:tcW w:w="7549" w:type="dxa"/>
          </w:tcPr>
          <w:p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GDP,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European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Union‘s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(EU)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GDP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proxy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410" w:lineRule="atLeast" w:before="5"/>
              <w:ind w:left="107" w:right="199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income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global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activities,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also being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country‘s major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partners.</w:t>
            </w:r>
            <w:r>
              <w:rPr>
                <w:sz w:val="24"/>
                <w:vertAlign w:val="superscript"/>
              </w:rPr>
              <w:t>34</w:t>
            </w:r>
          </w:p>
        </w:tc>
      </w:tr>
      <w:tr>
        <w:trPr>
          <w:trHeight w:val="838" w:hRule="atLeast"/>
        </w:trPr>
        <w:tc>
          <w:tcPr>
            <w:tcW w:w="1384" w:type="dxa"/>
          </w:tcPr>
          <w:p>
            <w:pPr>
              <w:pStyle w:val="TableParagraph"/>
              <w:spacing w:line="88" w:lineRule="exact" w:before="92"/>
              <w:ind w:right="314"/>
              <w:jc w:val="right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f</w:t>
            </w:r>
          </w:p>
          <w:p>
            <w:pPr>
              <w:pStyle w:val="TableParagraph"/>
              <w:spacing w:line="160" w:lineRule="auto"/>
              <w:ind w:left="326"/>
              <w:rPr>
                <w:sz w:val="24"/>
              </w:rPr>
            </w:pPr>
            <w:r>
              <w:rPr>
                <w:i/>
                <w:sz w:val="24"/>
              </w:rPr>
              <w:t>LnCPI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24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54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EU‘s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CPI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provides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tradeable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goods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trading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partners,</w:t>
            </w:r>
          </w:p>
        </w:tc>
      </w:tr>
      <w:tr>
        <w:trPr>
          <w:trHeight w:val="475" w:hRule="atLeast"/>
        </w:trPr>
        <w:tc>
          <w:tcPr>
            <w:tcW w:w="1384" w:type="dxa"/>
          </w:tcPr>
          <w:p>
            <w:pPr>
              <w:pStyle w:val="TableParagraph"/>
              <w:spacing w:before="75"/>
              <w:ind w:right="105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LnMS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25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549" w:type="dxa"/>
          </w:tcPr>
          <w:p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Domestic money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representing</w:t>
            </w:r>
            <w:r>
              <w:rPr>
                <w:spacing w:val="-17"/>
                <w:sz w:val="24"/>
              </w:rPr>
              <w:t> </w:t>
            </w:r>
            <w:r>
              <w:rPr>
                <w:i/>
                <w:sz w:val="24"/>
              </w:rPr>
              <w:t>M</w:t>
            </w:r>
            <w:r>
              <w:rPr>
                <w:i/>
                <w:spacing w:val="-36"/>
                <w:sz w:val="24"/>
              </w:rPr>
              <w:t> </w:t>
            </w:r>
            <w:r>
              <w:rPr>
                <w:sz w:val="24"/>
                <w:vertAlign w:val="subscript"/>
              </w:rPr>
              <w:t>2</w:t>
            </w:r>
          </w:p>
        </w:tc>
      </w:tr>
      <w:tr>
        <w:trPr>
          <w:trHeight w:val="498" w:hRule="atLeast"/>
        </w:trPr>
        <w:tc>
          <w:tcPr>
            <w:tcW w:w="1384" w:type="dxa"/>
          </w:tcPr>
          <w:p>
            <w:pPr>
              <w:pStyle w:val="TableParagraph"/>
              <w:spacing w:before="96"/>
              <w:ind w:right="105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LnIR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8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549" w:type="dxa"/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interest 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(Treasury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bill 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 as proxy),</w:t>
            </w:r>
          </w:p>
        </w:tc>
      </w:tr>
      <w:tr>
        <w:trPr>
          <w:trHeight w:val="1180" w:hRule="atLeast"/>
        </w:trPr>
        <w:tc>
          <w:tcPr>
            <w:tcW w:w="1384" w:type="dxa"/>
          </w:tcPr>
          <w:p>
            <w:pPr>
              <w:pStyle w:val="TableParagraph"/>
              <w:spacing w:before="97"/>
              <w:ind w:right="105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D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15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549" w:type="dxa"/>
          </w:tcPr>
          <w:p>
            <w:pPr>
              <w:pStyle w:val="TableParagraph"/>
              <w:spacing w:line="360" w:lineRule="auto" w:before="76"/>
              <w:ind w:left="107" w:right="193"/>
              <w:rPr>
                <w:sz w:val="24"/>
              </w:rPr>
            </w:pPr>
            <w:r>
              <w:rPr>
                <w:sz w:val="24"/>
              </w:rPr>
              <w:t>Dummy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capture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strife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country‘s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quarter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one,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1991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quarter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four,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2000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assigned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period 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spacing w:before="213"/>
        <w:ind w:left="811" w:right="0" w:firstLine="0"/>
        <w:jc w:val="left"/>
        <w:rPr>
          <w:rFonts w:ascii="Calibri" w:hAnsi="Calibri"/>
          <w:sz w:val="20"/>
        </w:rPr>
      </w:pPr>
      <w:r>
        <w:rPr/>
        <w:pict>
          <v:rect style="position:absolute;margin-left:106.580002pt;margin-top:4.811516pt;width:144.020pt;height:.71997pt;mso-position-horizontal-relative:page;mso-position-vertical-relative:paragraph;z-index:-25353728" filled="true" fillcolor="#000000" stroked="false">
            <v:fill type="solid"/>
            <w10:wrap type="none"/>
          </v:rect>
        </w:pict>
      </w:r>
      <w:r>
        <w:rPr>
          <w:rFonts w:ascii="Calibri" w:hAnsi="Calibri"/>
          <w:sz w:val="20"/>
          <w:vertAlign w:val="superscript"/>
        </w:rPr>
        <w:t>34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Accounting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for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over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60%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of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the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country’s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trading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goods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(both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exports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and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imports).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line="360" w:lineRule="auto" w:before="74"/>
        <w:ind w:left="811" w:right="993"/>
        <w:jc w:val="both"/>
      </w:pPr>
      <w:r>
        <w:rPr/>
        <w:t>According the Pesaran</w:t>
      </w:r>
      <w:r>
        <w:rPr>
          <w:spacing w:val="1"/>
        </w:rPr>
        <w:t> </w:t>
      </w:r>
      <w:r>
        <w:rPr/>
        <w:t>and Shin</w:t>
      </w:r>
      <w:r>
        <w:rPr>
          <w:spacing w:val="1"/>
        </w:rPr>
        <w:t> </w:t>
      </w:r>
      <w:r>
        <w:rPr/>
        <w:t>(1991); and Jalil, Ma and Naveed</w:t>
      </w:r>
      <w:r>
        <w:rPr>
          <w:spacing w:val="60"/>
        </w:rPr>
        <w:t> </w:t>
      </w:r>
      <w:r>
        <w:rPr/>
        <w:t>(2008), the problems</w:t>
      </w:r>
      <w:r>
        <w:rPr>
          <w:spacing w:val="1"/>
        </w:rPr>
        <w:t> </w:t>
      </w:r>
      <w:r>
        <w:rPr/>
        <w:t>of serial</w:t>
      </w:r>
      <w:r>
        <w:rPr>
          <w:spacing w:val="60"/>
        </w:rPr>
        <w:t> </w:t>
      </w:r>
      <w:r>
        <w:rPr/>
        <w:t>correlation and endogeneity are addressed when the appropriate number of lags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Autoregressive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Lags</w:t>
      </w:r>
      <w:r>
        <w:rPr>
          <w:spacing w:val="1"/>
        </w:rPr>
        <w:t> </w:t>
      </w:r>
      <w:r>
        <w:rPr/>
        <w:t>(ARDL)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estimations of equations 4.23 and 4.24, and all the subsequent equations estimated follow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aforementioned procedure.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15"/>
        </w:numPr>
        <w:tabs>
          <w:tab w:pos="1532" w:val="left" w:leader="none"/>
        </w:tabs>
        <w:spacing w:line="240" w:lineRule="auto" w:before="0" w:after="0"/>
        <w:ind w:left="1531" w:right="0" w:hanging="721"/>
        <w:jc w:val="left"/>
      </w:pPr>
      <w:r>
        <w:rPr/>
        <w:drawing>
          <wp:anchor distT="0" distB="0" distL="0" distR="0" allowOverlap="1" layoutInCell="1" locked="0" behindDoc="1" simplePos="0" relativeHeight="477963264">
            <wp:simplePos x="0" y="0"/>
            <wp:positionH relativeFrom="page">
              <wp:posOffset>1485138</wp:posOffset>
            </wp:positionH>
            <wp:positionV relativeFrom="paragraph">
              <wp:posOffset>14771</wp:posOffset>
            </wp:positionV>
            <wp:extent cx="5102225" cy="5044439"/>
            <wp:effectExtent l="0" t="0" r="0" b="0"/>
            <wp:wrapNone/>
            <wp:docPr id="1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0" w:id="44"/>
      <w:r>
        <w:rPr/>
        <w:t>The</w:t>
      </w:r>
      <w:r>
        <w:rPr>
          <w:spacing w:val="-3"/>
        </w:rPr>
        <w:t> </w:t>
      </w:r>
      <w:r>
        <w:rPr/>
        <w:t>Investment</w:t>
      </w:r>
      <w:r>
        <w:rPr>
          <w:spacing w:val="-2"/>
        </w:rPr>
        <w:t> </w:t>
      </w:r>
      <w:bookmarkEnd w:id="44"/>
      <w:r>
        <w:rPr/>
        <w:t>Equation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 w:before="1"/>
        <w:ind w:left="811" w:right="997"/>
        <w:jc w:val="both"/>
      </w:pPr>
      <w:r>
        <w:rPr/>
        <w:t>The component of the financial account balance specified is the foreign direct investment</w:t>
      </w:r>
      <w:r>
        <w:rPr>
          <w:spacing w:val="1"/>
        </w:rPr>
        <w:t> </w:t>
      </w:r>
      <w:r>
        <w:rPr/>
        <w:t>mainly due to the country‘s high desire for growth through investment.</w:t>
      </w:r>
      <w:r>
        <w:rPr>
          <w:spacing w:val="61"/>
        </w:rPr>
        <w:t> </w:t>
      </w:r>
      <w:r>
        <w:rPr/>
        <w:t>As discussed,</w:t>
      </w:r>
      <w:r>
        <w:rPr>
          <w:spacing w:val="1"/>
        </w:rPr>
        <w:t> </w:t>
      </w:r>
      <w:r>
        <w:rPr/>
        <w:t>there exists a direct relationship between exchange rate movement and foreign direct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inflows.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variability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unpredictability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since</w:t>
      </w:r>
      <w:r>
        <w:rPr>
          <w:spacing w:val="1"/>
        </w:rPr>
        <w:t> </w:t>
      </w:r>
      <w:r>
        <w:rPr/>
        <w:t>portfolio</w:t>
      </w:r>
      <w:r>
        <w:rPr>
          <w:spacing w:val="14"/>
        </w:rPr>
        <w:t> </w:t>
      </w:r>
      <w:r>
        <w:rPr/>
        <w:t>investment</w:t>
      </w:r>
      <w:r>
        <w:rPr>
          <w:spacing w:val="17"/>
        </w:rPr>
        <w:t> </w:t>
      </w:r>
      <w:r>
        <w:rPr/>
        <w:t>inflows</w:t>
      </w:r>
      <w:r>
        <w:rPr>
          <w:spacing w:val="15"/>
        </w:rPr>
        <w:t> </w:t>
      </w:r>
      <w:r>
        <w:rPr/>
        <w:t>depend</w:t>
      </w:r>
      <w:r>
        <w:rPr>
          <w:spacing w:val="15"/>
        </w:rPr>
        <w:t> </w:t>
      </w:r>
      <w:r>
        <w:rPr/>
        <w:t>greatly</w:t>
      </w:r>
      <w:r>
        <w:rPr>
          <w:spacing w:val="10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macroeconomic</w:t>
      </w:r>
      <w:r>
        <w:rPr>
          <w:spacing w:val="14"/>
        </w:rPr>
        <w:t> </w:t>
      </w:r>
      <w:r>
        <w:rPr/>
        <w:t>stability,</w:t>
      </w:r>
      <w:r>
        <w:rPr>
          <w:spacing w:val="-58"/>
        </w:rPr>
        <w:t> </w:t>
      </w:r>
      <w:r>
        <w:rPr/>
        <w:t>it</w:t>
      </w:r>
      <w:r>
        <w:rPr>
          <w:spacing w:val="1"/>
        </w:rPr>
        <w:t> </w:t>
      </w:r>
      <w:r>
        <w:rPr/>
        <w:t>can,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portfolio</w:t>
      </w:r>
      <w:r>
        <w:rPr>
          <w:spacing w:val="1"/>
        </w:rPr>
        <w:t> </w:t>
      </w:r>
      <w:r>
        <w:rPr/>
        <w:t>investment flows.</w:t>
      </w:r>
      <w:r>
        <w:rPr>
          <w:spacing w:val="1"/>
        </w:rPr>
        <w:t> </w:t>
      </w:r>
      <w:r>
        <w:rPr/>
        <w:t>However, due to the huge missing figures in</w:t>
      </w:r>
      <w:r>
        <w:rPr>
          <w:spacing w:val="1"/>
        </w:rPr>
        <w:t> </w:t>
      </w:r>
      <w:r>
        <w:rPr/>
        <w:t>the available official data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portfolio</w:t>
      </w:r>
      <w:r>
        <w:rPr>
          <w:spacing w:val="-1"/>
        </w:rPr>
        <w:t> </w:t>
      </w:r>
      <w:r>
        <w:rPr/>
        <w:t>investment, only</w:t>
      </w:r>
      <w:r>
        <w:rPr>
          <w:spacing w:val="-6"/>
        </w:rPr>
        <w:t> </w:t>
      </w:r>
      <w:r>
        <w:rPr/>
        <w:t>empirical analysis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foreign direct</w:t>
      </w:r>
      <w:r>
        <w:rPr>
          <w:spacing w:val="-1"/>
        </w:rPr>
        <w:t> </w:t>
      </w:r>
      <w:r>
        <w:rPr/>
        <w:t>investment is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811" w:right="993"/>
        <w:jc w:val="both"/>
      </w:pPr>
      <w:r>
        <w:rPr/>
        <w:t>Hence, following the views of Kohlhagen (1977) and Stevens (1993),</w:t>
      </w:r>
      <w:r>
        <w:rPr>
          <w:spacing w:val="1"/>
        </w:rPr>
        <w:t> </w:t>
      </w:r>
      <w:r>
        <w:rPr/>
        <w:t>a weaker currency</w:t>
      </w:r>
      <w:r>
        <w:rPr>
          <w:spacing w:val="1"/>
        </w:rPr>
        <w:t> </w:t>
      </w:r>
      <w:r>
        <w:rPr/>
        <w:t>of a host country significantly attracts investments inflows due to relatively low cost of</w:t>
      </w:r>
      <w:r>
        <w:rPr>
          <w:spacing w:val="1"/>
        </w:rPr>
        <w:t> </w:t>
      </w:r>
      <w:r>
        <w:rPr/>
        <w:t>labour and raw materials, and other cost advantages with domestic competitors, exchange</w:t>
      </w:r>
      <w:r>
        <w:rPr>
          <w:spacing w:val="1"/>
        </w:rPr>
        <w:t> </w:t>
      </w:r>
      <w:r>
        <w:rPr/>
        <w:t>rate movements is considered to play a centre role in the analysis.</w:t>
      </w:r>
      <w:r>
        <w:rPr>
          <w:spacing w:val="1"/>
        </w:rPr>
        <w:t> </w:t>
      </w:r>
      <w:r>
        <w:rPr/>
        <w:t>Also, the size of an</w:t>
      </w:r>
      <w:r>
        <w:rPr>
          <w:spacing w:val="1"/>
        </w:rPr>
        <w:t> </w:t>
      </w:r>
      <w:r>
        <w:rPr/>
        <w:t>economy (used as proxy for market size) and the growth rate of that economy (purchasing</w:t>
      </w:r>
      <w:r>
        <w:rPr>
          <w:spacing w:val="-57"/>
        </w:rPr>
        <w:t> </w:t>
      </w:r>
      <w:r>
        <w:rPr/>
        <w:t>power and consumption of the nationals) also influence investments flows.</w:t>
      </w:r>
      <w:r>
        <w:rPr>
          <w:spacing w:val="1"/>
        </w:rPr>
        <w:t> </w:t>
      </w:r>
      <w:r>
        <w:rPr/>
        <w:t>Similarly, a</w:t>
      </w:r>
      <w:r>
        <w:rPr>
          <w:spacing w:val="1"/>
        </w:rPr>
        <w:t> </w:t>
      </w:r>
      <w:r>
        <w:rPr/>
        <w:t>stable and a predictable rate of inflation attract foreign investment flows as it strengthens</w:t>
      </w:r>
      <w:r>
        <w:rPr>
          <w:spacing w:val="1"/>
        </w:rPr>
        <w:t> </w:t>
      </w:r>
      <w:r>
        <w:rPr/>
        <w:t>foreign investors‘ confidence</w:t>
      </w:r>
      <w:r>
        <w:rPr>
          <w:spacing w:val="1"/>
        </w:rPr>
        <w:t> </w:t>
      </w:r>
      <w:r>
        <w:rPr/>
        <w:t>by creating certainty for profit expectations.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inflation rates are market signals for domestic currency devaluation in the future, which</w:t>
      </w:r>
      <w:r>
        <w:rPr>
          <w:spacing w:val="1"/>
        </w:rPr>
        <w:t> </w:t>
      </w:r>
      <w:r>
        <w:rPr/>
        <w:t>may cause</w:t>
      </w:r>
      <w:r>
        <w:rPr>
          <w:spacing w:val="1"/>
        </w:rPr>
        <w:t> </w:t>
      </w:r>
      <w:r>
        <w:rPr/>
        <w:t>foreign investors to suspend their investments as further devaluation will</w:t>
      </w:r>
      <w:r>
        <w:rPr>
          <w:spacing w:val="1"/>
        </w:rPr>
        <w:t> </w:t>
      </w:r>
      <w:r>
        <w:rPr/>
        <w:t>reduce the real value of earnings in local currency.   The degree of openness of a country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international investors</w:t>
      </w:r>
      <w:r>
        <w:rPr>
          <w:spacing w:val="-1"/>
        </w:rPr>
        <w:t> </w:t>
      </w:r>
      <w:r>
        <w:rPr/>
        <w:t>as well</w:t>
      </w:r>
      <w:r>
        <w:rPr>
          <w:spacing w:val="-1"/>
        </w:rPr>
        <w:t> </w:t>
      </w:r>
      <w:r>
        <w:rPr/>
        <w:t>plays</w:t>
      </w:r>
      <w:r>
        <w:rPr>
          <w:spacing w:val="-1"/>
        </w:rPr>
        <w:t> </w:t>
      </w:r>
      <w:r>
        <w:rPr/>
        <w:t>an important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determining</w:t>
      </w:r>
      <w:r>
        <w:rPr>
          <w:spacing w:val="-1"/>
        </w:rPr>
        <w:t> </w:t>
      </w:r>
      <w:r>
        <w:rPr/>
        <w:t>FDI</w:t>
      </w:r>
      <w:r>
        <w:rPr>
          <w:spacing w:val="-1"/>
        </w:rPr>
        <w:t> </w:t>
      </w:r>
      <w:r>
        <w:rPr/>
        <w:t>inflow.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811"/>
        <w:jc w:val="both"/>
      </w:pPr>
      <w:r>
        <w:rPr/>
        <w:t>The</w:t>
      </w:r>
      <w:r>
        <w:rPr>
          <w:spacing w:val="-3"/>
        </w:rPr>
        <w:t> </w:t>
      </w:r>
      <w:r>
        <w:rPr/>
        <w:t>FDI</w:t>
      </w:r>
      <w:r>
        <w:rPr>
          <w:spacing w:val="-4"/>
        </w:rPr>
        <w:t> </w:t>
      </w:r>
      <w:r>
        <w:rPr/>
        <w:t>flow equation is</w:t>
      </w:r>
      <w:r>
        <w:rPr>
          <w:spacing w:val="-1"/>
        </w:rPr>
        <w:t> </w:t>
      </w:r>
      <w:r>
        <w:rPr/>
        <w:t>specified in equation (4.25):</w:t>
      </w:r>
    </w:p>
    <w:p>
      <w:pPr>
        <w:spacing w:after="0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spacing w:before="96"/>
        <w:ind w:left="850" w:right="0" w:firstLine="0"/>
        <w:jc w:val="left"/>
        <w:rPr>
          <w:i/>
          <w:sz w:val="13"/>
        </w:rPr>
      </w:pPr>
      <w:r>
        <w:rPr/>
        <w:pict>
          <v:shape style="position:absolute;margin-left:390.587219pt;margin-top:17.297625pt;width:1.3pt;height:5.5pt;mso-position-horizontal-relative:page;mso-position-vertical-relative:paragraph;z-index:-25352192" type="#_x0000_t202" filled="false" stroked="false">
            <v:textbox inset="0,0,0,0">
              <w:txbxContent>
                <w:p>
                  <w:pPr>
                    <w:spacing w:line="109" w:lineRule="exact" w:before="0"/>
                    <w:ind w:left="0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i/>
                      <w:w w:val="92"/>
                      <w:sz w:val="1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i/>
          <w:spacing w:val="-5"/>
          <w:w w:val="95"/>
          <w:sz w:val="23"/>
        </w:rPr>
        <w:t>L</w:t>
      </w:r>
      <w:r>
        <w:rPr>
          <w:i/>
          <w:spacing w:val="-6"/>
          <w:w w:val="95"/>
          <w:sz w:val="23"/>
        </w:rPr>
        <w:t>n</w:t>
      </w:r>
      <w:r>
        <w:rPr>
          <w:i/>
          <w:spacing w:val="-8"/>
          <w:w w:val="95"/>
          <w:sz w:val="23"/>
        </w:rPr>
        <w:t>F</w:t>
      </w:r>
      <w:r>
        <w:rPr>
          <w:i/>
          <w:spacing w:val="-9"/>
          <w:w w:val="95"/>
          <w:sz w:val="23"/>
        </w:rPr>
        <w:t>D</w:t>
      </w:r>
      <w:r>
        <w:rPr>
          <w:i/>
          <w:spacing w:val="4"/>
          <w:w w:val="95"/>
          <w:sz w:val="23"/>
        </w:rPr>
        <w:t>I</w:t>
      </w:r>
      <w:r>
        <w:rPr>
          <w:i/>
          <w:w w:val="97"/>
          <w:position w:val="-5"/>
          <w:sz w:val="13"/>
        </w:rPr>
        <w:t>t</w:t>
      </w:r>
      <w:r>
        <w:rPr>
          <w:i/>
          <w:position w:val="-5"/>
          <w:sz w:val="13"/>
        </w:rPr>
        <w:t> </w:t>
      </w:r>
      <w:r>
        <w:rPr>
          <w:i/>
          <w:spacing w:val="10"/>
          <w:position w:val="-5"/>
          <w:sz w:val="13"/>
        </w:rPr>
        <w:t> </w:t>
      </w:r>
      <w:r>
        <w:rPr>
          <w:rFonts w:ascii="Symbol" w:hAnsi="Symbol"/>
          <w:w w:val="95"/>
          <w:sz w:val="23"/>
        </w:rPr>
        <w:t></w:t>
      </w:r>
      <w:r>
        <w:rPr>
          <w:spacing w:val="-32"/>
          <w:sz w:val="23"/>
        </w:rPr>
        <w:t> </w:t>
      </w:r>
      <w:r>
        <w:rPr>
          <w:rFonts w:ascii="Symbol" w:hAnsi="Symbol"/>
          <w:spacing w:val="-9"/>
          <w:w w:val="91"/>
          <w:sz w:val="24"/>
        </w:rPr>
        <w:t></w:t>
      </w:r>
      <w:r>
        <w:rPr>
          <w:w w:val="97"/>
          <w:position w:val="-5"/>
          <w:sz w:val="13"/>
        </w:rPr>
        <w:t>0</w:t>
      </w:r>
      <w:r>
        <w:rPr>
          <w:position w:val="-5"/>
          <w:sz w:val="13"/>
        </w:rPr>
        <w:t> </w:t>
      </w:r>
      <w:r>
        <w:rPr>
          <w:spacing w:val="-13"/>
          <w:position w:val="-5"/>
          <w:sz w:val="13"/>
        </w:rPr>
        <w:t> </w:t>
      </w:r>
      <w:r>
        <w:rPr>
          <w:rFonts w:ascii="Symbol" w:hAnsi="Symbol"/>
          <w:spacing w:val="16"/>
          <w:w w:val="95"/>
          <w:sz w:val="23"/>
        </w:rPr>
        <w:t></w:t>
      </w:r>
      <w:r>
        <w:rPr>
          <w:rFonts w:ascii="Symbol" w:hAnsi="Symbol"/>
          <w:spacing w:val="-20"/>
          <w:w w:val="91"/>
          <w:sz w:val="24"/>
        </w:rPr>
        <w:t></w:t>
      </w:r>
      <w:r>
        <w:rPr>
          <w:spacing w:val="4"/>
          <w:w w:val="97"/>
          <w:position w:val="-5"/>
          <w:sz w:val="13"/>
        </w:rPr>
        <w:t>1</w:t>
      </w:r>
      <w:r>
        <w:rPr>
          <w:i/>
          <w:spacing w:val="-5"/>
          <w:w w:val="95"/>
          <w:sz w:val="23"/>
        </w:rPr>
        <w:t>L</w:t>
      </w:r>
      <w:r>
        <w:rPr>
          <w:i/>
          <w:spacing w:val="-6"/>
          <w:w w:val="95"/>
          <w:sz w:val="23"/>
        </w:rPr>
        <w:t>n</w:t>
      </w:r>
      <w:r>
        <w:rPr>
          <w:i/>
          <w:spacing w:val="-7"/>
          <w:w w:val="95"/>
          <w:sz w:val="23"/>
        </w:rPr>
        <w:t>N</w:t>
      </w:r>
      <w:r>
        <w:rPr>
          <w:i/>
          <w:spacing w:val="-8"/>
          <w:w w:val="95"/>
          <w:sz w:val="23"/>
        </w:rPr>
        <w:t>E</w:t>
      </w:r>
      <w:r>
        <w:rPr>
          <w:i/>
          <w:spacing w:val="-18"/>
          <w:w w:val="95"/>
          <w:sz w:val="23"/>
        </w:rPr>
        <w:t>R</w:t>
      </w:r>
      <w:r>
        <w:rPr>
          <w:i/>
          <w:w w:val="97"/>
          <w:position w:val="-5"/>
          <w:sz w:val="13"/>
        </w:rPr>
        <w:t>t</w:t>
      </w:r>
      <w:r>
        <w:rPr>
          <w:i/>
          <w:position w:val="-5"/>
          <w:sz w:val="13"/>
        </w:rPr>
        <w:t> </w:t>
      </w:r>
      <w:r>
        <w:rPr>
          <w:i/>
          <w:spacing w:val="-4"/>
          <w:position w:val="-5"/>
          <w:sz w:val="13"/>
        </w:rPr>
        <w:t> </w:t>
      </w:r>
      <w:r>
        <w:rPr>
          <w:rFonts w:ascii="Symbol" w:hAnsi="Symbol"/>
          <w:spacing w:val="16"/>
          <w:w w:val="95"/>
          <w:sz w:val="23"/>
        </w:rPr>
        <w:t></w:t>
      </w:r>
      <w:r>
        <w:rPr>
          <w:rFonts w:ascii="Symbol" w:hAnsi="Symbol"/>
          <w:spacing w:val="-7"/>
          <w:w w:val="91"/>
          <w:sz w:val="24"/>
        </w:rPr>
        <w:t></w:t>
      </w:r>
      <w:r>
        <w:rPr>
          <w:w w:val="97"/>
          <w:position w:val="-5"/>
          <w:sz w:val="13"/>
        </w:rPr>
        <w:t>2</w:t>
      </w:r>
      <w:r>
        <w:rPr>
          <w:spacing w:val="-19"/>
          <w:position w:val="-5"/>
          <w:sz w:val="13"/>
        </w:rPr>
        <w:t> </w:t>
      </w:r>
      <w:r>
        <w:rPr>
          <w:i/>
          <w:spacing w:val="-5"/>
          <w:w w:val="95"/>
          <w:sz w:val="23"/>
        </w:rPr>
        <w:t>L</w:t>
      </w:r>
      <w:r>
        <w:rPr>
          <w:i/>
          <w:spacing w:val="-6"/>
          <w:w w:val="95"/>
          <w:sz w:val="23"/>
        </w:rPr>
        <w:t>n</w:t>
      </w:r>
      <w:r>
        <w:rPr>
          <w:i/>
          <w:spacing w:val="-8"/>
          <w:w w:val="95"/>
          <w:sz w:val="23"/>
        </w:rPr>
        <w:t>E</w:t>
      </w:r>
      <w:r>
        <w:rPr>
          <w:i/>
          <w:spacing w:val="12"/>
          <w:w w:val="95"/>
          <w:sz w:val="23"/>
        </w:rPr>
        <w:t>X</w:t>
      </w:r>
      <w:r>
        <w:rPr>
          <w:i/>
          <w:w w:val="97"/>
          <w:position w:val="-5"/>
          <w:sz w:val="13"/>
        </w:rPr>
        <w:t>t</w:t>
      </w:r>
      <w:r>
        <w:rPr>
          <w:i/>
          <w:position w:val="-5"/>
          <w:sz w:val="13"/>
        </w:rPr>
        <w:t> </w:t>
      </w:r>
      <w:r>
        <w:rPr>
          <w:i/>
          <w:spacing w:val="-4"/>
          <w:position w:val="-5"/>
          <w:sz w:val="13"/>
        </w:rPr>
        <w:t> </w:t>
      </w:r>
      <w:r>
        <w:rPr>
          <w:rFonts w:ascii="Symbol" w:hAnsi="Symbol"/>
          <w:spacing w:val="16"/>
          <w:w w:val="95"/>
          <w:sz w:val="23"/>
        </w:rPr>
        <w:t></w:t>
      </w:r>
      <w:r>
        <w:rPr>
          <w:rFonts w:ascii="Symbol" w:hAnsi="Symbol"/>
          <w:spacing w:val="-11"/>
          <w:w w:val="91"/>
          <w:sz w:val="24"/>
        </w:rPr>
        <w:t></w:t>
      </w:r>
      <w:r>
        <w:rPr>
          <w:spacing w:val="-4"/>
          <w:w w:val="97"/>
          <w:position w:val="-5"/>
          <w:sz w:val="13"/>
        </w:rPr>
        <w:t>3</w:t>
      </w:r>
      <w:r>
        <w:rPr>
          <w:i/>
          <w:spacing w:val="-9"/>
          <w:w w:val="95"/>
          <w:sz w:val="23"/>
        </w:rPr>
        <w:t>GGD</w:t>
      </w:r>
      <w:r>
        <w:rPr>
          <w:i/>
          <w:spacing w:val="-44"/>
          <w:w w:val="95"/>
          <w:sz w:val="23"/>
        </w:rPr>
        <w:t>P</w:t>
      </w:r>
      <w:r>
        <w:rPr>
          <w:i/>
          <w:w w:val="97"/>
          <w:position w:val="-5"/>
          <w:sz w:val="13"/>
        </w:rPr>
        <w:t>t</w:t>
      </w:r>
      <w:r>
        <w:rPr>
          <w:i/>
          <w:position w:val="-5"/>
          <w:sz w:val="13"/>
        </w:rPr>
        <w:t> </w:t>
      </w:r>
      <w:r>
        <w:rPr>
          <w:i/>
          <w:spacing w:val="-4"/>
          <w:position w:val="-5"/>
          <w:sz w:val="13"/>
        </w:rPr>
        <w:t> </w:t>
      </w:r>
      <w:r>
        <w:rPr>
          <w:rFonts w:ascii="Symbol" w:hAnsi="Symbol"/>
          <w:spacing w:val="16"/>
          <w:w w:val="95"/>
          <w:sz w:val="23"/>
        </w:rPr>
        <w:t></w:t>
      </w:r>
      <w:r>
        <w:rPr>
          <w:rFonts w:ascii="Symbol" w:hAnsi="Symbol"/>
          <w:spacing w:val="-7"/>
          <w:w w:val="91"/>
          <w:sz w:val="24"/>
        </w:rPr>
        <w:t></w:t>
      </w:r>
      <w:r>
        <w:rPr>
          <w:w w:val="97"/>
          <w:position w:val="-5"/>
          <w:sz w:val="13"/>
        </w:rPr>
        <w:t>4</w:t>
      </w:r>
      <w:r>
        <w:rPr>
          <w:spacing w:val="-18"/>
          <w:position w:val="-5"/>
          <w:sz w:val="13"/>
        </w:rPr>
        <w:t> </w:t>
      </w:r>
      <w:r>
        <w:rPr>
          <w:i/>
          <w:spacing w:val="-5"/>
          <w:w w:val="95"/>
          <w:sz w:val="23"/>
        </w:rPr>
        <w:t>L</w:t>
      </w:r>
      <w:r>
        <w:rPr>
          <w:i/>
          <w:spacing w:val="-6"/>
          <w:w w:val="95"/>
          <w:sz w:val="23"/>
        </w:rPr>
        <w:t>n</w:t>
      </w:r>
      <w:r>
        <w:rPr>
          <w:i/>
          <w:spacing w:val="-7"/>
          <w:w w:val="95"/>
          <w:sz w:val="23"/>
        </w:rPr>
        <w:t>C</w:t>
      </w:r>
      <w:r>
        <w:rPr>
          <w:i/>
          <w:spacing w:val="-8"/>
          <w:w w:val="95"/>
          <w:sz w:val="23"/>
        </w:rPr>
        <w:t>P</w:t>
      </w:r>
      <w:r>
        <w:rPr>
          <w:i/>
          <w:spacing w:val="4"/>
          <w:w w:val="95"/>
          <w:sz w:val="23"/>
        </w:rPr>
        <w:t>I</w:t>
      </w:r>
      <w:r>
        <w:rPr>
          <w:i/>
          <w:w w:val="97"/>
          <w:position w:val="-5"/>
          <w:sz w:val="13"/>
        </w:rPr>
        <w:t>t</w:t>
      </w:r>
      <w:r>
        <w:rPr>
          <w:i/>
          <w:position w:val="-5"/>
          <w:sz w:val="13"/>
        </w:rPr>
        <w:t> </w:t>
      </w:r>
      <w:r>
        <w:rPr>
          <w:i/>
          <w:spacing w:val="-4"/>
          <w:position w:val="-5"/>
          <w:sz w:val="13"/>
        </w:rPr>
        <w:t> </w:t>
      </w:r>
      <w:r>
        <w:rPr>
          <w:rFonts w:ascii="Symbol" w:hAnsi="Symbol"/>
          <w:spacing w:val="16"/>
          <w:w w:val="95"/>
          <w:sz w:val="23"/>
        </w:rPr>
        <w:t></w:t>
      </w:r>
      <w:r>
        <w:rPr>
          <w:rFonts w:ascii="Symbol" w:hAnsi="Symbol"/>
          <w:spacing w:val="-11"/>
          <w:w w:val="91"/>
          <w:sz w:val="24"/>
        </w:rPr>
        <w:t></w:t>
      </w:r>
      <w:r>
        <w:rPr>
          <w:w w:val="97"/>
          <w:position w:val="-5"/>
          <w:sz w:val="13"/>
        </w:rPr>
        <w:t>5</w:t>
      </w:r>
      <w:r>
        <w:rPr>
          <w:spacing w:val="-20"/>
          <w:position w:val="-5"/>
          <w:sz w:val="13"/>
        </w:rPr>
        <w:t> </w:t>
      </w:r>
      <w:r>
        <w:rPr>
          <w:i/>
          <w:spacing w:val="-5"/>
          <w:w w:val="95"/>
          <w:sz w:val="23"/>
        </w:rPr>
        <w:t>L</w:t>
      </w:r>
      <w:r>
        <w:rPr>
          <w:i/>
          <w:spacing w:val="-6"/>
          <w:w w:val="95"/>
          <w:sz w:val="23"/>
        </w:rPr>
        <w:t>n</w:t>
      </w:r>
      <w:r>
        <w:rPr>
          <w:i/>
          <w:spacing w:val="-5"/>
          <w:w w:val="95"/>
          <w:sz w:val="23"/>
        </w:rPr>
        <w:t>I</w:t>
      </w:r>
      <w:r>
        <w:rPr>
          <w:i/>
          <w:w w:val="95"/>
          <w:sz w:val="23"/>
        </w:rPr>
        <w:t>R</w:t>
      </w:r>
      <w:r>
        <w:rPr>
          <w:i/>
          <w:sz w:val="23"/>
        </w:rPr>
        <w:t> </w:t>
      </w:r>
      <w:r>
        <w:rPr>
          <w:i/>
          <w:spacing w:val="-22"/>
          <w:sz w:val="23"/>
        </w:rPr>
        <w:t> </w:t>
      </w:r>
      <w:r>
        <w:rPr>
          <w:rFonts w:ascii="Symbol" w:hAnsi="Symbol"/>
          <w:spacing w:val="16"/>
          <w:w w:val="95"/>
          <w:sz w:val="23"/>
        </w:rPr>
        <w:t></w:t>
      </w:r>
      <w:r>
        <w:rPr>
          <w:rFonts w:ascii="Symbol" w:hAnsi="Symbol"/>
          <w:spacing w:val="-9"/>
          <w:w w:val="91"/>
          <w:sz w:val="24"/>
        </w:rPr>
        <w:t></w:t>
      </w:r>
      <w:r>
        <w:rPr>
          <w:w w:val="97"/>
          <w:position w:val="-5"/>
          <w:sz w:val="13"/>
        </w:rPr>
        <w:t>6</w:t>
      </w:r>
      <w:r>
        <w:rPr>
          <w:i/>
          <w:spacing w:val="-9"/>
          <w:w w:val="95"/>
          <w:sz w:val="23"/>
        </w:rPr>
        <w:t>O</w:t>
      </w:r>
      <w:r>
        <w:rPr>
          <w:i/>
          <w:spacing w:val="-6"/>
          <w:w w:val="95"/>
          <w:sz w:val="23"/>
        </w:rPr>
        <w:t>p</w:t>
      </w:r>
      <w:r>
        <w:rPr>
          <w:i/>
          <w:spacing w:val="-7"/>
          <w:w w:val="95"/>
          <w:sz w:val="23"/>
        </w:rPr>
        <w:t>e</w:t>
      </w:r>
      <w:r>
        <w:rPr>
          <w:i/>
          <w:spacing w:val="-13"/>
          <w:w w:val="95"/>
          <w:sz w:val="23"/>
        </w:rPr>
        <w:t>n</w:t>
      </w:r>
      <w:r>
        <w:rPr>
          <w:i/>
          <w:w w:val="97"/>
          <w:position w:val="-5"/>
          <w:sz w:val="13"/>
        </w:rPr>
        <w:t>t</w:t>
      </w:r>
      <w:r>
        <w:rPr>
          <w:i/>
          <w:position w:val="-5"/>
          <w:sz w:val="13"/>
        </w:rPr>
        <w:t> </w:t>
      </w:r>
      <w:r>
        <w:rPr>
          <w:i/>
          <w:spacing w:val="-4"/>
          <w:position w:val="-5"/>
          <w:sz w:val="13"/>
        </w:rPr>
        <w:t> </w:t>
      </w:r>
      <w:r>
        <w:rPr>
          <w:rFonts w:ascii="Symbol" w:hAnsi="Symbol"/>
          <w:spacing w:val="16"/>
          <w:w w:val="95"/>
          <w:sz w:val="23"/>
        </w:rPr>
        <w:t></w:t>
      </w:r>
      <w:r>
        <w:rPr>
          <w:rFonts w:ascii="Symbol" w:hAnsi="Symbol"/>
          <w:spacing w:val="-9"/>
          <w:w w:val="91"/>
          <w:sz w:val="24"/>
        </w:rPr>
        <w:t></w:t>
      </w:r>
      <w:r>
        <w:rPr>
          <w:w w:val="97"/>
          <w:position w:val="-5"/>
          <w:sz w:val="13"/>
        </w:rPr>
        <w:t>7</w:t>
      </w:r>
      <w:r>
        <w:rPr>
          <w:spacing w:val="-17"/>
          <w:position w:val="-5"/>
          <w:sz w:val="13"/>
        </w:rPr>
        <w:t> </w:t>
      </w:r>
      <w:r>
        <w:rPr>
          <w:i/>
          <w:spacing w:val="-19"/>
          <w:w w:val="95"/>
          <w:sz w:val="23"/>
        </w:rPr>
        <w:t>D</w:t>
      </w:r>
      <w:r>
        <w:rPr>
          <w:i/>
          <w:w w:val="97"/>
          <w:position w:val="-5"/>
          <w:sz w:val="13"/>
        </w:rPr>
        <w:t>t</w:t>
      </w:r>
      <w:r>
        <w:rPr>
          <w:i/>
          <w:position w:val="-5"/>
          <w:sz w:val="13"/>
        </w:rPr>
        <w:t> </w:t>
      </w:r>
      <w:r>
        <w:rPr>
          <w:i/>
          <w:spacing w:val="-4"/>
          <w:position w:val="-5"/>
          <w:sz w:val="13"/>
        </w:rPr>
        <w:t> </w:t>
      </w:r>
      <w:r>
        <w:rPr>
          <w:rFonts w:ascii="Symbol" w:hAnsi="Symbol"/>
          <w:w w:val="95"/>
          <w:sz w:val="23"/>
        </w:rPr>
        <w:t></w:t>
      </w:r>
      <w:r>
        <w:rPr>
          <w:spacing w:val="-35"/>
          <w:sz w:val="23"/>
        </w:rPr>
        <w:t> </w:t>
      </w:r>
      <w:r>
        <w:rPr>
          <w:rFonts w:ascii="Symbol" w:hAnsi="Symbol"/>
          <w:spacing w:val="9"/>
          <w:w w:val="91"/>
          <w:sz w:val="24"/>
        </w:rPr>
        <w:t></w:t>
      </w:r>
      <w:r>
        <w:rPr>
          <w:i/>
          <w:w w:val="97"/>
          <w:position w:val="-5"/>
          <w:sz w:val="13"/>
        </w:rPr>
        <w:t>t</w:t>
      </w:r>
    </w:p>
    <w:p>
      <w:pPr>
        <w:pStyle w:val="BodyText"/>
        <w:spacing w:before="111"/>
        <w:ind w:left="375"/>
      </w:pPr>
      <w:r>
        <w:rPr/>
        <w:br w:type="column"/>
      </w:r>
      <w:r>
        <w:rPr/>
        <w:t>(4.25)</w:t>
      </w:r>
    </w:p>
    <w:p>
      <w:pPr>
        <w:spacing w:after="0"/>
        <w:sectPr>
          <w:pgSz w:w="12240" w:h="15840"/>
          <w:pgMar w:header="0" w:footer="1015" w:top="1340" w:bottom="1200" w:left="1320" w:right="440"/>
          <w:cols w:num="2" w:equalWidth="0">
            <w:col w:w="8284" w:space="40"/>
            <w:col w:w="2156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ind w:left="811"/>
      </w:pPr>
      <w:r>
        <w:rPr>
          <w:spacing w:val="-1"/>
        </w:rPr>
        <w:t>Where,</w:t>
      </w:r>
    </w:p>
    <w:p>
      <w:pPr>
        <w:spacing w:before="178"/>
        <w:ind w:left="360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12"/>
          <w:sz w:val="25"/>
        </w:rPr>
        <w:t></w:t>
      </w:r>
      <w:r>
        <w:rPr>
          <w:spacing w:val="-12"/>
          <w:sz w:val="25"/>
          <w:vertAlign w:val="subscript"/>
        </w:rPr>
        <w:t>1</w:t>
      </w:r>
      <w:r>
        <w:rPr>
          <w:spacing w:val="5"/>
          <w:sz w:val="25"/>
          <w:vertAlign w:val="baseline"/>
        </w:rPr>
        <w:t> </w:t>
      </w:r>
      <w:r>
        <w:rPr>
          <w:rFonts w:ascii="Symbol" w:hAnsi="Symbol"/>
          <w:spacing w:val="-11"/>
          <w:sz w:val="24"/>
          <w:vertAlign w:val="baseline"/>
        </w:rPr>
        <w:t></w:t>
      </w:r>
      <w:r>
        <w:rPr>
          <w:spacing w:val="-12"/>
          <w:sz w:val="24"/>
          <w:vertAlign w:val="baseline"/>
        </w:rPr>
        <w:t> </w:t>
      </w:r>
      <w:r>
        <w:rPr>
          <w:spacing w:val="-11"/>
          <w:sz w:val="24"/>
          <w:vertAlign w:val="baseline"/>
        </w:rPr>
        <w:t>0,</w:t>
      </w:r>
    </w:p>
    <w:p>
      <w:pPr>
        <w:spacing w:before="179"/>
        <w:ind w:left="78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1"/>
          <w:w w:val="95"/>
          <w:sz w:val="25"/>
        </w:rPr>
        <w:t></w:t>
      </w:r>
      <w:r>
        <w:rPr>
          <w:spacing w:val="-1"/>
          <w:w w:val="95"/>
          <w:sz w:val="25"/>
          <w:vertAlign w:val="subscript"/>
        </w:rPr>
        <w:t>2</w:t>
      </w:r>
      <w:r>
        <w:rPr>
          <w:spacing w:val="18"/>
          <w:w w:val="95"/>
          <w:sz w:val="25"/>
          <w:vertAlign w:val="baseline"/>
        </w:rPr>
        <w:t> </w:t>
      </w:r>
      <w:r>
        <w:rPr>
          <w:rFonts w:ascii="Symbol" w:hAnsi="Symbol"/>
          <w:spacing w:val="-1"/>
          <w:w w:val="95"/>
          <w:sz w:val="24"/>
          <w:vertAlign w:val="baseline"/>
        </w:rPr>
        <w:t></w:t>
      </w:r>
      <w:r>
        <w:rPr>
          <w:spacing w:val="-9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0,</w:t>
      </w:r>
      <w:r>
        <w:rPr>
          <w:spacing w:val="-12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</w:t>
      </w:r>
      <w:r>
        <w:rPr>
          <w:w w:val="95"/>
          <w:sz w:val="25"/>
          <w:vertAlign w:val="subscript"/>
        </w:rPr>
        <w:t>3</w:t>
      </w:r>
      <w:r>
        <w:rPr>
          <w:spacing w:val="13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</w:t>
      </w:r>
      <w:r>
        <w:rPr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0,</w:t>
      </w:r>
    </w:p>
    <w:p>
      <w:pPr>
        <w:spacing w:before="179"/>
        <w:ind w:left="81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9"/>
          <w:sz w:val="25"/>
        </w:rPr>
        <w:t></w:t>
      </w:r>
      <w:r>
        <w:rPr>
          <w:spacing w:val="-9"/>
          <w:sz w:val="25"/>
          <w:vertAlign w:val="subscript"/>
        </w:rPr>
        <w:t>4</w:t>
      </w:r>
      <w:r>
        <w:rPr>
          <w:spacing w:val="11"/>
          <w:sz w:val="25"/>
          <w:vertAlign w:val="baseline"/>
        </w:rPr>
        <w:t> </w:t>
      </w:r>
      <w:r>
        <w:rPr>
          <w:rFonts w:ascii="Symbol" w:hAnsi="Symbol"/>
          <w:spacing w:val="-8"/>
          <w:sz w:val="24"/>
          <w:vertAlign w:val="baseline"/>
        </w:rPr>
        <w:t></w:t>
      </w:r>
      <w:r>
        <w:rPr>
          <w:spacing w:val="-11"/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0,</w:t>
      </w:r>
    </w:p>
    <w:p>
      <w:pPr>
        <w:spacing w:before="179"/>
        <w:ind w:left="76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6"/>
          <w:sz w:val="25"/>
        </w:rPr>
        <w:t></w:t>
      </w:r>
      <w:r>
        <w:rPr>
          <w:spacing w:val="-6"/>
          <w:sz w:val="25"/>
          <w:vertAlign w:val="subscript"/>
        </w:rPr>
        <w:t>5</w:t>
      </w:r>
      <w:r>
        <w:rPr>
          <w:spacing w:val="9"/>
          <w:sz w:val="25"/>
          <w:vertAlign w:val="baseline"/>
        </w:rPr>
        <w:t> </w:t>
      </w:r>
      <w:r>
        <w:rPr>
          <w:rFonts w:ascii="Symbol" w:hAnsi="Symbol"/>
          <w:spacing w:val="-6"/>
          <w:sz w:val="24"/>
          <w:vertAlign w:val="baseline"/>
        </w:rPr>
        <w:t></w:t>
      </w:r>
      <w:r>
        <w:rPr>
          <w:spacing w:val="-12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0, </w:t>
      </w:r>
      <w:r>
        <w:rPr>
          <w:rFonts w:ascii="Symbol" w:hAnsi="Symbol"/>
          <w:spacing w:val="-5"/>
          <w:sz w:val="25"/>
          <w:vertAlign w:val="baseline"/>
        </w:rPr>
        <w:t></w:t>
      </w:r>
      <w:r>
        <w:rPr>
          <w:spacing w:val="-5"/>
          <w:sz w:val="25"/>
          <w:vertAlign w:val="subscript"/>
        </w:rPr>
        <w:t>6</w:t>
      </w:r>
      <w:r>
        <w:rPr>
          <w:spacing w:val="14"/>
          <w:sz w:val="25"/>
          <w:vertAlign w:val="baseline"/>
        </w:rPr>
        <w:t> </w:t>
      </w:r>
      <w:r>
        <w:rPr>
          <w:rFonts w:ascii="Symbol" w:hAnsi="Symbol"/>
          <w:spacing w:val="-5"/>
          <w:sz w:val="24"/>
          <w:vertAlign w:val="baseline"/>
        </w:rPr>
        <w:t></w:t>
      </w:r>
      <w:r>
        <w:rPr>
          <w:spacing w:val="-12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0</w:t>
      </w:r>
    </w:p>
    <w:p>
      <w:pPr>
        <w:spacing w:before="179"/>
        <w:ind w:left="64" w:right="0" w:firstLine="0"/>
        <w:jc w:val="left"/>
        <w:rPr>
          <w:sz w:val="24"/>
        </w:rPr>
      </w:pPr>
      <w:r>
        <w:rPr/>
        <w:br w:type="column"/>
      </w:r>
      <w:r>
        <w:rPr>
          <w:spacing w:val="-4"/>
          <w:sz w:val="24"/>
        </w:rPr>
        <w:t>and</w:t>
      </w:r>
      <w:r>
        <w:rPr>
          <w:spacing w:val="17"/>
          <w:sz w:val="24"/>
        </w:rPr>
        <w:t> </w:t>
      </w:r>
      <w:r>
        <w:rPr>
          <w:rFonts w:ascii="Symbol" w:hAnsi="Symbol"/>
          <w:spacing w:val="-3"/>
          <w:sz w:val="25"/>
        </w:rPr>
        <w:t></w:t>
      </w:r>
      <w:r>
        <w:rPr>
          <w:spacing w:val="-3"/>
          <w:sz w:val="25"/>
          <w:vertAlign w:val="subscript"/>
        </w:rPr>
        <w:t>7</w:t>
      </w:r>
      <w:r>
        <w:rPr>
          <w:spacing w:val="13"/>
          <w:sz w:val="25"/>
          <w:vertAlign w:val="baseline"/>
        </w:rPr>
        <w:t> </w:t>
      </w:r>
      <w:r>
        <w:rPr>
          <w:rFonts w:ascii="Symbol" w:hAnsi="Symbol"/>
          <w:spacing w:val="-3"/>
          <w:sz w:val="24"/>
          <w:vertAlign w:val="baseline"/>
        </w:rPr>
        <w:t></w:t>
      </w:r>
      <w:r>
        <w:rPr>
          <w:spacing w:val="-12"/>
          <w:sz w:val="24"/>
          <w:vertAlign w:val="baseline"/>
        </w:rPr>
        <w:t> </w:t>
      </w:r>
      <w:r>
        <w:rPr>
          <w:spacing w:val="-3"/>
          <w:sz w:val="24"/>
          <w:vertAlign w:val="baseline"/>
        </w:rPr>
        <w:t>0,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1200" w:left="1320" w:right="440"/>
          <w:cols w:num="6" w:equalWidth="0">
            <w:col w:w="1510" w:space="40"/>
            <w:col w:w="962" w:space="39"/>
            <w:col w:w="1377" w:space="40"/>
            <w:col w:w="704" w:space="39"/>
            <w:col w:w="1332" w:space="40"/>
            <w:col w:w="4397"/>
          </w:cols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7231"/>
      </w:tblGrid>
      <w:tr>
        <w:trPr>
          <w:trHeight w:val="412" w:hRule="atLeast"/>
        </w:trPr>
        <w:tc>
          <w:tcPr>
            <w:tcW w:w="1478" w:type="dxa"/>
          </w:tcPr>
          <w:p>
            <w:pPr>
              <w:pStyle w:val="TableParagraph"/>
              <w:spacing w:before="12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LnFDI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12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231" w:type="dxa"/>
          </w:tcPr>
          <w:p>
            <w:pPr>
              <w:pStyle w:val="TableParagraph"/>
              <w:spacing w:line="266" w:lineRule="exact"/>
              <w:ind w:left="225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 investment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country</w:t>
            </w:r>
          </w:p>
        </w:tc>
      </w:tr>
      <w:tr>
        <w:trPr>
          <w:trHeight w:val="497" w:hRule="atLeast"/>
        </w:trPr>
        <w:tc>
          <w:tcPr>
            <w:tcW w:w="1478" w:type="dxa"/>
          </w:tcPr>
          <w:p>
            <w:pPr>
              <w:pStyle w:val="TableParagraph"/>
              <w:spacing w:before="96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LnNER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7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231" w:type="dxa"/>
          </w:tcPr>
          <w:p>
            <w:pPr>
              <w:pStyle w:val="TableParagraph"/>
              <w:spacing w:before="73"/>
              <w:ind w:left="225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 against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dollar</w:t>
            </w:r>
          </w:p>
        </w:tc>
      </w:tr>
      <w:tr>
        <w:trPr>
          <w:trHeight w:val="498" w:hRule="atLeast"/>
        </w:trPr>
        <w:tc>
          <w:tcPr>
            <w:tcW w:w="1478" w:type="dxa"/>
          </w:tcPr>
          <w:p>
            <w:pPr>
              <w:pStyle w:val="TableParagraph"/>
              <w:spacing w:before="98"/>
              <w:ind w:left="320"/>
              <w:rPr>
                <w:sz w:val="24"/>
              </w:rPr>
            </w:pPr>
            <w:r>
              <w:rPr>
                <w:i/>
                <w:sz w:val="24"/>
              </w:rPr>
              <w:t>LnEX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14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231" w:type="dxa"/>
          </w:tcPr>
          <w:p>
            <w:pPr>
              <w:pStyle w:val="TableParagraph"/>
              <w:spacing w:before="75"/>
              <w:ind w:left="225"/>
              <w:rPr>
                <w:sz w:val="24"/>
              </w:rPr>
            </w:pPr>
            <w:r>
              <w:rPr>
                <w:sz w:val="24"/>
              </w:rPr>
              <w:t>Exports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countries</w:t>
            </w:r>
          </w:p>
        </w:tc>
      </w:tr>
      <w:tr>
        <w:trPr>
          <w:trHeight w:val="497" w:hRule="atLeast"/>
        </w:trPr>
        <w:tc>
          <w:tcPr>
            <w:tcW w:w="1478" w:type="dxa"/>
          </w:tcPr>
          <w:p>
            <w:pPr>
              <w:pStyle w:val="TableParagraph"/>
              <w:spacing w:before="95"/>
              <w:ind w:left="245"/>
              <w:rPr>
                <w:sz w:val="24"/>
              </w:rPr>
            </w:pPr>
            <w:r>
              <w:rPr>
                <w:i/>
                <w:sz w:val="24"/>
              </w:rPr>
              <w:t>GGDP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13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231" w:type="dxa"/>
          </w:tcPr>
          <w:p>
            <w:pPr>
              <w:pStyle w:val="TableParagraph"/>
              <w:spacing w:before="73"/>
              <w:ind w:left="225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</w:p>
        </w:tc>
      </w:tr>
      <w:tr>
        <w:trPr>
          <w:trHeight w:val="498" w:hRule="atLeast"/>
        </w:trPr>
        <w:tc>
          <w:tcPr>
            <w:tcW w:w="1478" w:type="dxa"/>
          </w:tcPr>
          <w:p>
            <w:pPr>
              <w:pStyle w:val="TableParagraph"/>
              <w:spacing w:before="99"/>
              <w:ind w:left="260"/>
              <w:rPr>
                <w:sz w:val="24"/>
              </w:rPr>
            </w:pPr>
            <w:r>
              <w:rPr>
                <w:i/>
                <w:sz w:val="24"/>
              </w:rPr>
              <w:t>LnCPI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5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231" w:type="dxa"/>
          </w:tcPr>
          <w:p>
            <w:pPr>
              <w:pStyle w:val="TableParagraph"/>
              <w:spacing w:before="75"/>
              <w:ind w:left="225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inflation</w:t>
            </w:r>
          </w:p>
        </w:tc>
      </w:tr>
      <w:tr>
        <w:trPr>
          <w:trHeight w:val="838" w:hRule="atLeast"/>
        </w:trPr>
        <w:tc>
          <w:tcPr>
            <w:tcW w:w="1478" w:type="dxa"/>
          </w:tcPr>
          <w:p>
            <w:pPr>
              <w:pStyle w:val="TableParagraph"/>
              <w:tabs>
                <w:tab w:pos="1055" w:val="left" w:leader="none"/>
              </w:tabs>
              <w:spacing w:before="95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LnIR</w:t>
            </w:r>
            <w:r>
              <w:rPr>
                <w:i/>
                <w:position w:val="-5"/>
                <w:sz w:val="14"/>
              </w:rPr>
              <w:t>t</w:t>
              <w:tab/>
            </w:r>
            <w:r>
              <w:rPr>
                <w:sz w:val="24"/>
              </w:rPr>
              <w:t>=</w:t>
            </w:r>
          </w:p>
        </w:tc>
        <w:tc>
          <w:tcPr>
            <w:tcW w:w="7231" w:type="dxa"/>
          </w:tcPr>
          <w:p>
            <w:pPr>
              <w:pStyle w:val="TableParagraph"/>
              <w:spacing w:before="74"/>
              <w:ind w:left="225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(Treasury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bill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proxy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domestic</w:t>
            </w:r>
          </w:p>
          <w:p>
            <w:pPr>
              <w:pStyle w:val="TableParagraph"/>
              <w:spacing w:before="139"/>
              <w:ind w:left="225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rate)</w:t>
            </w:r>
          </w:p>
        </w:tc>
      </w:tr>
      <w:tr>
        <w:trPr>
          <w:trHeight w:val="487" w:hRule="atLeast"/>
        </w:trPr>
        <w:tc>
          <w:tcPr>
            <w:tcW w:w="1478" w:type="dxa"/>
          </w:tcPr>
          <w:p>
            <w:pPr>
              <w:pStyle w:val="TableParagraph"/>
              <w:spacing w:before="85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LnOpen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35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231" w:type="dxa"/>
          </w:tcPr>
          <w:p>
            <w:pPr>
              <w:pStyle w:val="TableParagraph"/>
              <w:spacing w:before="63"/>
              <w:ind w:left="225"/>
              <w:rPr>
                <w:sz w:val="24"/>
              </w:rPr>
            </w:pPr>
            <w:r>
              <w:rPr>
                <w:sz w:val="24"/>
              </w:rPr>
              <w:t>the ratio FDI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inflow to Domestic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GDP.</w:t>
            </w:r>
          </w:p>
        </w:tc>
      </w:tr>
      <w:tr>
        <w:trPr>
          <w:trHeight w:val="1179" w:hRule="atLeast"/>
        </w:trPr>
        <w:tc>
          <w:tcPr>
            <w:tcW w:w="1478" w:type="dxa"/>
          </w:tcPr>
          <w:p>
            <w:pPr>
              <w:pStyle w:val="TableParagraph"/>
              <w:spacing w:before="97"/>
              <w:ind w:left="740"/>
              <w:rPr>
                <w:sz w:val="24"/>
              </w:rPr>
            </w:pPr>
            <w:r>
              <w:rPr>
                <w:i/>
                <w:spacing w:val="-2"/>
                <w:w w:val="95"/>
                <w:sz w:val="24"/>
              </w:rPr>
              <w:t>D</w:t>
            </w:r>
            <w:r>
              <w:rPr>
                <w:i/>
                <w:spacing w:val="-2"/>
                <w:w w:val="95"/>
                <w:position w:val="-5"/>
                <w:sz w:val="14"/>
              </w:rPr>
              <w:t>t</w:t>
            </w:r>
            <w:r>
              <w:rPr>
                <w:i/>
                <w:spacing w:val="53"/>
                <w:position w:val="-5"/>
                <w:sz w:val="14"/>
              </w:rPr>
              <w:t> </w:t>
            </w:r>
            <w:r>
              <w:rPr>
                <w:i/>
                <w:spacing w:val="53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7231" w:type="dxa"/>
          </w:tcPr>
          <w:p>
            <w:pPr>
              <w:pStyle w:val="TableParagraph"/>
              <w:spacing w:line="360" w:lineRule="auto" w:before="75"/>
              <w:ind w:left="225" w:right="193"/>
              <w:rPr>
                <w:sz w:val="24"/>
              </w:rPr>
            </w:pPr>
            <w:r>
              <w:rPr>
                <w:sz w:val="24"/>
              </w:rPr>
              <w:t>Dummy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capture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strife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period.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(1)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allocated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period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war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zero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(0)</w:t>
            </w:r>
          </w:p>
          <w:p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elsewhere.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3"/>
          <w:numId w:val="15"/>
        </w:numPr>
        <w:tabs>
          <w:tab w:pos="2251" w:val="left" w:leader="none"/>
          <w:tab w:pos="2252" w:val="left" w:leader="none"/>
        </w:tabs>
        <w:spacing w:line="240" w:lineRule="auto" w:before="90" w:after="0"/>
        <w:ind w:left="2251" w:right="0" w:hanging="1441"/>
        <w:jc w:val="left"/>
      </w:pPr>
      <w:r>
        <w:rPr/>
        <w:drawing>
          <wp:anchor distT="0" distB="0" distL="0" distR="0" allowOverlap="1" layoutInCell="1" locked="0" behindDoc="1" simplePos="0" relativeHeight="477963776">
            <wp:simplePos x="0" y="0"/>
            <wp:positionH relativeFrom="page">
              <wp:posOffset>1485138</wp:posOffset>
            </wp:positionH>
            <wp:positionV relativeFrom="paragraph">
              <wp:posOffset>-2731095</wp:posOffset>
            </wp:positionV>
            <wp:extent cx="5102225" cy="5044439"/>
            <wp:effectExtent l="0" t="0" r="0" b="0"/>
            <wp:wrapNone/>
            <wp:docPr id="17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9" w:id="45"/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Pass-Through</w:t>
      </w:r>
      <w:r>
        <w:rPr>
          <w:spacing w:val="-1"/>
        </w:rPr>
        <w:t> </w:t>
      </w:r>
      <w:bookmarkEnd w:id="45"/>
      <w:r>
        <w:rPr/>
        <w:t>Equation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From the conceptual framework presented (Figure 4.1), the response of trade to exchange</w:t>
      </w:r>
      <w:r>
        <w:rPr>
          <w:spacing w:val="1"/>
        </w:rPr>
        <w:t> </w:t>
      </w:r>
      <w:r>
        <w:rPr/>
        <w:t>rate behaviour could be channeled indirectly through the domestic prices.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literature, ERPT to domestic prices may be either complete or incomplete.</w:t>
      </w:r>
      <w:r>
        <w:rPr>
          <w:spacing w:val="1"/>
        </w:rPr>
        <w:t> </w:t>
      </w:r>
      <w:r>
        <w:rPr/>
        <w:t>A 1.0%</w:t>
      </w:r>
      <w:r>
        <w:rPr>
          <w:spacing w:val="1"/>
        </w:rPr>
        <w:t> </w:t>
      </w:r>
      <w:r>
        <w:rPr/>
        <w:t>depreciation of the exchange rate is expected to increase the domestic price by the same</w:t>
      </w:r>
      <w:r>
        <w:rPr>
          <w:spacing w:val="1"/>
        </w:rPr>
        <w:t> </w:t>
      </w:r>
      <w:r>
        <w:rPr/>
        <w:t>1.0% magnitude can be considered to be complete, while an incomplete pass-through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1.0%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1.0%</w:t>
      </w:r>
      <w:r>
        <w:rPr>
          <w:spacing w:val="1"/>
        </w:rPr>
        <w:t> </w:t>
      </w:r>
      <w:r>
        <w:rPr/>
        <w:t>depreciation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-57"/>
        </w:rPr>
        <w:t> </w:t>
      </w:r>
      <w:r>
        <w:rPr/>
        <w:t>currency.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811" w:right="996"/>
        <w:jc w:val="both"/>
      </w:pP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testing</w:t>
      </w:r>
      <w:r>
        <w:rPr>
          <w:spacing w:val="-57"/>
        </w:rPr>
        <w:t> </w:t>
      </w:r>
      <w:r>
        <w:rPr/>
        <w:t>Exchange Rate Pass-through (ERPT) may be derived from the Purchasing Power Parity</w:t>
      </w:r>
      <w:r>
        <w:rPr>
          <w:spacing w:val="1"/>
        </w:rPr>
        <w:t> </w:t>
      </w:r>
      <w:r>
        <w:rPr/>
        <w:t>(PPP)</w:t>
      </w:r>
      <w:r>
        <w:rPr>
          <w:spacing w:val="-1"/>
        </w:rPr>
        <w:t> </w:t>
      </w:r>
      <w:r>
        <w:rPr/>
        <w:t>as shown in equation (4.26).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22"/>
        <w:ind w:left="856" w:right="0" w:firstLine="0"/>
        <w:jc w:val="left"/>
        <w:rPr>
          <w:sz w:val="24"/>
        </w:rPr>
      </w:pPr>
      <w:r>
        <w:rPr>
          <w:i/>
          <w:spacing w:val="-1"/>
          <w:sz w:val="24"/>
        </w:rPr>
        <w:t>P</w:t>
      </w:r>
      <w:r>
        <w:rPr>
          <w:i/>
          <w:spacing w:val="-8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> </w:t>
      </w:r>
      <w:r>
        <w:rPr>
          <w:i/>
          <w:sz w:val="24"/>
        </w:rPr>
        <w:t>e</w:t>
      </w:r>
      <w:r>
        <w:rPr>
          <w:sz w:val="24"/>
        </w:rPr>
        <w:t>.</w:t>
      </w:r>
      <w:r>
        <w:rPr>
          <w:i/>
          <w:sz w:val="24"/>
        </w:rPr>
        <w:t>P</w:t>
      </w:r>
      <w:r>
        <w:rPr>
          <w:sz w:val="24"/>
          <w:vertAlign w:val="superscript"/>
        </w:rPr>
        <w:t>*</w:t>
      </w:r>
    </w:p>
    <w:p>
      <w:pPr>
        <w:pStyle w:val="BodyText"/>
        <w:spacing w:before="39"/>
        <w:ind w:left="856"/>
      </w:pPr>
      <w:r>
        <w:rPr/>
        <w:br w:type="column"/>
      </w:r>
      <w:r>
        <w:rPr/>
        <w:t>(4.26)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1667" w:space="6090"/>
            <w:col w:w="2723"/>
          </w:cols>
        </w:sectPr>
      </w:pPr>
    </w:p>
    <w:p>
      <w:pPr>
        <w:pStyle w:val="BodyText"/>
        <w:spacing w:line="360" w:lineRule="auto" w:before="74"/>
        <w:ind w:left="811" w:right="996"/>
      </w:pPr>
      <w:r>
        <w:rPr/>
        <w:t>This relationship can be</w:t>
      </w:r>
      <w:r>
        <w:rPr>
          <w:spacing w:val="-1"/>
        </w:rPr>
        <w:t> </w:t>
      </w:r>
      <w:r>
        <w:rPr/>
        <w:t>transformed into a</w:t>
      </w:r>
      <w:r>
        <w:rPr>
          <w:spacing w:val="-1"/>
        </w:rPr>
        <w:t> </w:t>
      </w:r>
      <w:r>
        <w:rPr/>
        <w:t>natural</w:t>
      </w:r>
      <w:r>
        <w:rPr>
          <w:spacing w:val="2"/>
        </w:rPr>
        <w:t> </w:t>
      </w:r>
      <w:r>
        <w:rPr/>
        <w:t>logarithmic form and</w:t>
      </w:r>
      <w:r>
        <w:rPr>
          <w:spacing w:val="5"/>
        </w:rPr>
        <w:t> </w:t>
      </w:r>
      <w:r>
        <w:rPr/>
        <w:t>incorporating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variables such</w:t>
      </w:r>
      <w:r>
        <w:rPr>
          <w:spacing w:val="2"/>
        </w:rPr>
        <w:t> </w:t>
      </w:r>
      <w:r>
        <w:rPr/>
        <w:t>as money</w:t>
      </w:r>
      <w:r>
        <w:rPr>
          <w:spacing w:val="-5"/>
        </w:rPr>
        <w:t> </w:t>
      </w:r>
      <w:r>
        <w:rPr/>
        <w:t>supply</w:t>
      </w:r>
      <w:r>
        <w:rPr>
          <w:spacing w:val="-3"/>
        </w:rPr>
        <w:t> </w:t>
      </w:r>
      <w:r>
        <w:rPr/>
        <w:t>and domestic</w:t>
      </w:r>
      <w:r>
        <w:rPr>
          <w:spacing w:val="-1"/>
        </w:rPr>
        <w:t> </w:t>
      </w:r>
      <w:r>
        <w:rPr/>
        <w:t>credit.</w:t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line="190" w:lineRule="exact" w:before="104"/>
        <w:ind w:left="856" w:right="0" w:firstLine="0"/>
        <w:jc w:val="left"/>
        <w:rPr>
          <w:rFonts w:ascii="Symbol" w:hAnsi="Symbol"/>
          <w:sz w:val="25"/>
        </w:rPr>
      </w:pPr>
      <w:r>
        <w:rPr>
          <w:i/>
          <w:spacing w:val="-1"/>
          <w:sz w:val="24"/>
        </w:rPr>
        <w:t>LnCPI</w:t>
      </w:r>
      <w:r>
        <w:rPr>
          <w:i/>
          <w:spacing w:val="73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18"/>
          <w:sz w:val="24"/>
        </w:rPr>
        <w:t> </w:t>
      </w:r>
      <w:r>
        <w:rPr>
          <w:rFonts w:ascii="Symbol" w:hAnsi="Symbol"/>
          <w:sz w:val="25"/>
        </w:rPr>
        <w:t></w:t>
      </w:r>
      <w:r>
        <w:rPr>
          <w:spacing w:val="97"/>
          <w:sz w:val="25"/>
        </w:rPr>
        <w:t> </w:t>
      </w:r>
      <w:r>
        <w:rPr>
          <w:rFonts w:ascii="Symbol" w:hAnsi="Symbol"/>
          <w:sz w:val="24"/>
        </w:rPr>
        <w:t></w:t>
      </w:r>
      <w:r>
        <w:rPr>
          <w:spacing w:val="-30"/>
          <w:sz w:val="24"/>
        </w:rPr>
        <w:t> </w:t>
      </w:r>
      <w:r>
        <w:rPr>
          <w:rFonts w:ascii="Symbol" w:hAnsi="Symbol"/>
          <w:sz w:val="25"/>
        </w:rPr>
        <w:t></w:t>
      </w:r>
      <w:r>
        <w:rPr>
          <w:spacing w:val="29"/>
          <w:sz w:val="25"/>
        </w:rPr>
        <w:t> </w:t>
      </w:r>
      <w:r>
        <w:rPr>
          <w:i/>
          <w:sz w:val="24"/>
        </w:rPr>
        <w:t>LnNER</w:t>
      </w:r>
      <w:r>
        <w:rPr>
          <w:i/>
          <w:spacing w:val="34"/>
          <w:sz w:val="24"/>
        </w:rPr>
        <w:t> </w:t>
      </w:r>
      <w:r>
        <w:rPr>
          <w:rFonts w:ascii="Symbol" w:hAnsi="Symbol"/>
          <w:sz w:val="24"/>
        </w:rPr>
        <w:t></w:t>
      </w:r>
      <w:r>
        <w:rPr>
          <w:spacing w:val="-29"/>
          <w:sz w:val="24"/>
        </w:rPr>
        <w:t> </w:t>
      </w:r>
      <w:r>
        <w:rPr>
          <w:rFonts w:ascii="Symbol" w:hAnsi="Symbol"/>
          <w:sz w:val="25"/>
        </w:rPr>
        <w:t></w:t>
      </w:r>
    </w:p>
    <w:p>
      <w:pPr>
        <w:spacing w:line="190" w:lineRule="exact" w:before="104"/>
        <w:ind w:left="7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LnGDP</w:t>
      </w:r>
      <w:r>
        <w:rPr>
          <w:i/>
          <w:sz w:val="24"/>
          <w:vertAlign w:val="superscript"/>
        </w:rPr>
        <w:t>d</w:t>
      </w:r>
      <w:r>
        <w:rPr>
          <w:i/>
          <w:spacing w:val="21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</w:t>
      </w:r>
      <w:r>
        <w:rPr>
          <w:spacing w:val="-27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</w:t>
      </w:r>
      <w:r>
        <w:rPr>
          <w:spacing w:val="54"/>
          <w:sz w:val="25"/>
          <w:vertAlign w:val="baseline"/>
        </w:rPr>
        <w:t> </w:t>
      </w:r>
      <w:r>
        <w:rPr>
          <w:i/>
          <w:sz w:val="24"/>
          <w:vertAlign w:val="baseline"/>
        </w:rPr>
        <w:t>LnGDP</w:t>
      </w:r>
      <w:r>
        <w:rPr>
          <w:i/>
          <w:sz w:val="24"/>
          <w:vertAlign w:val="superscript"/>
        </w:rPr>
        <w:t>f</w:t>
      </w:r>
      <w:r>
        <w:rPr>
          <w:i/>
          <w:spacing w:val="42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</w:t>
      </w:r>
      <w:r>
        <w:rPr>
          <w:spacing w:val="-28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</w:t>
      </w:r>
      <w:r>
        <w:rPr>
          <w:spacing w:val="64"/>
          <w:sz w:val="25"/>
          <w:vertAlign w:val="baseline"/>
        </w:rPr>
        <w:t> </w:t>
      </w:r>
      <w:r>
        <w:rPr>
          <w:i/>
          <w:sz w:val="24"/>
          <w:vertAlign w:val="baseline"/>
        </w:rPr>
        <w:t>LnWPI</w:t>
      </w:r>
    </w:p>
    <w:p>
      <w:pPr>
        <w:spacing w:after="0" w:line="190" w:lineRule="exact"/>
        <w:jc w:val="left"/>
        <w:rPr>
          <w:sz w:val="24"/>
        </w:rPr>
        <w:sectPr>
          <w:type w:val="continuous"/>
          <w:pgSz w:w="12240" w:h="15840"/>
          <w:pgMar w:top="1500" w:bottom="1200" w:left="1320" w:right="440"/>
          <w:cols w:num="2" w:equalWidth="0">
            <w:col w:w="3503" w:space="40"/>
            <w:col w:w="6937"/>
          </w:cols>
        </w:sectPr>
      </w:pPr>
    </w:p>
    <w:p>
      <w:pPr>
        <w:tabs>
          <w:tab w:pos="1937" w:val="left" w:leader="none"/>
          <w:tab w:pos="2349" w:val="left" w:leader="none"/>
          <w:tab w:pos="3124" w:val="left" w:leader="none"/>
          <w:tab w:pos="3601" w:val="right" w:leader="none"/>
        </w:tabs>
        <w:spacing w:line="155" w:lineRule="exact" w:before="0"/>
        <w:ind w:left="1507" w:right="0" w:firstLine="0"/>
        <w:jc w:val="left"/>
        <w:rPr>
          <w:sz w:val="14"/>
        </w:rPr>
      </w:pPr>
      <w:r>
        <w:rPr>
          <w:i/>
          <w:sz w:val="14"/>
        </w:rPr>
        <w:t>t</w:t>
        <w:tab/>
      </w:r>
      <w:r>
        <w:rPr>
          <w:sz w:val="14"/>
        </w:rPr>
        <w:t>0</w:t>
        <w:tab/>
        <w:t>1</w:t>
        <w:tab/>
      </w:r>
      <w:r>
        <w:rPr>
          <w:i/>
          <w:sz w:val="14"/>
        </w:rPr>
        <w:t>t</w:t>
        <w:tab/>
      </w:r>
      <w:r>
        <w:rPr>
          <w:sz w:val="14"/>
        </w:rPr>
        <w:t>2</w:t>
      </w:r>
    </w:p>
    <w:p>
      <w:pPr>
        <w:tabs>
          <w:tab w:pos="1174" w:val="left" w:leader="none"/>
          <w:tab w:pos="1963" w:val="left" w:leader="none"/>
          <w:tab w:pos="2473" w:val="left" w:leader="none"/>
          <w:tab w:pos="3251" w:val="left" w:leader="none"/>
        </w:tabs>
        <w:spacing w:line="155" w:lineRule="exact" w:before="0"/>
        <w:ind w:left="682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t</w:t>
        <w:tab/>
      </w:r>
      <w:r>
        <w:rPr>
          <w:sz w:val="14"/>
        </w:rPr>
        <w:t>3</w:t>
        <w:tab/>
      </w:r>
      <w:r>
        <w:rPr>
          <w:i/>
          <w:sz w:val="14"/>
        </w:rPr>
        <w:t>t</w:t>
        <w:tab/>
      </w:r>
      <w:r>
        <w:rPr>
          <w:sz w:val="14"/>
        </w:rPr>
        <w:t>4</w:t>
        <w:tab/>
      </w:r>
      <w:r>
        <w:rPr>
          <w:i/>
          <w:sz w:val="14"/>
        </w:rPr>
        <w:t>t</w:t>
      </w:r>
    </w:p>
    <w:p>
      <w:pPr>
        <w:pStyle w:val="BodyText"/>
        <w:spacing w:line="169" w:lineRule="exact" w:before="6"/>
        <w:ind w:left="1486" w:right="1267"/>
        <w:jc w:val="center"/>
      </w:pPr>
      <w:r>
        <w:rPr/>
        <w:br w:type="column"/>
      </w:r>
      <w:r>
        <w:rPr/>
        <w:t>(4.27)</w:t>
      </w:r>
    </w:p>
    <w:p>
      <w:pPr>
        <w:spacing w:after="0" w:line="169" w:lineRule="exact"/>
        <w:jc w:val="center"/>
        <w:sectPr>
          <w:type w:val="continuous"/>
          <w:pgSz w:w="12240" w:h="15840"/>
          <w:pgMar w:top="1500" w:bottom="1200" w:left="1320" w:right="440"/>
          <w:cols w:num="3" w:equalWidth="0">
            <w:col w:w="3602" w:space="40"/>
            <w:col w:w="3332" w:space="132"/>
            <w:col w:w="3374"/>
          </w:cols>
        </w:sectPr>
      </w:pPr>
    </w:p>
    <w:p>
      <w:pPr>
        <w:spacing w:before="4"/>
        <w:ind w:left="1028" w:right="0" w:firstLine="0"/>
        <w:jc w:val="left"/>
        <w:rPr>
          <w:i/>
          <w:sz w:val="25"/>
        </w:rPr>
      </w:pPr>
      <w:r>
        <w:rPr>
          <w:rFonts w:ascii="Symbol" w:hAnsi="Symbol"/>
          <w:sz w:val="24"/>
        </w:rPr>
        <w:t></w:t>
      </w:r>
      <w:r>
        <w:rPr>
          <w:spacing w:val="-30"/>
          <w:sz w:val="24"/>
        </w:rPr>
        <w:t> </w:t>
      </w:r>
      <w:r>
        <w:rPr>
          <w:rFonts w:ascii="Symbol" w:hAnsi="Symbol"/>
          <w:sz w:val="25"/>
        </w:rPr>
        <w:t></w:t>
      </w:r>
      <w:r>
        <w:rPr>
          <w:spacing w:val="-38"/>
          <w:sz w:val="25"/>
        </w:rPr>
        <w:t> </w:t>
      </w:r>
      <w:r>
        <w:rPr>
          <w:sz w:val="25"/>
          <w:vertAlign w:val="subscript"/>
        </w:rPr>
        <w:t>5</w:t>
      </w:r>
      <w:r>
        <w:rPr>
          <w:i/>
          <w:sz w:val="24"/>
          <w:vertAlign w:val="baseline"/>
        </w:rPr>
        <w:t>LnMS</w:t>
      </w:r>
      <w:r>
        <w:rPr>
          <w:i/>
          <w:position w:val="-5"/>
          <w:sz w:val="14"/>
          <w:vertAlign w:val="baseline"/>
        </w:rPr>
        <w:t>t</w:t>
      </w:r>
      <w:r>
        <w:rPr>
          <w:i/>
          <w:spacing w:val="6"/>
          <w:position w:val="-5"/>
          <w:sz w:val="1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</w:t>
      </w:r>
      <w:r>
        <w:rPr>
          <w:spacing w:val="-30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</w:t>
      </w:r>
      <w:r>
        <w:rPr>
          <w:spacing w:val="-35"/>
          <w:sz w:val="25"/>
          <w:vertAlign w:val="baseline"/>
        </w:rPr>
        <w:t> </w:t>
      </w:r>
      <w:r>
        <w:rPr>
          <w:sz w:val="25"/>
          <w:vertAlign w:val="subscript"/>
        </w:rPr>
        <w:t>6</w:t>
      </w:r>
      <w:r>
        <w:rPr>
          <w:i/>
          <w:sz w:val="24"/>
          <w:vertAlign w:val="baseline"/>
        </w:rPr>
        <w:t>D</w:t>
      </w:r>
      <w:r>
        <w:rPr>
          <w:i/>
          <w:position w:val="-5"/>
          <w:sz w:val="14"/>
          <w:vertAlign w:val="baseline"/>
        </w:rPr>
        <w:t>t</w:t>
      </w:r>
      <w:r>
        <w:rPr>
          <w:i/>
          <w:spacing w:val="5"/>
          <w:position w:val="-5"/>
          <w:sz w:val="1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</w:t>
      </w:r>
      <w:r>
        <w:rPr>
          <w:spacing w:val="-29"/>
          <w:sz w:val="2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</w:t>
      </w:r>
      <w:r>
        <w:rPr>
          <w:i/>
          <w:sz w:val="25"/>
          <w:vertAlign w:val="subscript"/>
        </w:rPr>
        <w:t>t</w:t>
      </w:r>
    </w:p>
    <w:p>
      <w:pPr>
        <w:spacing w:after="0"/>
        <w:jc w:val="left"/>
        <w:rPr>
          <w:sz w:val="25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158"/>
        <w:ind w:left="0" w:right="0" w:firstLine="0"/>
        <w:jc w:val="right"/>
        <w:rPr>
          <w:sz w:val="24"/>
        </w:rPr>
      </w:pPr>
      <w:r>
        <w:rPr>
          <w:rFonts w:ascii="Symbol" w:hAnsi="Symbol"/>
          <w:sz w:val="25"/>
        </w:rPr>
        <w:t></w:t>
      </w:r>
      <w:r>
        <w:rPr>
          <w:sz w:val="25"/>
          <w:vertAlign w:val="subscript"/>
        </w:rPr>
        <w:t>1</w:t>
      </w:r>
      <w:r>
        <w:rPr>
          <w:spacing w:val="2"/>
          <w:sz w:val="25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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0,</w:t>
      </w:r>
    </w:p>
    <w:p>
      <w:pPr>
        <w:spacing w:before="158"/>
        <w:ind w:left="92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7"/>
          <w:sz w:val="25"/>
        </w:rPr>
        <w:t></w:t>
      </w:r>
      <w:r>
        <w:rPr>
          <w:spacing w:val="-35"/>
          <w:sz w:val="25"/>
        </w:rPr>
        <w:t> </w:t>
      </w:r>
      <w:r>
        <w:rPr>
          <w:spacing w:val="-7"/>
          <w:sz w:val="25"/>
          <w:vertAlign w:val="subscript"/>
        </w:rPr>
        <w:t>2</w:t>
      </w:r>
      <w:r>
        <w:rPr>
          <w:spacing w:val="11"/>
          <w:sz w:val="25"/>
          <w:vertAlign w:val="baseline"/>
        </w:rPr>
        <w:t> </w:t>
      </w:r>
      <w:r>
        <w:rPr>
          <w:rFonts w:ascii="Symbol" w:hAnsi="Symbol"/>
          <w:spacing w:val="-7"/>
          <w:sz w:val="24"/>
          <w:vertAlign w:val="baseline"/>
        </w:rPr>
        <w:t></w:t>
      </w:r>
      <w:r>
        <w:rPr>
          <w:spacing w:val="-12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0,</w:t>
      </w:r>
    </w:p>
    <w:p>
      <w:pPr>
        <w:spacing w:before="158"/>
        <w:ind w:left="90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2"/>
          <w:w w:val="95"/>
          <w:sz w:val="25"/>
        </w:rPr>
        <w:t></w:t>
      </w:r>
      <w:r>
        <w:rPr>
          <w:spacing w:val="-36"/>
          <w:w w:val="95"/>
          <w:sz w:val="25"/>
        </w:rPr>
        <w:t> </w:t>
      </w:r>
      <w:r>
        <w:rPr>
          <w:spacing w:val="-2"/>
          <w:w w:val="95"/>
          <w:sz w:val="25"/>
          <w:vertAlign w:val="subscript"/>
        </w:rPr>
        <w:t>3</w:t>
      </w:r>
      <w:r>
        <w:rPr>
          <w:spacing w:val="9"/>
          <w:w w:val="95"/>
          <w:sz w:val="25"/>
          <w:vertAlign w:val="baseline"/>
        </w:rPr>
        <w:t> </w:t>
      </w:r>
      <w:r>
        <w:rPr>
          <w:rFonts w:ascii="Symbol" w:hAnsi="Symbol"/>
          <w:spacing w:val="-2"/>
          <w:w w:val="95"/>
          <w:sz w:val="24"/>
          <w:vertAlign w:val="baseline"/>
        </w:rPr>
        <w:t></w:t>
      </w:r>
      <w:r>
        <w:rPr>
          <w:spacing w:val="-9"/>
          <w:w w:val="95"/>
          <w:sz w:val="24"/>
          <w:vertAlign w:val="baseline"/>
        </w:rPr>
        <w:t> </w:t>
      </w:r>
      <w:r>
        <w:rPr>
          <w:spacing w:val="-2"/>
          <w:w w:val="95"/>
          <w:sz w:val="24"/>
          <w:vertAlign w:val="baseline"/>
        </w:rPr>
        <w:t>0,</w:t>
      </w:r>
    </w:p>
    <w:p>
      <w:pPr>
        <w:spacing w:before="158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2"/>
          <w:w w:val="95"/>
          <w:sz w:val="25"/>
        </w:rPr>
        <w:t></w:t>
      </w:r>
      <w:r>
        <w:rPr>
          <w:spacing w:val="-32"/>
          <w:w w:val="95"/>
          <w:sz w:val="25"/>
        </w:rPr>
        <w:t> </w:t>
      </w:r>
      <w:r>
        <w:rPr>
          <w:spacing w:val="-2"/>
          <w:w w:val="95"/>
          <w:sz w:val="25"/>
          <w:vertAlign w:val="subscript"/>
        </w:rPr>
        <w:t>4</w:t>
      </w:r>
      <w:r>
        <w:rPr>
          <w:spacing w:val="17"/>
          <w:w w:val="95"/>
          <w:sz w:val="25"/>
          <w:vertAlign w:val="baseline"/>
        </w:rPr>
        <w:t> </w:t>
      </w:r>
      <w:r>
        <w:rPr>
          <w:rFonts w:ascii="Symbol" w:hAnsi="Symbol"/>
          <w:spacing w:val="-2"/>
          <w:w w:val="95"/>
          <w:sz w:val="24"/>
          <w:vertAlign w:val="baseline"/>
        </w:rPr>
        <w:t></w:t>
      </w:r>
      <w:r>
        <w:rPr>
          <w:spacing w:val="-9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0,</w:t>
      </w:r>
    </w:p>
    <w:p>
      <w:pPr>
        <w:spacing w:before="158"/>
        <w:ind w:left="87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w w:val="95"/>
          <w:sz w:val="25"/>
        </w:rPr>
        <w:t></w:t>
      </w:r>
      <w:r>
        <w:rPr>
          <w:spacing w:val="-34"/>
          <w:w w:val="95"/>
          <w:sz w:val="25"/>
        </w:rPr>
        <w:t> </w:t>
      </w:r>
      <w:r>
        <w:rPr>
          <w:w w:val="95"/>
          <w:sz w:val="25"/>
          <w:vertAlign w:val="subscript"/>
        </w:rPr>
        <w:t>5</w:t>
      </w:r>
      <w:r>
        <w:rPr>
          <w:spacing w:val="22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</w:t>
      </w:r>
      <w:r>
        <w:rPr>
          <w:spacing w:val="-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0,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and</w:t>
      </w:r>
      <w:r>
        <w:rPr>
          <w:spacing w:val="36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</w:t>
      </w:r>
      <w:r>
        <w:rPr>
          <w:spacing w:val="-31"/>
          <w:w w:val="95"/>
          <w:sz w:val="25"/>
          <w:vertAlign w:val="baseline"/>
        </w:rPr>
        <w:t> </w:t>
      </w:r>
      <w:r>
        <w:rPr>
          <w:w w:val="95"/>
          <w:sz w:val="25"/>
          <w:vertAlign w:val="subscript"/>
        </w:rPr>
        <w:t>6</w:t>
      </w:r>
      <w:r>
        <w:rPr>
          <w:spacing w:val="24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</w:t>
      </w:r>
      <w:r>
        <w:rPr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0,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1200" w:left="1320" w:right="440"/>
          <w:cols w:num="5" w:equalWidth="0">
            <w:col w:w="2404" w:space="40"/>
            <w:col w:w="723" w:space="39"/>
            <w:col w:w="711" w:space="39"/>
            <w:col w:w="714" w:space="40"/>
            <w:col w:w="5770"/>
          </w:cols>
        </w:sectPr>
      </w:pPr>
    </w:p>
    <w:p>
      <w:pPr>
        <w:pStyle w:val="BodyText"/>
        <w:spacing w:before="610"/>
        <w:ind w:left="931"/>
      </w:pPr>
      <w:r>
        <w:rPr/>
        <w:drawing>
          <wp:anchor distT="0" distB="0" distL="0" distR="0" allowOverlap="1" layoutInCell="1" locked="0" behindDoc="1" simplePos="0" relativeHeight="477964800">
            <wp:simplePos x="0" y="0"/>
            <wp:positionH relativeFrom="page">
              <wp:posOffset>1485138</wp:posOffset>
            </wp:positionH>
            <wp:positionV relativeFrom="paragraph">
              <wp:posOffset>43981</wp:posOffset>
            </wp:positionV>
            <wp:extent cx="5102225" cy="5044439"/>
            <wp:effectExtent l="0" t="0" r="0" b="0"/>
            <wp:wrapNone/>
            <wp:docPr id="1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Where,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6687"/>
      </w:tblGrid>
      <w:tr>
        <w:trPr>
          <w:trHeight w:val="414" w:hRule="atLeast"/>
        </w:trPr>
        <w:tc>
          <w:tcPr>
            <w:tcW w:w="1527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L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23"/>
                <w:sz w:val="24"/>
              </w:rPr>
              <w:t> </w:t>
            </w:r>
            <w:r>
              <w:rPr>
                <w:i/>
                <w:sz w:val="24"/>
              </w:rPr>
              <w:t>CPI</w:t>
            </w:r>
            <w:r>
              <w:rPr>
                <w:i/>
                <w:position w:val="-5"/>
                <w:sz w:val="14"/>
              </w:rPr>
              <w:t>t    </w:t>
            </w:r>
            <w:r>
              <w:rPr>
                <w:i/>
                <w:spacing w:val="1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6687" w:type="dxa"/>
          </w:tcPr>
          <w:p>
            <w:pPr>
              <w:pStyle w:val="TableParagraph"/>
              <w:spacing w:line="266" w:lineRule="exact"/>
              <w:ind w:left="176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the consumer price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497" w:hRule="atLeast"/>
        </w:trPr>
        <w:tc>
          <w:tcPr>
            <w:tcW w:w="1527" w:type="dxa"/>
          </w:tcPr>
          <w:p>
            <w:pPr>
              <w:pStyle w:val="TableParagraph"/>
              <w:spacing w:before="97"/>
              <w:ind w:left="20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L</w:t>
            </w:r>
            <w:r>
              <w:rPr>
                <w:i/>
                <w:spacing w:val="-30"/>
                <w:sz w:val="24"/>
              </w:rPr>
              <w:t> </w:t>
            </w:r>
            <w:r>
              <w:rPr>
                <w:spacing w:val="-1"/>
                <w:sz w:val="24"/>
              </w:rPr>
              <w:t>n</w:t>
            </w:r>
            <w:r>
              <w:rPr>
                <w:spacing w:val="-13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NER</w:t>
            </w:r>
            <w:r>
              <w:rPr>
                <w:i/>
                <w:spacing w:val="-1"/>
                <w:position w:val="-5"/>
                <w:sz w:val="14"/>
              </w:rPr>
              <w:t>t</w:t>
            </w:r>
            <w:r>
              <w:rPr>
                <w:i/>
                <w:spacing w:val="12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6687" w:type="dxa"/>
          </w:tcPr>
          <w:p>
            <w:pPr>
              <w:pStyle w:val="TableParagraph"/>
              <w:spacing w:before="75"/>
              <w:ind w:left="176"/>
              <w:rPr>
                <w:sz w:val="24"/>
              </w:rPr>
            </w:pPr>
            <w:r>
              <w:rPr>
                <w:sz w:val="24"/>
              </w:rPr>
              <w:t>Nominal Leone/US$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516" w:hRule="atLeast"/>
        </w:trPr>
        <w:tc>
          <w:tcPr>
            <w:tcW w:w="1527" w:type="dxa"/>
          </w:tcPr>
          <w:p>
            <w:pPr>
              <w:pStyle w:val="TableParagraph"/>
              <w:spacing w:line="216" w:lineRule="exact" w:before="116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L</w:t>
            </w:r>
            <w:r>
              <w:rPr>
                <w:i/>
                <w:spacing w:val="-29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30"/>
                <w:sz w:val="24"/>
              </w:rPr>
              <w:t> </w:t>
            </w:r>
            <w:r>
              <w:rPr>
                <w:i/>
                <w:sz w:val="24"/>
              </w:rPr>
              <w:t>GDP</w:t>
            </w:r>
            <w:r>
              <w:rPr>
                <w:i/>
                <w:sz w:val="24"/>
                <w:vertAlign w:val="superscript"/>
              </w:rPr>
              <w:t>d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101" w:lineRule="exact"/>
              <w:ind w:left="454"/>
              <w:jc w:val="center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t</w:t>
            </w:r>
          </w:p>
        </w:tc>
        <w:tc>
          <w:tcPr>
            <w:tcW w:w="6687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income,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representing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GDP</w:t>
            </w:r>
          </w:p>
        </w:tc>
      </w:tr>
      <w:tr>
        <w:trPr>
          <w:trHeight w:val="932" w:hRule="atLeast"/>
        </w:trPr>
        <w:tc>
          <w:tcPr>
            <w:tcW w:w="1527" w:type="dxa"/>
          </w:tcPr>
          <w:p>
            <w:pPr>
              <w:pStyle w:val="TableParagraph"/>
              <w:spacing w:line="216" w:lineRule="exact" w:before="117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L</w:t>
            </w:r>
            <w:r>
              <w:rPr>
                <w:i/>
                <w:spacing w:val="-25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26"/>
                <w:sz w:val="24"/>
              </w:rPr>
              <w:t> </w:t>
            </w:r>
            <w:r>
              <w:rPr>
                <w:i/>
                <w:sz w:val="24"/>
              </w:rPr>
              <w:t>GDP</w:t>
            </w:r>
            <w:r>
              <w:rPr>
                <w:i/>
                <w:sz w:val="24"/>
                <w:vertAlign w:val="superscript"/>
              </w:rPr>
              <w:t>f</w:t>
            </w:r>
            <w:r>
              <w:rPr>
                <w:i/>
                <w:spacing w:val="3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101" w:lineRule="exact"/>
              <w:ind w:left="455"/>
              <w:jc w:val="center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t</w:t>
            </w: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296" w:lineRule="exact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L</w:t>
            </w:r>
            <w:r>
              <w:rPr>
                <w:i/>
                <w:spacing w:val="-26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i/>
                <w:sz w:val="24"/>
              </w:rPr>
              <w:t>WPI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60"/>
                <w:position w:val="-5"/>
                <w:sz w:val="1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6687" w:type="dxa"/>
          </w:tcPr>
          <w:p>
            <w:pPr>
              <w:pStyle w:val="TableParagraph"/>
              <w:spacing w:before="73"/>
              <w:ind w:left="176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GDP,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EU‘s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proxy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 foreign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income.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price index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1"/>
        <w:ind w:left="811" w:right="993"/>
        <w:jc w:val="both"/>
      </w:pPr>
      <w:r>
        <w:rPr/>
        <w:t>Two sets of Autoregressive Distributed Lags (ARDL) model equations are specified.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 in appendices 2-5, a set of specified dynamic model of the estimated equations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1"/>
        </w:rPr>
        <w:t> </w:t>
      </w:r>
      <w:r>
        <w:rPr/>
        <w:t>correction representations of</w:t>
      </w:r>
      <w:r>
        <w:rPr>
          <w:spacing w:val="-1"/>
        </w:rPr>
        <w:t> </w:t>
      </w:r>
      <w:r>
        <w:rPr/>
        <w:t>the ARDL</w:t>
      </w:r>
      <w:r>
        <w:rPr>
          <w:spacing w:val="-3"/>
        </w:rPr>
        <w:t> </w:t>
      </w:r>
      <w:r>
        <w:rPr/>
        <w:t>equations.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00" w:left="1320" w:right="440"/>
        </w:sectPr>
      </w:pPr>
    </w:p>
    <w:p>
      <w:pPr>
        <w:pStyle w:val="Heading2"/>
        <w:numPr>
          <w:ilvl w:val="1"/>
          <w:numId w:val="15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28" w:id="46"/>
      <w:r>
        <w:rPr/>
        <w:t>Estimation</w:t>
      </w:r>
      <w:r>
        <w:rPr>
          <w:spacing w:val="-2"/>
        </w:rPr>
        <w:t> </w:t>
      </w:r>
      <w:bookmarkEnd w:id="46"/>
      <w:r>
        <w:rPr/>
        <w:t>Procedure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965312">
            <wp:simplePos x="0" y="0"/>
            <wp:positionH relativeFrom="page">
              <wp:posOffset>1485138</wp:posOffset>
            </wp:positionH>
            <wp:positionV relativeFrom="paragraph">
              <wp:posOffset>1241591</wp:posOffset>
            </wp:positionV>
            <wp:extent cx="5102225" cy="5044439"/>
            <wp:effectExtent l="0" t="0" r="0" b="0"/>
            <wp:wrapNone/>
            <wp:docPr id="1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estimating the dynamic relationship between exchange rate and balance of payments, a</w:t>
      </w:r>
      <w:r>
        <w:rPr>
          <w:spacing w:val="1"/>
        </w:rPr>
        <w:t> </w:t>
      </w:r>
      <w:r>
        <w:rPr/>
        <w:t>correct specification of the model that captures the short-run deviations that may possibly</w:t>
      </w:r>
      <w:r>
        <w:rPr>
          <w:spacing w:val="1"/>
        </w:rPr>
        <w:t> </w:t>
      </w:r>
      <w:r>
        <w:rPr/>
        <w:t>occur in the process of modeling the long-run cointegrating equation has to be considered.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Autoregressive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Lag</w:t>
      </w:r>
      <w:r>
        <w:rPr>
          <w:spacing w:val="1"/>
        </w:rPr>
        <w:t> </w:t>
      </w:r>
      <w:r>
        <w:rPr/>
        <w:t>(ARDL)</w:t>
      </w:r>
      <w:r>
        <w:rPr>
          <w:spacing w:val="1"/>
        </w:rPr>
        <w:t> </w:t>
      </w:r>
      <w:r>
        <w:rPr/>
        <w:t>bounds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Pesaran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variables is employed.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6"/>
        <w:jc w:val="both"/>
      </w:pPr>
      <w:r>
        <w:rPr/>
        <w:t>This procedure recommends estimating equations specified in appendices 1 and 2 by the</w:t>
      </w:r>
      <w:r>
        <w:rPr>
          <w:spacing w:val="1"/>
        </w:rPr>
        <w:t> </w:t>
      </w:r>
      <w:r>
        <w:rPr/>
        <w:t>Ordinary Least Square (OLS) method.</w:t>
      </w:r>
      <w:r>
        <w:rPr>
          <w:spacing w:val="1"/>
        </w:rPr>
        <w:t> </w:t>
      </w:r>
      <w:r>
        <w:rPr/>
        <w:t>This one-step estimation yields all the necessary</w:t>
      </w:r>
      <w:r>
        <w:rPr>
          <w:spacing w:val="1"/>
        </w:rPr>
        <w:t> </w:t>
      </w:r>
      <w:r>
        <w:rPr/>
        <w:t>statistical results that are required to assess the short-and-long-runs effects of all the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 on</w:t>
      </w:r>
      <w:r>
        <w:rPr>
          <w:spacing w:val="1"/>
        </w:rPr>
        <w:t> </w:t>
      </w:r>
      <w:r>
        <w:rPr/>
        <w:t>the dependent variable.</w:t>
      </w:r>
    </w:p>
    <w:p>
      <w:pPr>
        <w:pStyle w:val="BodyText"/>
        <w:spacing w:line="360" w:lineRule="auto" w:before="199"/>
        <w:ind w:left="811" w:right="994"/>
        <w:jc w:val="both"/>
      </w:pP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conventional multivariate cointegration procedures such as the Engle-Granger Two-Step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Johansen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Juselius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likelihood</w:t>
      </w:r>
      <w:r>
        <w:rPr>
          <w:spacing w:val="1"/>
        </w:rPr>
        <w:t> </w:t>
      </w:r>
      <w:r>
        <w:rPr/>
        <w:t>Vector</w:t>
      </w:r>
      <w:r>
        <w:rPr>
          <w:spacing w:val="-57"/>
        </w:rPr>
        <w:t> </w:t>
      </w:r>
      <w:r>
        <w:rPr/>
        <w:t>Autoregressive (VAR) model that are valid mainly for large sample size analysis, the</w:t>
      </w:r>
      <w:r>
        <w:rPr>
          <w:spacing w:val="1"/>
        </w:rPr>
        <w:t> </w:t>
      </w:r>
      <w:r>
        <w:rPr/>
        <w:t>bound test is suitable for analyzing either small or large sample size.</w:t>
      </w:r>
      <w:r>
        <w:rPr>
          <w:spacing w:val="61"/>
        </w:rPr>
        <w:t> </w:t>
      </w:r>
      <w:r>
        <w:rPr/>
        <w:t>Given that the</w:t>
      </w:r>
      <w:r>
        <w:rPr>
          <w:spacing w:val="1"/>
        </w:rPr>
        <w:t> </w:t>
      </w:r>
      <w:r>
        <w:rPr/>
        <w:t>annual sample period of 25 years, from 1975 to 2010 after losing some observations to</w:t>
      </w:r>
      <w:r>
        <w:rPr>
          <w:spacing w:val="1"/>
        </w:rPr>
        <w:t> </w:t>
      </w:r>
      <w:r>
        <w:rPr/>
        <w:t>stationarity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short,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is, however, much</w:t>
      </w:r>
      <w:r>
        <w:rPr>
          <w:spacing w:val="1"/>
        </w:rPr>
        <w:t> </w:t>
      </w:r>
      <w:r>
        <w:rPr/>
        <w:t>suitable for</w:t>
      </w:r>
      <w:r>
        <w:rPr>
          <w:spacing w:val="-2"/>
        </w:rPr>
        <w:t> </w:t>
      </w:r>
      <w:r>
        <w:rPr/>
        <w:t>this study.</w:t>
      </w:r>
    </w:p>
    <w:p>
      <w:pPr>
        <w:pStyle w:val="BodyText"/>
        <w:spacing w:line="360" w:lineRule="auto" w:before="203"/>
        <w:ind w:left="811" w:right="995"/>
        <w:jc w:val="both"/>
      </w:pPr>
      <w:r>
        <w:rPr/>
        <w:t>Secondly, unlike the Johansen (1991), maximum likelihood Vector Autoregressive Model</w:t>
      </w:r>
      <w:r>
        <w:rPr>
          <w:spacing w:val="-57"/>
        </w:rPr>
        <w:t> </w:t>
      </w:r>
      <w:r>
        <w:rPr/>
        <w:t>procedure, the bounds testing procedure does not impose restrictive assumptions among</w:t>
      </w:r>
      <w:r>
        <w:rPr>
          <w:spacing w:val="1"/>
        </w:rPr>
        <w:t> </w:t>
      </w:r>
      <w:r>
        <w:rPr/>
        <w:t>which is that all the variables under consideration should be integrated of the same order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cointegration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ARDL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F-test</w:t>
      </w:r>
      <w:r>
        <w:rPr>
          <w:spacing w:val="1"/>
        </w:rPr>
        <w:t> </w:t>
      </w:r>
      <w:r>
        <w:rPr/>
        <w:t>statistics.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statistics</w:t>
      </w:r>
      <w:r>
        <w:rPr>
          <w:spacing w:val="60"/>
        </w:rPr>
        <w:t> </w:t>
      </w:r>
      <w:r>
        <w:rPr/>
        <w:t>determines</w:t>
      </w:r>
      <w:r>
        <w:rPr>
          <w:spacing w:val="-57"/>
        </w:rPr>
        <w:t> </w:t>
      </w:r>
      <w:r>
        <w:rPr/>
        <w:t>whether the variables included in the ARDL model are integrated of order zero, I(0) or</w:t>
      </w:r>
      <w:r>
        <w:rPr>
          <w:spacing w:val="1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order one,</w:t>
      </w:r>
      <w:r>
        <w:rPr>
          <w:spacing w:val="3"/>
        </w:rPr>
        <w:t> </w:t>
      </w:r>
      <w:r>
        <w:rPr/>
        <w:t>I(1).</w:t>
      </w:r>
    </w:p>
    <w:p>
      <w:pPr>
        <w:pStyle w:val="BodyText"/>
        <w:spacing w:line="360" w:lineRule="auto" w:before="199"/>
        <w:ind w:left="811" w:right="994"/>
        <w:jc w:val="both"/>
      </w:pPr>
      <w:r>
        <w:rPr/>
        <w:t>Also, the problem of serial correlation and endogeneity is addressed when the appropriate</w:t>
      </w:r>
      <w:r>
        <w:rPr>
          <w:spacing w:val="-57"/>
        </w:rPr>
        <w:t> </w:t>
      </w:r>
      <w:r>
        <w:rPr/>
        <w:t>numbers of lags are used in the ARDL procedure (Pesaran and Shin, 1999; and Jalil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2008).</w:t>
      </w:r>
      <w:r>
        <w:rPr>
          <w:spacing w:val="25"/>
        </w:rPr>
        <w:t> </w:t>
      </w:r>
      <w:r>
        <w:rPr/>
        <w:t>Furthermore,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ARDL</w:t>
      </w:r>
      <w:r>
        <w:rPr>
          <w:spacing w:val="9"/>
        </w:rPr>
        <w:t> </w:t>
      </w:r>
      <w:r>
        <w:rPr/>
        <w:t>estimation</w:t>
      </w:r>
      <w:r>
        <w:rPr>
          <w:spacing w:val="11"/>
        </w:rPr>
        <w:t> </w:t>
      </w:r>
      <w:r>
        <w:rPr/>
        <w:t>procedure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quite</w:t>
      </w:r>
      <w:r>
        <w:rPr>
          <w:spacing w:val="12"/>
        </w:rPr>
        <w:t> </w:t>
      </w:r>
      <w:r>
        <w:rPr/>
        <w:t>flexible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allows</w:t>
      </w:r>
      <w:r>
        <w:rPr>
          <w:spacing w:val="10"/>
        </w:rPr>
        <w:t> </w:t>
      </w:r>
      <w:r>
        <w:rPr/>
        <w:t>all</w:t>
      </w:r>
      <w:r>
        <w:rPr>
          <w:spacing w:val="2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6"/>
        <w:jc w:val="both"/>
      </w:pPr>
      <w:r>
        <w:rPr/>
        <w:t>variables to be endogenous and the long-and short-runs parameters of the model are</w:t>
      </w:r>
      <w:r>
        <w:rPr>
          <w:spacing w:val="1"/>
        </w:rPr>
        <w:t> </w:t>
      </w:r>
      <w:r>
        <w:rPr/>
        <w:t>estimated simultaneously (Khan </w:t>
      </w:r>
      <w:r>
        <w:rPr>
          <w:i/>
        </w:rPr>
        <w:t>et al., </w:t>
      </w:r>
      <w:r>
        <w:rPr/>
        <w:t>2005).</w:t>
      </w:r>
      <w:r>
        <w:rPr>
          <w:spacing w:val="1"/>
        </w:rPr>
        <w:t> </w:t>
      </w:r>
      <w:r>
        <w:rPr/>
        <w:t>Finally, the ARDL estimation technique</w:t>
      </w:r>
      <w:r>
        <w:rPr>
          <w:spacing w:val="1"/>
        </w:rPr>
        <w:t> </w:t>
      </w:r>
      <w:r>
        <w:rPr/>
        <w:t>generally provides unbiased estimates of the long-run model and valid t-statistics even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regressors are endogenous (Constant</w:t>
      </w:r>
      <w:r>
        <w:rPr>
          <w:spacing w:val="2"/>
        </w:rPr>
        <w:t> </w:t>
      </w:r>
      <w:r>
        <w:rPr/>
        <w:t>and Yue, 2010).</w:t>
      </w:r>
    </w:p>
    <w:p>
      <w:pPr>
        <w:pStyle w:val="BodyText"/>
        <w:spacing w:line="360" w:lineRule="auto" w:before="200"/>
        <w:ind w:left="811" w:right="1000"/>
        <w:jc w:val="both"/>
      </w:pPr>
      <w:r>
        <w:rPr/>
        <w:drawing>
          <wp:anchor distT="0" distB="0" distL="0" distR="0" allowOverlap="1" layoutInCell="1" locked="0" behindDoc="1" simplePos="0" relativeHeight="477965824">
            <wp:simplePos x="0" y="0"/>
            <wp:positionH relativeFrom="page">
              <wp:posOffset>1485138</wp:posOffset>
            </wp:positionH>
            <wp:positionV relativeFrom="paragraph">
              <wp:posOffset>544107</wp:posOffset>
            </wp:positionV>
            <wp:extent cx="5102225" cy="5044439"/>
            <wp:effectExtent l="0" t="0" r="0" b="0"/>
            <wp:wrapNone/>
            <wp:docPr id="18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initial step is to determine the dynamic lag length of the variables in the model.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this respect, the Akaike</w:t>
      </w:r>
      <w:r>
        <w:rPr>
          <w:spacing w:val="1"/>
        </w:rPr>
        <w:t> </w:t>
      </w:r>
      <w:r>
        <w:rPr/>
        <w:t>Information Criterion (AIC), Schwartz</w:t>
      </w:r>
      <w:r>
        <w:rPr>
          <w:spacing w:val="1"/>
        </w:rPr>
        <w:t> </w:t>
      </w:r>
      <w:r>
        <w:rPr/>
        <w:t>Information Criterion</w:t>
      </w:r>
      <w:r>
        <w:rPr>
          <w:spacing w:val="1"/>
        </w:rPr>
        <w:t> </w:t>
      </w:r>
      <w:r>
        <w:rPr/>
        <w:t>(SIC), Hannan Quin (HQ) test, Likelihood Ratio tests (L-R) and Final Prediction Error</w:t>
      </w:r>
      <w:r>
        <w:rPr>
          <w:spacing w:val="1"/>
        </w:rPr>
        <w:t> </w:t>
      </w:r>
      <w:r>
        <w:rPr/>
        <w:t>(FPE)</w:t>
      </w:r>
      <w:r>
        <w:rPr>
          <w:spacing w:val="-2"/>
        </w:rPr>
        <w:t> </w:t>
      </w:r>
      <w:r>
        <w:rPr/>
        <w:t>test are</w:t>
      </w:r>
      <w:r>
        <w:rPr>
          <w:spacing w:val="-2"/>
        </w:rPr>
        <w:t> </w:t>
      </w:r>
      <w:r>
        <w:rPr/>
        <w:t>employed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purpose.</w:t>
      </w:r>
    </w:p>
    <w:p>
      <w:pPr>
        <w:pStyle w:val="BodyText"/>
        <w:spacing w:line="357" w:lineRule="auto" w:before="202"/>
        <w:ind w:left="811" w:right="1001"/>
        <w:jc w:val="both"/>
      </w:pPr>
      <w:r>
        <w:rPr>
          <w:color w:val="292425"/>
        </w:rPr>
        <w:t>The next stage is to trace the presence of cointegration from the OLS regression outputs</w:t>
      </w:r>
      <w:r>
        <w:rPr>
          <w:color w:val="292425"/>
          <w:spacing w:val="1"/>
        </w:rPr>
        <w:t> </w:t>
      </w:r>
      <w:r>
        <w:rPr>
          <w:color w:val="292425"/>
        </w:rPr>
        <w:t>by conducting an F-test for the joint significance of the coefficients of the lagged levels of</w:t>
      </w:r>
      <w:r>
        <w:rPr>
          <w:color w:val="292425"/>
          <w:spacing w:val="-57"/>
        </w:rPr>
        <w:t> </w:t>
      </w:r>
      <w:r>
        <w:rPr>
          <w:color w:val="292425"/>
        </w:rPr>
        <w:t>the variables.</w:t>
      </w:r>
      <w:r>
        <w:rPr>
          <w:color w:val="292425"/>
          <w:spacing w:val="1"/>
        </w:rPr>
        <w:t> </w:t>
      </w:r>
      <w:r>
        <w:rPr>
          <w:color w:val="292425"/>
        </w:rPr>
        <w:t>This testing procedure is a test of a null hypothesis of no cointegration</w:t>
      </w:r>
      <w:r>
        <w:rPr>
          <w:color w:val="292425"/>
          <w:spacing w:val="1"/>
        </w:rPr>
        <w:t> </w:t>
      </w:r>
      <w:r>
        <w:rPr>
          <w:color w:val="292425"/>
          <w:spacing w:val="-1"/>
        </w:rPr>
        <w:t>long-run</w:t>
      </w:r>
      <w:r>
        <w:rPr>
          <w:color w:val="292425"/>
          <w:spacing w:val="121"/>
        </w:rPr>
        <w:t> </w:t>
      </w:r>
      <w:r>
        <w:rPr>
          <w:color w:val="292425"/>
        </w:rPr>
        <w:t>relationship;  </w:t>
      </w:r>
      <w:r>
        <w:rPr>
          <w:color w:val="292425"/>
          <w:spacing w:val="2"/>
        </w:rPr>
        <w:t> </w:t>
      </w:r>
      <w:r>
        <w:rPr>
          <w:color w:val="292425"/>
        </w:rPr>
        <w:t>(</w:t>
      </w:r>
      <w:r>
        <w:rPr>
          <w:color w:val="292425"/>
          <w:spacing w:val="-17"/>
        </w:rPr>
        <w:t> </w:t>
      </w:r>
      <w:r>
        <w:rPr>
          <w:i/>
        </w:rPr>
        <w:t>H</w:t>
      </w:r>
      <w:r>
        <w:rPr>
          <w:vertAlign w:val="subscript"/>
        </w:rPr>
        <w:t>0</w:t>
      </w:r>
      <w:r>
        <w:rPr>
          <w:spacing w:val="-3"/>
          <w:vertAlign w:val="baseline"/>
        </w:rPr>
        <w:t> </w:t>
      </w:r>
      <w:r>
        <w:rPr>
          <w:vertAlign w:val="baseline"/>
        </w:rPr>
        <w:t>:</w:t>
      </w:r>
      <w:r>
        <w:rPr>
          <w:spacing w:val="-22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</w:t>
      </w:r>
      <w:r>
        <w:rPr>
          <w:sz w:val="25"/>
          <w:vertAlign w:val="subscript"/>
        </w:rPr>
        <w:t>1</w:t>
      </w:r>
      <w:r>
        <w:rPr>
          <w:spacing w:val="3"/>
          <w:sz w:val="25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-8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</w:t>
      </w:r>
      <w:r>
        <w:rPr>
          <w:sz w:val="25"/>
          <w:vertAlign w:val="subscript"/>
        </w:rPr>
        <w:t>2</w:t>
      </w:r>
      <w:r>
        <w:rPr>
          <w:spacing w:val="14"/>
          <w:sz w:val="25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-26"/>
          <w:vertAlign w:val="baseline"/>
        </w:rPr>
        <w:t> </w:t>
      </w:r>
      <w:r>
        <w:rPr>
          <w:vertAlign w:val="baseline"/>
        </w:rPr>
        <w:t>....</w:t>
      </w:r>
      <w:r>
        <w:rPr>
          <w:spacing w:val="-22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-15"/>
          <w:vertAlign w:val="baseline"/>
        </w:rPr>
        <w:t> </w:t>
      </w:r>
      <w:r>
        <w:rPr>
          <w:vertAlign w:val="baseline"/>
        </w:rPr>
        <w:t>0,</w:t>
      </w:r>
      <w:r>
        <w:rPr>
          <w:spacing w:val="-17"/>
          <w:vertAlign w:val="baseline"/>
        </w:rPr>
        <w:t> </w:t>
      </w:r>
      <w:r>
        <w:rPr>
          <w:color w:val="292425"/>
          <w:vertAlign w:val="baseline"/>
        </w:rPr>
        <w:t>)</w:t>
      </w:r>
      <w:r>
        <w:rPr>
          <w:color w:val="292425"/>
          <w:spacing w:val="119"/>
          <w:vertAlign w:val="baseline"/>
        </w:rPr>
        <w:t> </w:t>
      </w:r>
      <w:r>
        <w:rPr>
          <w:color w:val="292425"/>
          <w:vertAlign w:val="baseline"/>
        </w:rPr>
        <w:t>against   an</w:t>
      </w:r>
      <w:r>
        <w:rPr>
          <w:color w:val="292425"/>
          <w:spacing w:val="120"/>
          <w:vertAlign w:val="baseline"/>
        </w:rPr>
        <w:t> </w:t>
      </w:r>
      <w:r>
        <w:rPr>
          <w:color w:val="292425"/>
          <w:vertAlign w:val="baseline"/>
        </w:rPr>
        <w:t>alternative</w:t>
      </w:r>
      <w:r>
        <w:rPr>
          <w:color w:val="292425"/>
          <w:spacing w:val="118"/>
          <w:vertAlign w:val="baseline"/>
        </w:rPr>
        <w:t> </w:t>
      </w:r>
      <w:r>
        <w:rPr>
          <w:color w:val="292425"/>
          <w:vertAlign w:val="baseline"/>
        </w:rPr>
        <w:t>hypothesis   of</w:t>
      </w:r>
    </w:p>
    <w:p>
      <w:pPr>
        <w:pStyle w:val="BodyText"/>
        <w:spacing w:line="372" w:lineRule="auto" w:before="45"/>
        <w:ind w:left="811" w:right="995"/>
        <w:jc w:val="both"/>
      </w:pPr>
      <w:r>
        <w:rPr>
          <w:color w:val="292425"/>
        </w:rPr>
        <w:t>(</w:t>
      </w:r>
      <w:r>
        <w:rPr>
          <w:color w:val="292425"/>
          <w:spacing w:val="-17"/>
        </w:rPr>
        <w:t> </w:t>
      </w:r>
      <w:r>
        <w:rPr>
          <w:i/>
        </w:rPr>
        <w:t>H</w:t>
      </w:r>
      <w:r>
        <w:rPr>
          <w:vertAlign w:val="subscript"/>
        </w:rPr>
        <w:t>1</w:t>
      </w:r>
      <w:r>
        <w:rPr>
          <w:spacing w:val="-14"/>
          <w:vertAlign w:val="baseline"/>
        </w:rPr>
        <w:t> </w:t>
      </w:r>
      <w:r>
        <w:rPr>
          <w:vertAlign w:val="baseline"/>
        </w:rPr>
        <w:t>:</w:t>
      </w:r>
      <w:r>
        <w:rPr>
          <w:spacing w:val="-22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</w:t>
      </w:r>
      <w:r>
        <w:rPr>
          <w:sz w:val="25"/>
          <w:vertAlign w:val="subscript"/>
        </w:rPr>
        <w:t>1</w:t>
      </w:r>
      <w:r>
        <w:rPr>
          <w:spacing w:val="2"/>
          <w:sz w:val="25"/>
          <w:vertAlign w:val="baseline"/>
        </w:rPr>
        <w:t> </w:t>
      </w:r>
      <w:r>
        <w:rPr>
          <w:rFonts w:ascii="Symbol" w:hAnsi="Symbol"/>
          <w:vertAlign w:val="baseline"/>
        </w:rPr>
        <w:t></w:t>
      </w:r>
      <w:r>
        <w:rPr>
          <w:spacing w:val="-3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</w:t>
      </w:r>
      <w:r>
        <w:rPr>
          <w:sz w:val="25"/>
          <w:vertAlign w:val="subscript"/>
        </w:rPr>
        <w:t>2</w:t>
      </w:r>
      <w:r>
        <w:rPr>
          <w:spacing w:val="13"/>
          <w:sz w:val="25"/>
          <w:vertAlign w:val="baseline"/>
        </w:rPr>
        <w:t> </w:t>
      </w:r>
      <w:r>
        <w:rPr>
          <w:rFonts w:ascii="Symbol" w:hAnsi="Symbol"/>
          <w:vertAlign w:val="baseline"/>
        </w:rPr>
        <w:t></w:t>
      </w:r>
      <w:r>
        <w:rPr>
          <w:spacing w:val="-22"/>
          <w:vertAlign w:val="baseline"/>
        </w:rPr>
        <w:t> </w:t>
      </w:r>
      <w:r>
        <w:rPr>
          <w:vertAlign w:val="baseline"/>
        </w:rPr>
        <w:t>......</w:t>
      </w:r>
      <w:r>
        <w:rPr>
          <w:spacing w:val="-23"/>
          <w:vertAlign w:val="baseline"/>
        </w:rPr>
        <w:t> </w:t>
      </w:r>
      <w:r>
        <w:rPr>
          <w:rFonts w:ascii="Symbol" w:hAnsi="Symbol"/>
          <w:vertAlign w:val="baseline"/>
        </w:rPr>
        <w:t></w:t>
      </w:r>
      <w:r>
        <w:rPr>
          <w:spacing w:val="-10"/>
          <w:vertAlign w:val="baseline"/>
        </w:rPr>
        <w:t> </w:t>
      </w:r>
      <w:r>
        <w:rPr>
          <w:vertAlign w:val="baseline"/>
        </w:rPr>
        <w:t>0</w:t>
      </w:r>
      <w:r>
        <w:rPr>
          <w:spacing w:val="-31"/>
          <w:vertAlign w:val="baseline"/>
        </w:rPr>
        <w:t> </w:t>
      </w:r>
      <w:r>
        <w:rPr>
          <w:color w:val="292425"/>
          <w:vertAlign w:val="baseline"/>
        </w:rPr>
        <w:t>),</w:t>
      </w:r>
      <w:r>
        <w:rPr>
          <w:color w:val="292425"/>
          <w:spacing w:val="5"/>
          <w:vertAlign w:val="baseline"/>
        </w:rPr>
        <w:t> </w:t>
      </w:r>
      <w:r>
        <w:rPr>
          <w:color w:val="292425"/>
          <w:vertAlign w:val="baseline"/>
        </w:rPr>
        <w:t>implying</w:t>
      </w:r>
      <w:r>
        <w:rPr>
          <w:color w:val="292425"/>
          <w:spacing w:val="3"/>
          <w:vertAlign w:val="baseline"/>
        </w:rPr>
        <w:t> </w:t>
      </w:r>
      <w:r>
        <w:rPr>
          <w:color w:val="292425"/>
          <w:vertAlign w:val="baseline"/>
        </w:rPr>
        <w:t>the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existence</w:t>
      </w:r>
      <w:r>
        <w:rPr>
          <w:color w:val="292425"/>
          <w:spacing w:val="4"/>
          <w:vertAlign w:val="baseline"/>
        </w:rPr>
        <w:t> </w:t>
      </w:r>
      <w:r>
        <w:rPr>
          <w:color w:val="292425"/>
          <w:vertAlign w:val="baseline"/>
        </w:rPr>
        <w:t>of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cointegration</w:t>
      </w:r>
      <w:r>
        <w:rPr>
          <w:color w:val="292425"/>
          <w:spacing w:val="5"/>
          <w:vertAlign w:val="baseline"/>
        </w:rPr>
        <w:t> </w:t>
      </w:r>
      <w:r>
        <w:rPr>
          <w:color w:val="292425"/>
          <w:vertAlign w:val="baseline"/>
        </w:rPr>
        <w:t>among</w:t>
      </w:r>
      <w:r>
        <w:rPr>
          <w:color w:val="292425"/>
          <w:spacing w:val="3"/>
          <w:vertAlign w:val="baseline"/>
        </w:rPr>
        <w:t> </w:t>
      </w:r>
      <w:r>
        <w:rPr>
          <w:color w:val="292425"/>
          <w:vertAlign w:val="baseline"/>
        </w:rPr>
        <w:t>the</w:t>
      </w:r>
      <w:r>
        <w:rPr>
          <w:color w:val="292425"/>
          <w:spacing w:val="5"/>
          <w:vertAlign w:val="baseline"/>
        </w:rPr>
        <w:t> </w:t>
      </w:r>
      <w:r>
        <w:rPr>
          <w:color w:val="292425"/>
          <w:vertAlign w:val="baseline"/>
        </w:rPr>
        <w:t>variables</w:t>
      </w:r>
      <w:r>
        <w:rPr>
          <w:color w:val="292425"/>
          <w:spacing w:val="-58"/>
          <w:vertAlign w:val="baseline"/>
        </w:rPr>
        <w:t> </w:t>
      </w:r>
      <w:r>
        <w:rPr>
          <w:color w:val="292425"/>
          <w:vertAlign w:val="baseline"/>
        </w:rPr>
        <w:t>(Pesaran </w:t>
      </w:r>
      <w:r>
        <w:rPr>
          <w:i/>
          <w:color w:val="292425"/>
          <w:vertAlign w:val="baseline"/>
        </w:rPr>
        <w:t>et al., </w:t>
      </w:r>
      <w:r>
        <w:rPr>
          <w:color w:val="292425"/>
          <w:vertAlign w:val="baseline"/>
        </w:rPr>
        <w:t>2001).</w:t>
      </w:r>
      <w:r>
        <w:rPr>
          <w:color w:val="292425"/>
          <w:spacing w:val="1"/>
          <w:vertAlign w:val="baseline"/>
        </w:rPr>
        <w:t> </w:t>
      </w:r>
      <w:r>
        <w:rPr>
          <w:color w:val="292425"/>
          <w:vertAlign w:val="baseline"/>
        </w:rPr>
        <w:t>Two set of critical values generated by Pesaran </w:t>
      </w:r>
      <w:r>
        <w:rPr>
          <w:i/>
          <w:color w:val="292425"/>
          <w:vertAlign w:val="baseline"/>
        </w:rPr>
        <w:t>et al., </w:t>
      </w:r>
      <w:r>
        <w:rPr>
          <w:color w:val="292425"/>
          <w:vertAlign w:val="baseline"/>
        </w:rPr>
        <w:t>(2001) are</w:t>
      </w:r>
      <w:r>
        <w:rPr>
          <w:color w:val="292425"/>
          <w:spacing w:val="1"/>
          <w:vertAlign w:val="baseline"/>
        </w:rPr>
        <w:t> </w:t>
      </w:r>
      <w:r>
        <w:rPr>
          <w:color w:val="292425"/>
          <w:vertAlign w:val="baseline"/>
        </w:rPr>
        <w:t>normally considered, the upper and the lower bound statistics for decision making.</w:t>
      </w:r>
      <w:r>
        <w:rPr>
          <w:color w:val="292425"/>
          <w:spacing w:val="1"/>
          <w:vertAlign w:val="baseline"/>
        </w:rPr>
        <w:t> </w:t>
      </w:r>
      <w:r>
        <w:rPr>
          <w:color w:val="292425"/>
          <w:vertAlign w:val="baseline"/>
        </w:rPr>
        <w:t>If the</w:t>
      </w:r>
      <w:r>
        <w:rPr>
          <w:color w:val="292425"/>
          <w:spacing w:val="1"/>
          <w:vertAlign w:val="baseline"/>
        </w:rPr>
        <w:t> </w:t>
      </w:r>
      <w:r>
        <w:rPr>
          <w:color w:val="292425"/>
          <w:vertAlign w:val="baseline"/>
        </w:rPr>
        <w:t>reported</w:t>
      </w:r>
      <w:r>
        <w:rPr>
          <w:color w:val="292425"/>
          <w:spacing w:val="5"/>
          <w:vertAlign w:val="baseline"/>
        </w:rPr>
        <w:t> </w:t>
      </w:r>
      <w:r>
        <w:rPr>
          <w:color w:val="292425"/>
          <w:vertAlign w:val="baseline"/>
        </w:rPr>
        <w:t>test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statistic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is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above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an</w:t>
      </w:r>
      <w:r>
        <w:rPr>
          <w:color w:val="292425"/>
          <w:spacing w:val="5"/>
          <w:vertAlign w:val="baseline"/>
        </w:rPr>
        <w:t> </w:t>
      </w:r>
      <w:r>
        <w:rPr>
          <w:color w:val="292425"/>
          <w:vertAlign w:val="baseline"/>
        </w:rPr>
        <w:t>upper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critical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value,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then</w:t>
      </w:r>
      <w:r>
        <w:rPr>
          <w:color w:val="292425"/>
          <w:spacing w:val="5"/>
          <w:vertAlign w:val="baseline"/>
        </w:rPr>
        <w:t> </w:t>
      </w:r>
      <w:r>
        <w:rPr>
          <w:color w:val="292425"/>
          <w:vertAlign w:val="baseline"/>
        </w:rPr>
        <w:t>the</w:t>
      </w:r>
      <w:r>
        <w:rPr>
          <w:color w:val="292425"/>
          <w:spacing w:val="5"/>
          <w:vertAlign w:val="baseline"/>
        </w:rPr>
        <w:t> </w:t>
      </w:r>
      <w:r>
        <w:rPr>
          <w:color w:val="292425"/>
          <w:vertAlign w:val="baseline"/>
        </w:rPr>
        <w:t>null</w:t>
      </w:r>
      <w:r>
        <w:rPr>
          <w:color w:val="292425"/>
          <w:spacing w:val="7"/>
          <w:vertAlign w:val="baseline"/>
        </w:rPr>
        <w:t> </w:t>
      </w:r>
      <w:r>
        <w:rPr>
          <w:color w:val="292425"/>
          <w:vertAlign w:val="baseline"/>
        </w:rPr>
        <w:t>hypothesis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of</w:t>
      </w:r>
      <w:r>
        <w:rPr>
          <w:color w:val="292425"/>
          <w:spacing w:val="6"/>
          <w:vertAlign w:val="baseline"/>
        </w:rPr>
        <w:t> </w:t>
      </w:r>
      <w:r>
        <w:rPr>
          <w:color w:val="292425"/>
          <w:vertAlign w:val="baseline"/>
        </w:rPr>
        <w:t>no</w:t>
      </w:r>
      <w:r>
        <w:rPr>
          <w:color w:val="292425"/>
          <w:spacing w:val="5"/>
          <w:vertAlign w:val="baseline"/>
        </w:rPr>
        <w:t> </w:t>
      </w:r>
      <w:r>
        <w:rPr>
          <w:color w:val="292425"/>
          <w:vertAlign w:val="baseline"/>
        </w:rPr>
        <w:t>long-</w:t>
      </w:r>
    </w:p>
    <w:p>
      <w:pPr>
        <w:pStyle w:val="BodyText"/>
        <w:spacing w:line="261" w:lineRule="exact"/>
        <w:ind w:left="811"/>
        <w:jc w:val="both"/>
      </w:pPr>
      <w:r>
        <w:rPr>
          <w:color w:val="292425"/>
        </w:rPr>
        <w:t>run</w:t>
      </w:r>
      <w:r>
        <w:rPr>
          <w:color w:val="292425"/>
          <w:spacing w:val="59"/>
        </w:rPr>
        <w:t> </w:t>
      </w:r>
      <w:r>
        <w:rPr>
          <w:color w:val="292425"/>
        </w:rPr>
        <w:t>relationship</w:t>
      </w:r>
      <w:r>
        <w:rPr>
          <w:color w:val="292425"/>
          <w:spacing w:val="60"/>
        </w:rPr>
        <w:t> </w:t>
      </w:r>
      <w:r>
        <w:rPr>
          <w:color w:val="292425"/>
        </w:rPr>
        <w:t>is</w:t>
      </w:r>
      <w:r>
        <w:rPr>
          <w:color w:val="292425"/>
          <w:spacing w:val="61"/>
        </w:rPr>
        <w:t> </w:t>
      </w:r>
      <w:r>
        <w:rPr>
          <w:color w:val="292425"/>
        </w:rPr>
        <w:t>rejected</w:t>
      </w:r>
      <w:r>
        <w:rPr>
          <w:color w:val="292425"/>
          <w:spacing w:val="59"/>
        </w:rPr>
        <w:t> </w:t>
      </w:r>
      <w:r>
        <w:rPr>
          <w:color w:val="292425"/>
        </w:rPr>
        <w:t>regardless</w:t>
      </w:r>
      <w:r>
        <w:rPr>
          <w:color w:val="292425"/>
          <w:spacing w:val="61"/>
        </w:rPr>
        <w:t> </w:t>
      </w:r>
      <w:r>
        <w:rPr>
          <w:color w:val="292425"/>
        </w:rPr>
        <w:t>of</w:t>
      </w:r>
      <w:r>
        <w:rPr>
          <w:color w:val="292425"/>
          <w:spacing w:val="59"/>
        </w:rPr>
        <w:t> </w:t>
      </w:r>
      <w:r>
        <w:rPr>
          <w:color w:val="292425"/>
        </w:rPr>
        <w:t>the</w:t>
      </w:r>
      <w:r>
        <w:rPr>
          <w:color w:val="292425"/>
          <w:spacing w:val="59"/>
        </w:rPr>
        <w:t> </w:t>
      </w:r>
      <w:r>
        <w:rPr>
          <w:color w:val="292425"/>
        </w:rPr>
        <w:t>orders  of</w:t>
      </w:r>
      <w:r>
        <w:rPr>
          <w:color w:val="292425"/>
          <w:spacing w:val="59"/>
        </w:rPr>
        <w:t> </w:t>
      </w:r>
      <w:r>
        <w:rPr>
          <w:color w:val="292425"/>
        </w:rPr>
        <w:t>integration</w:t>
      </w:r>
      <w:r>
        <w:rPr>
          <w:color w:val="292425"/>
          <w:spacing w:val="61"/>
        </w:rPr>
        <w:t> </w:t>
      </w:r>
      <w:r>
        <w:rPr>
          <w:color w:val="292425"/>
        </w:rPr>
        <w:t>of</w:t>
      </w:r>
      <w:r>
        <w:rPr>
          <w:color w:val="292425"/>
          <w:spacing w:val="59"/>
        </w:rPr>
        <w:t> </w:t>
      </w:r>
      <w:r>
        <w:rPr>
          <w:color w:val="292425"/>
        </w:rPr>
        <w:t>the</w:t>
      </w:r>
      <w:r>
        <w:rPr>
          <w:color w:val="292425"/>
          <w:spacing w:val="59"/>
        </w:rPr>
        <w:t> </w:t>
      </w:r>
      <w:r>
        <w:rPr>
          <w:color w:val="292425"/>
        </w:rPr>
        <w:t>underlying</w:t>
      </w:r>
    </w:p>
    <w:p>
      <w:pPr>
        <w:pStyle w:val="BodyText"/>
        <w:spacing w:line="360" w:lineRule="auto" w:before="139"/>
        <w:ind w:left="811" w:right="995"/>
        <w:jc w:val="both"/>
      </w:pPr>
      <w:r>
        <w:rPr>
          <w:color w:val="292425"/>
        </w:rPr>
        <w:t>variables.</w:t>
      </w:r>
      <w:r>
        <w:rPr>
          <w:color w:val="292425"/>
          <w:spacing w:val="1"/>
        </w:rPr>
        <w:t> </w:t>
      </w:r>
      <w:r>
        <w:rPr>
          <w:color w:val="292425"/>
        </w:rPr>
        <w:t>On the other hand, if the test statistic is below the lower bound, then the null</w:t>
      </w:r>
      <w:r>
        <w:rPr>
          <w:color w:val="292425"/>
          <w:spacing w:val="1"/>
        </w:rPr>
        <w:t> </w:t>
      </w:r>
      <w:r>
        <w:rPr>
          <w:color w:val="292425"/>
        </w:rPr>
        <w:t>hypothesis</w:t>
      </w:r>
      <w:r>
        <w:rPr>
          <w:color w:val="292425"/>
          <w:spacing w:val="-1"/>
        </w:rPr>
        <w:t> </w:t>
      </w:r>
      <w:r>
        <w:rPr>
          <w:color w:val="292425"/>
        </w:rPr>
        <w:t>cannot be rejected.</w:t>
      </w:r>
    </w:p>
    <w:p>
      <w:pPr>
        <w:pStyle w:val="BodyText"/>
        <w:spacing w:line="360" w:lineRule="auto" w:before="200"/>
        <w:ind w:left="811" w:right="996"/>
        <w:jc w:val="both"/>
      </w:pPr>
      <w:r>
        <w:rPr>
          <w:color w:val="292425"/>
        </w:rPr>
        <w:t>Finally, if the test statistics falls between the lower and the upper bound, the decision then</w:t>
      </w:r>
      <w:r>
        <w:rPr>
          <w:color w:val="292425"/>
          <w:spacing w:val="-57"/>
        </w:rPr>
        <w:t> </w:t>
      </w:r>
      <w:r>
        <w:rPr>
          <w:color w:val="292425"/>
        </w:rPr>
        <w:t>becomes indecisive.</w:t>
      </w:r>
      <w:r>
        <w:rPr>
          <w:color w:val="292425"/>
          <w:spacing w:val="1"/>
        </w:rPr>
        <w:t> </w:t>
      </w:r>
      <w:r>
        <w:rPr>
          <w:color w:val="292425"/>
        </w:rPr>
        <w:t>However, according to Canetti and Greene (1991), the most efficient</w:t>
      </w:r>
      <w:r>
        <w:rPr>
          <w:color w:val="292425"/>
          <w:spacing w:val="-57"/>
        </w:rPr>
        <w:t> </w:t>
      </w:r>
      <w:r>
        <w:rPr>
          <w:color w:val="292425"/>
        </w:rPr>
        <w:t>way of dealing with such an inconclusive case is to establish cointegration by applying an</w:t>
      </w:r>
      <w:r>
        <w:rPr>
          <w:color w:val="292425"/>
          <w:spacing w:val="-57"/>
        </w:rPr>
        <w:t> </w:t>
      </w:r>
      <w:r>
        <w:rPr>
          <w:color w:val="292425"/>
        </w:rPr>
        <w:t>ECM version of the ARDL model.</w:t>
      </w:r>
      <w:r>
        <w:rPr>
          <w:color w:val="292425"/>
          <w:spacing w:val="1"/>
        </w:rPr>
        <w:t> </w:t>
      </w:r>
      <w:r>
        <w:rPr>
          <w:color w:val="292425"/>
        </w:rPr>
        <w:t>But if a unique long run relationship exists among the</w:t>
      </w:r>
      <w:r>
        <w:rPr>
          <w:color w:val="292425"/>
          <w:spacing w:val="-57"/>
        </w:rPr>
        <w:t> </w:t>
      </w:r>
      <w:r>
        <w:rPr>
          <w:color w:val="292425"/>
        </w:rPr>
        <w:t>variables</w:t>
      </w:r>
      <w:r>
        <w:rPr>
          <w:color w:val="292425"/>
          <w:spacing w:val="1"/>
        </w:rPr>
        <w:t> </w:t>
      </w:r>
      <w:r>
        <w:rPr>
          <w:color w:val="292425"/>
        </w:rPr>
        <w:t>of interest,</w:t>
      </w:r>
      <w:r>
        <w:rPr>
          <w:color w:val="292425"/>
          <w:spacing w:val="1"/>
        </w:rPr>
        <w:t> </w:t>
      </w:r>
      <w:r>
        <w:rPr>
          <w:color w:val="292425"/>
        </w:rPr>
        <w:t>a</w:t>
      </w:r>
      <w:r>
        <w:rPr>
          <w:color w:val="292425"/>
          <w:spacing w:val="1"/>
        </w:rPr>
        <w:t> </w:t>
      </w:r>
      <w:r>
        <w:rPr>
          <w:color w:val="292425"/>
        </w:rPr>
        <w:t>conditional</w:t>
      </w:r>
      <w:r>
        <w:rPr>
          <w:color w:val="292425"/>
          <w:spacing w:val="1"/>
        </w:rPr>
        <w:t> </w:t>
      </w:r>
      <w:r>
        <w:rPr>
          <w:color w:val="292425"/>
        </w:rPr>
        <w:t>ARDL long-run model</w:t>
      </w:r>
      <w:r>
        <w:rPr>
          <w:color w:val="292425"/>
          <w:spacing w:val="1"/>
        </w:rPr>
        <w:t> </w:t>
      </w:r>
      <w:r>
        <w:rPr>
          <w:color w:val="292425"/>
        </w:rPr>
        <w:t>is</w:t>
      </w:r>
      <w:r>
        <w:rPr>
          <w:color w:val="292425"/>
          <w:spacing w:val="1"/>
        </w:rPr>
        <w:t> </w:t>
      </w:r>
      <w:r>
        <w:rPr>
          <w:color w:val="292425"/>
        </w:rPr>
        <w:t>estimated</w:t>
      </w:r>
      <w:r>
        <w:rPr>
          <w:color w:val="292425"/>
          <w:spacing w:val="1"/>
        </w:rPr>
        <w:t> </w:t>
      </w:r>
      <w:r>
        <w:rPr>
          <w:color w:val="292425"/>
        </w:rPr>
        <w:t>based</w:t>
      </w:r>
      <w:r>
        <w:rPr>
          <w:color w:val="292425"/>
          <w:spacing w:val="1"/>
        </w:rPr>
        <w:t> </w:t>
      </w:r>
      <w:r>
        <w:rPr>
          <w:color w:val="292425"/>
        </w:rPr>
        <w:t>on</w:t>
      </w:r>
      <w:r>
        <w:rPr>
          <w:color w:val="292425"/>
          <w:spacing w:val="1"/>
        </w:rPr>
        <w:t> </w:t>
      </w:r>
      <w:r>
        <w:rPr>
          <w:color w:val="292425"/>
        </w:rPr>
        <w:t>the</w:t>
      </w:r>
      <w:r>
        <w:rPr>
          <w:color w:val="292425"/>
          <w:spacing w:val="1"/>
        </w:rPr>
        <w:t> </w:t>
      </w:r>
      <w:r>
        <w:rPr>
          <w:color w:val="292425"/>
        </w:rPr>
        <w:t>equations provided in appendices 1 and 2 and the models are re-specified and each of it</w:t>
      </w:r>
      <w:r>
        <w:rPr>
          <w:color w:val="292425"/>
          <w:spacing w:val="1"/>
        </w:rPr>
        <w:t> </w:t>
      </w:r>
      <w:r>
        <w:rPr>
          <w:color w:val="292425"/>
        </w:rPr>
        <w:t>tries</w:t>
      </w:r>
      <w:r>
        <w:rPr>
          <w:color w:val="292425"/>
          <w:spacing w:val="-1"/>
        </w:rPr>
        <w:t> </w:t>
      </w:r>
      <w:r>
        <w:rPr>
          <w:color w:val="292425"/>
        </w:rPr>
        <w:t>to</w:t>
      </w:r>
      <w:r>
        <w:rPr>
          <w:color w:val="292425"/>
          <w:spacing w:val="-1"/>
        </w:rPr>
        <w:t> </w:t>
      </w:r>
      <w:r>
        <w:rPr>
          <w:color w:val="292425"/>
        </w:rPr>
        <w:t>capture</w:t>
      </w:r>
      <w:r>
        <w:rPr>
          <w:color w:val="292425"/>
          <w:spacing w:val="-2"/>
        </w:rPr>
        <w:t> </w:t>
      </w:r>
      <w:r>
        <w:rPr>
          <w:color w:val="292425"/>
        </w:rPr>
        <w:t>the</w:t>
      </w:r>
      <w:r>
        <w:rPr>
          <w:color w:val="292425"/>
          <w:spacing w:val="1"/>
        </w:rPr>
        <w:t> </w:t>
      </w:r>
      <w:r>
        <w:rPr>
          <w:color w:val="292425"/>
        </w:rPr>
        <w:t>error</w:t>
      </w:r>
      <w:r>
        <w:rPr>
          <w:color w:val="292425"/>
          <w:spacing w:val="2"/>
        </w:rPr>
        <w:t> </w:t>
      </w:r>
      <w:r>
        <w:rPr>
          <w:color w:val="292425"/>
        </w:rPr>
        <w:t>correction mechanism.</w:t>
      </w:r>
    </w:p>
    <w:p>
      <w:pPr>
        <w:pStyle w:val="BodyText"/>
        <w:spacing w:line="360" w:lineRule="auto" w:before="201"/>
        <w:ind w:left="811" w:right="997"/>
        <w:jc w:val="both"/>
      </w:pPr>
      <w:r>
        <w:rPr>
          <w:color w:val="292425"/>
        </w:rPr>
        <w:t>According to Alogoskoufis and Smith (1991), and Antzoulalos (1996), economic decision</w:t>
      </w:r>
      <w:r>
        <w:rPr>
          <w:color w:val="292425"/>
          <w:spacing w:val="-57"/>
        </w:rPr>
        <w:t> </w:t>
      </w:r>
      <w:r>
        <w:rPr>
          <w:color w:val="292425"/>
        </w:rPr>
        <w:t>suggests that the ECM may arise from a forward-looking behaviour, it may also reflect</w:t>
      </w:r>
      <w:r>
        <w:rPr>
          <w:color w:val="292425"/>
          <w:spacing w:val="1"/>
        </w:rPr>
        <w:t> </w:t>
      </w:r>
      <w:r>
        <w:rPr>
          <w:color w:val="292425"/>
        </w:rPr>
        <w:t>expectations</w:t>
      </w:r>
      <w:r>
        <w:rPr>
          <w:color w:val="292425"/>
          <w:spacing w:val="40"/>
        </w:rPr>
        <w:t> </w:t>
      </w:r>
      <w:r>
        <w:rPr>
          <w:color w:val="292425"/>
        </w:rPr>
        <w:t>about</w:t>
      </w:r>
      <w:r>
        <w:rPr>
          <w:color w:val="292425"/>
          <w:spacing w:val="40"/>
        </w:rPr>
        <w:t> </w:t>
      </w:r>
      <w:r>
        <w:rPr>
          <w:color w:val="292425"/>
        </w:rPr>
        <w:t>future</w:t>
      </w:r>
      <w:r>
        <w:rPr>
          <w:color w:val="292425"/>
          <w:spacing w:val="39"/>
        </w:rPr>
        <w:t> </w:t>
      </w:r>
      <w:r>
        <w:rPr>
          <w:color w:val="292425"/>
        </w:rPr>
        <w:t>events.</w:t>
      </w:r>
      <w:r>
        <w:rPr>
          <w:color w:val="292425"/>
          <w:spacing w:val="45"/>
        </w:rPr>
        <w:t> </w:t>
      </w:r>
      <w:r>
        <w:rPr>
          <w:color w:val="292425"/>
        </w:rPr>
        <w:t>That</w:t>
      </w:r>
      <w:r>
        <w:rPr>
          <w:color w:val="292425"/>
          <w:spacing w:val="40"/>
        </w:rPr>
        <w:t> </w:t>
      </w:r>
      <w:r>
        <w:rPr>
          <w:color w:val="292425"/>
        </w:rPr>
        <w:t>is,</w:t>
      </w:r>
      <w:r>
        <w:rPr>
          <w:color w:val="292425"/>
          <w:spacing w:val="40"/>
        </w:rPr>
        <w:t> </w:t>
      </w:r>
      <w:r>
        <w:rPr>
          <w:color w:val="292425"/>
        </w:rPr>
        <w:t>the</w:t>
      </w:r>
      <w:r>
        <w:rPr>
          <w:color w:val="292425"/>
          <w:spacing w:val="41"/>
        </w:rPr>
        <w:t> </w:t>
      </w:r>
      <w:r>
        <w:rPr>
          <w:color w:val="292425"/>
        </w:rPr>
        <w:t>error</w:t>
      </w:r>
      <w:r>
        <w:rPr>
          <w:color w:val="292425"/>
          <w:spacing w:val="38"/>
        </w:rPr>
        <w:t> </w:t>
      </w:r>
      <w:r>
        <w:rPr>
          <w:color w:val="292425"/>
        </w:rPr>
        <w:t>correction</w:t>
      </w:r>
      <w:r>
        <w:rPr>
          <w:color w:val="292425"/>
          <w:spacing w:val="40"/>
        </w:rPr>
        <w:t> </w:t>
      </w:r>
      <w:r>
        <w:rPr>
          <w:color w:val="292425"/>
        </w:rPr>
        <w:t>mechanism</w:t>
      </w:r>
      <w:r>
        <w:rPr>
          <w:color w:val="292425"/>
          <w:spacing w:val="40"/>
        </w:rPr>
        <w:t> </w:t>
      </w:r>
      <w:r>
        <w:rPr>
          <w:color w:val="292425"/>
        </w:rPr>
        <w:t>(ECM)</w:t>
      </w:r>
      <w:r>
        <w:rPr>
          <w:color w:val="292425"/>
          <w:spacing w:val="39"/>
        </w:rPr>
        <w:t> </w:t>
      </w:r>
      <w:r>
        <w:rPr>
          <w:color w:val="292425"/>
        </w:rPr>
        <w:t>of</w:t>
      </w:r>
      <w:r>
        <w:rPr>
          <w:color w:val="292425"/>
          <w:spacing w:val="45"/>
        </w:rPr>
        <w:t> </w:t>
      </w:r>
      <w:r>
        <w:rPr>
          <w:color w:val="292425"/>
        </w:rPr>
        <w:t>a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68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966336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18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425"/>
        </w:rPr>
        <w:t>model comprises a short-run transitory effect and a long-run relationship.   It describes</w:t>
      </w:r>
      <w:r>
        <w:rPr>
          <w:color w:val="292425"/>
          <w:spacing w:val="1"/>
        </w:rPr>
        <w:t> </w:t>
      </w:r>
      <w:r>
        <w:rPr>
          <w:color w:val="292425"/>
        </w:rPr>
        <w:t>how the long run solution is achieved via error correction feedback.</w:t>
      </w:r>
      <w:r>
        <w:rPr>
          <w:color w:val="292425"/>
          <w:spacing w:val="60"/>
        </w:rPr>
        <w:t> </w:t>
      </w:r>
      <w:r>
        <w:rPr>
          <w:color w:val="292425"/>
        </w:rPr>
        <w:t>There are two rules</w:t>
      </w:r>
      <w:r>
        <w:rPr>
          <w:color w:val="292425"/>
          <w:spacing w:val="1"/>
        </w:rPr>
        <w:t> </w:t>
      </w:r>
      <w:r>
        <w:rPr>
          <w:color w:val="292425"/>
        </w:rPr>
        <w:t>of thumb to consider when dealing with an error correction mechanism.</w:t>
      </w:r>
      <w:r>
        <w:rPr>
          <w:color w:val="292425"/>
          <w:spacing w:val="1"/>
        </w:rPr>
        <w:t> </w:t>
      </w:r>
      <w:r>
        <w:rPr>
          <w:color w:val="292425"/>
        </w:rPr>
        <w:t>Firstly, the</w:t>
      </w:r>
      <w:r>
        <w:rPr>
          <w:color w:val="292425"/>
          <w:spacing w:val="1"/>
        </w:rPr>
        <w:t> </w:t>
      </w:r>
      <w:r>
        <w:rPr>
          <w:color w:val="292425"/>
        </w:rPr>
        <w:t>coefficient should be negative and, and secondly, it must be maintained within a certain</w:t>
      </w:r>
      <w:r>
        <w:rPr>
          <w:color w:val="292425"/>
          <w:spacing w:val="1"/>
        </w:rPr>
        <w:t> </w:t>
      </w:r>
      <w:r>
        <w:rPr>
          <w:color w:val="292425"/>
        </w:rPr>
        <w:t>band.</w:t>
      </w:r>
      <w:r>
        <w:rPr>
          <w:color w:val="292425"/>
          <w:spacing w:val="1"/>
        </w:rPr>
        <w:t> </w:t>
      </w:r>
      <w:r>
        <w:rPr>
          <w:color w:val="292425"/>
        </w:rPr>
        <w:t>If not, under the assumption that the ECM is positively correlated with the future</w:t>
      </w:r>
      <w:r>
        <w:rPr>
          <w:color w:val="292425"/>
          <w:spacing w:val="1"/>
        </w:rPr>
        <w:t> </w:t>
      </w:r>
      <w:r>
        <w:rPr>
          <w:color w:val="292425"/>
        </w:rPr>
        <w:t>economic activities would be unstable and such an economy may be considered operating</w:t>
      </w:r>
      <w:r>
        <w:rPr>
          <w:color w:val="292425"/>
          <w:spacing w:val="-57"/>
        </w:rPr>
        <w:t> </w:t>
      </w:r>
      <w:r>
        <w:rPr>
          <w:color w:val="292425"/>
        </w:rPr>
        <w:t>an inconsistent system. Table 4.1 shows seven possible coefficients of ECM that may be</w:t>
      </w:r>
      <w:r>
        <w:rPr>
          <w:color w:val="292425"/>
          <w:spacing w:val="1"/>
        </w:rPr>
        <w:t> </w:t>
      </w:r>
      <w:r>
        <w:rPr>
          <w:color w:val="292425"/>
        </w:rPr>
        <w:t>obtained</w:t>
      </w:r>
      <w:r>
        <w:rPr>
          <w:color w:val="292425"/>
          <w:spacing w:val="37"/>
        </w:rPr>
        <w:t> </w:t>
      </w:r>
      <w:r>
        <w:rPr>
          <w:color w:val="292425"/>
        </w:rPr>
        <w:t>empirically</w:t>
      </w:r>
      <w:r>
        <w:rPr>
          <w:color w:val="292425"/>
          <w:spacing w:val="37"/>
        </w:rPr>
        <w:t> </w:t>
      </w:r>
      <w:r>
        <w:rPr>
          <w:color w:val="292425"/>
        </w:rPr>
        <w:t>and</w:t>
      </w:r>
      <w:r>
        <w:rPr>
          <w:color w:val="292425"/>
          <w:spacing w:val="38"/>
        </w:rPr>
        <w:t> </w:t>
      </w:r>
      <w:r>
        <w:rPr>
          <w:color w:val="292425"/>
        </w:rPr>
        <w:t>their</w:t>
      </w:r>
      <w:r>
        <w:rPr>
          <w:color w:val="292425"/>
          <w:spacing w:val="37"/>
        </w:rPr>
        <w:t> </w:t>
      </w:r>
      <w:r>
        <w:rPr>
          <w:color w:val="292425"/>
        </w:rPr>
        <w:t>interpretations.</w:t>
      </w:r>
      <w:r>
        <w:rPr>
          <w:color w:val="292425"/>
          <w:spacing w:val="21"/>
        </w:rPr>
        <w:t> </w:t>
      </w:r>
      <w:r>
        <w:rPr>
          <w:color w:val="292425"/>
        </w:rPr>
        <w:t>The</w:t>
      </w:r>
      <w:r>
        <w:rPr>
          <w:color w:val="292425"/>
          <w:spacing w:val="36"/>
        </w:rPr>
        <w:t> </w:t>
      </w:r>
      <w:r>
        <w:rPr>
          <w:color w:val="292425"/>
        </w:rPr>
        <w:t>most</w:t>
      </w:r>
      <w:r>
        <w:rPr>
          <w:color w:val="292425"/>
          <w:spacing w:val="39"/>
        </w:rPr>
        <w:t> </w:t>
      </w:r>
      <w:r>
        <w:rPr>
          <w:color w:val="292425"/>
        </w:rPr>
        <w:t>ideal</w:t>
      </w:r>
      <w:r>
        <w:rPr>
          <w:color w:val="292425"/>
          <w:spacing w:val="38"/>
        </w:rPr>
        <w:t> </w:t>
      </w:r>
      <w:r>
        <w:rPr>
          <w:color w:val="292425"/>
        </w:rPr>
        <w:t>of</w:t>
      </w:r>
      <w:r>
        <w:rPr>
          <w:color w:val="292425"/>
          <w:spacing w:val="36"/>
        </w:rPr>
        <w:t> </w:t>
      </w:r>
      <w:r>
        <w:rPr>
          <w:color w:val="292425"/>
        </w:rPr>
        <w:t>them</w:t>
      </w:r>
      <w:r>
        <w:rPr>
          <w:color w:val="292425"/>
          <w:spacing w:val="38"/>
        </w:rPr>
        <w:t> </w:t>
      </w:r>
      <w:r>
        <w:rPr>
          <w:color w:val="292425"/>
        </w:rPr>
        <w:t>all</w:t>
      </w:r>
      <w:r>
        <w:rPr>
          <w:color w:val="292425"/>
          <w:spacing w:val="38"/>
        </w:rPr>
        <w:t> </w:t>
      </w:r>
      <w:r>
        <w:rPr>
          <w:color w:val="292425"/>
        </w:rPr>
        <w:t>is</w:t>
      </w:r>
      <w:r>
        <w:rPr>
          <w:color w:val="292425"/>
          <w:spacing w:val="38"/>
        </w:rPr>
        <w:t> </w:t>
      </w:r>
      <w:r>
        <w:rPr>
          <w:color w:val="292425"/>
        </w:rPr>
        <w:t>the</w:t>
      </w:r>
      <w:r>
        <w:rPr>
          <w:color w:val="292425"/>
          <w:spacing w:val="37"/>
        </w:rPr>
        <w:t> </w:t>
      </w:r>
      <w:r>
        <w:rPr>
          <w:color w:val="292425"/>
        </w:rPr>
        <w:t>third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12"/>
        <w:ind w:left="811"/>
      </w:pPr>
      <w:r>
        <w:rPr>
          <w:color w:val="292425"/>
          <w:spacing w:val="-1"/>
        </w:rPr>
        <w:t>coefficient,</w:t>
      </w:r>
    </w:p>
    <w:p>
      <w:pPr>
        <w:pStyle w:val="BodyText"/>
        <w:spacing w:line="293" w:lineRule="exact"/>
        <w:ind w:left="95"/>
      </w:pPr>
      <w:r>
        <w:rPr/>
        <w:br w:type="column"/>
      </w:r>
      <w:r>
        <w:rPr>
          <w:rFonts w:ascii="Symbol" w:hAnsi="Symbol"/>
        </w:rPr>
        <w:t></w:t>
      </w:r>
      <w:r>
        <w:rPr/>
        <w:t>1</w:t>
      </w:r>
      <w:r>
        <w:rPr>
          <w:spacing w:val="-37"/>
        </w:rPr>
        <w:t> </w:t>
      </w:r>
      <w:r>
        <w:rPr>
          <w:rFonts w:ascii="Symbol" w:hAnsi="Symbol"/>
        </w:rPr>
        <w:t></w:t>
      </w:r>
      <w:r>
        <w:rPr>
          <w:spacing w:val="-30"/>
        </w:rPr>
        <w:t> </w:t>
      </w:r>
      <w:r>
        <w:rPr>
          <w:rFonts w:ascii="Symbol" w:hAnsi="Symbol"/>
          <w:sz w:val="25"/>
        </w:rPr>
        <w:t></w:t>
      </w:r>
      <w:r>
        <w:rPr>
          <w:spacing w:val="6"/>
          <w:sz w:val="25"/>
        </w:rPr>
        <w:t> </w:t>
      </w:r>
      <w:r>
        <w:rPr>
          <w:rFonts w:ascii="Symbol" w:hAnsi="Symbol"/>
        </w:rPr>
        <w:t></w:t>
      </w:r>
      <w:r>
        <w:rPr>
          <w:spacing w:val="-15"/>
        </w:rPr>
        <w:t> </w:t>
      </w:r>
      <w:r>
        <w:rPr/>
        <w:t>0</w:t>
      </w:r>
      <w:r>
        <w:rPr>
          <w:spacing w:val="-25"/>
        </w:rPr>
        <w:t> </w:t>
      </w:r>
      <w:r>
        <w:rPr>
          <w:color w:val="292425"/>
        </w:rPr>
        <w:t>.  </w:t>
      </w:r>
      <w:r>
        <w:rPr>
          <w:color w:val="292425"/>
          <w:spacing w:val="20"/>
        </w:rPr>
        <w:t> </w:t>
      </w:r>
      <w:r>
        <w:rPr>
          <w:color w:val="292425"/>
        </w:rPr>
        <w:t>It</w:t>
      </w:r>
      <w:r>
        <w:rPr>
          <w:color w:val="292425"/>
          <w:spacing w:val="39"/>
        </w:rPr>
        <w:t> </w:t>
      </w:r>
      <w:r>
        <w:rPr>
          <w:color w:val="292425"/>
        </w:rPr>
        <w:t>indicates</w:t>
      </w:r>
      <w:r>
        <w:rPr>
          <w:color w:val="292425"/>
          <w:spacing w:val="39"/>
        </w:rPr>
        <w:t> </w:t>
      </w:r>
      <w:r>
        <w:rPr>
          <w:color w:val="292425"/>
        </w:rPr>
        <w:t>that</w:t>
      </w:r>
      <w:r>
        <w:rPr>
          <w:color w:val="292425"/>
          <w:spacing w:val="39"/>
        </w:rPr>
        <w:t> </w:t>
      </w:r>
      <w:r>
        <w:rPr>
          <w:color w:val="292425"/>
        </w:rPr>
        <w:t>a</w:t>
      </w:r>
      <w:r>
        <w:rPr>
          <w:color w:val="292425"/>
          <w:spacing w:val="38"/>
        </w:rPr>
        <w:t> </w:t>
      </w:r>
      <w:r>
        <w:rPr>
          <w:color w:val="292425"/>
        </w:rPr>
        <w:t>stable</w:t>
      </w:r>
      <w:r>
        <w:rPr>
          <w:color w:val="292425"/>
          <w:spacing w:val="38"/>
        </w:rPr>
        <w:t> </w:t>
      </w:r>
      <w:r>
        <w:rPr>
          <w:color w:val="292425"/>
        </w:rPr>
        <w:t>process</w:t>
      </w:r>
      <w:r>
        <w:rPr>
          <w:color w:val="292425"/>
          <w:spacing w:val="39"/>
        </w:rPr>
        <w:t> </w:t>
      </w:r>
      <w:r>
        <w:rPr>
          <w:color w:val="292425"/>
        </w:rPr>
        <w:t>of</w:t>
      </w:r>
      <w:r>
        <w:rPr>
          <w:color w:val="292425"/>
          <w:spacing w:val="38"/>
        </w:rPr>
        <w:t> </w:t>
      </w:r>
      <w:r>
        <w:rPr>
          <w:color w:val="292425"/>
        </w:rPr>
        <w:t>incremental</w:t>
      </w:r>
      <w:r>
        <w:rPr>
          <w:color w:val="292425"/>
          <w:spacing w:val="39"/>
        </w:rPr>
        <w:t> </w:t>
      </w:r>
      <w:r>
        <w:rPr>
          <w:color w:val="292425"/>
        </w:rPr>
        <w:t>adjustment</w:t>
      </w:r>
      <w:r>
        <w:rPr>
          <w:color w:val="292425"/>
          <w:spacing w:val="39"/>
        </w:rPr>
        <w:t> </w:t>
      </w:r>
      <w:r>
        <w:rPr>
          <w:color w:val="292425"/>
        </w:rPr>
        <w:t>is</w:t>
      </w:r>
    </w:p>
    <w:p>
      <w:pPr>
        <w:spacing w:after="0" w:line="293" w:lineRule="exact"/>
        <w:sectPr>
          <w:type w:val="continuous"/>
          <w:pgSz w:w="12240" w:h="15840"/>
          <w:pgMar w:top="1500" w:bottom="1200" w:left="1320" w:right="440"/>
          <w:cols w:num="2" w:equalWidth="0">
            <w:col w:w="1897" w:space="40"/>
            <w:col w:w="8543"/>
          </w:cols>
        </w:sectPr>
      </w:pPr>
    </w:p>
    <w:p>
      <w:pPr>
        <w:pStyle w:val="BodyText"/>
        <w:spacing w:before="137"/>
        <w:ind w:left="811"/>
      </w:pPr>
      <w:r>
        <w:rPr>
          <w:color w:val="292425"/>
        </w:rPr>
        <w:t>attainable</w:t>
      </w:r>
      <w:r>
        <w:rPr>
          <w:color w:val="292425"/>
          <w:spacing w:val="-2"/>
        </w:rPr>
        <w:t> </w:t>
      </w:r>
      <w:r>
        <w:rPr>
          <w:color w:val="292425"/>
        </w:rPr>
        <w:t>which enables</w:t>
      </w:r>
      <w:r>
        <w:rPr>
          <w:color w:val="292425"/>
          <w:spacing w:val="1"/>
        </w:rPr>
        <w:t> </w:t>
      </w:r>
      <w:r>
        <w:rPr>
          <w:color w:val="292425"/>
        </w:rPr>
        <w:t>the economy</w:t>
      </w:r>
      <w:r>
        <w:rPr>
          <w:color w:val="292425"/>
          <w:spacing w:val="-5"/>
        </w:rPr>
        <w:t> </w:t>
      </w:r>
      <w:r>
        <w:rPr>
          <w:color w:val="292425"/>
        </w:rPr>
        <w:t>to</w:t>
      </w:r>
      <w:r>
        <w:rPr>
          <w:color w:val="292425"/>
          <w:spacing w:val="-1"/>
        </w:rPr>
        <w:t> </w:t>
      </w:r>
      <w:r>
        <w:rPr>
          <w:color w:val="292425"/>
        </w:rPr>
        <w:t>reach equilibrium within a</w:t>
      </w:r>
      <w:r>
        <w:rPr>
          <w:color w:val="292425"/>
          <w:spacing w:val="-1"/>
        </w:rPr>
        <w:t> </w:t>
      </w:r>
      <w:r>
        <w:rPr>
          <w:color w:val="292425"/>
        </w:rPr>
        <w:t>specified</w:t>
      </w:r>
      <w:r>
        <w:rPr>
          <w:color w:val="292425"/>
          <w:spacing w:val="-1"/>
        </w:rPr>
        <w:t> </w:t>
      </w:r>
      <w:r>
        <w:rPr>
          <w:color w:val="292425"/>
        </w:rPr>
        <w:t>time</w:t>
      </w:r>
      <w:r>
        <w:rPr>
          <w:color w:val="292425"/>
          <w:spacing w:val="-1"/>
        </w:rPr>
        <w:t> </w:t>
      </w:r>
      <w:r>
        <w:rPr>
          <w:color w:val="292425"/>
        </w:rPr>
        <w:t>period.</w:t>
      </w:r>
    </w:p>
    <w:p>
      <w:pPr>
        <w:spacing w:after="0"/>
        <w:sectPr>
          <w:type w:val="continuous"/>
          <w:pgSz w:w="12240" w:h="15840"/>
          <w:pgMar w:top="1500" w:bottom="1200" w:left="1320" w:right="440"/>
        </w:sectPr>
      </w:pPr>
    </w:p>
    <w:p>
      <w:pPr>
        <w:pStyle w:val="Heading2"/>
        <w:spacing w:after="42"/>
      </w:pPr>
      <w:r>
        <w:rPr/>
        <w:drawing>
          <wp:anchor distT="0" distB="0" distL="0" distR="0" allowOverlap="1" layoutInCell="1" locked="0" behindDoc="1" simplePos="0" relativeHeight="477966848">
            <wp:simplePos x="0" y="0"/>
            <wp:positionH relativeFrom="page">
              <wp:posOffset>1485138</wp:posOffset>
            </wp:positionH>
            <wp:positionV relativeFrom="paragraph">
              <wp:posOffset>1566076</wp:posOffset>
            </wp:positionV>
            <wp:extent cx="5102225" cy="5044439"/>
            <wp:effectExtent l="0" t="0" r="0" b="0"/>
            <wp:wrapNone/>
            <wp:docPr id="18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3"/>
        </w:rPr>
        <w:t> </w:t>
      </w:r>
      <w:r>
        <w:rPr/>
        <w:t>Expected Coefficients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Correction</w:t>
      </w:r>
      <w:r>
        <w:rPr>
          <w:spacing w:val="-2"/>
        </w:rPr>
        <w:t> </w:t>
      </w:r>
      <w:r>
        <w:rPr/>
        <w:t>Mechanism</w:t>
      </w:r>
      <w:r>
        <w:rPr>
          <w:spacing w:val="-5"/>
        </w:rPr>
        <w:t> </w:t>
      </w:r>
      <w:r>
        <w:rPr/>
        <w:t>(ECM)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2521"/>
        <w:gridCol w:w="5538"/>
      </w:tblGrid>
      <w:tr>
        <w:trPr>
          <w:trHeight w:val="637" w:hRule="atLeast"/>
        </w:trPr>
        <w:tc>
          <w:tcPr>
            <w:tcW w:w="828" w:type="dxa"/>
          </w:tcPr>
          <w:p>
            <w:pPr>
              <w:pStyle w:val="TableParagraph"/>
              <w:spacing w:before="224"/>
              <w:ind w:left="107"/>
              <w:rPr>
                <w:b/>
                <w:sz w:val="24"/>
              </w:rPr>
            </w:pPr>
            <w:r>
              <w:rPr>
                <w:b/>
                <w:color w:val="292425"/>
                <w:sz w:val="24"/>
              </w:rPr>
              <w:t>S/No.</w:t>
            </w:r>
          </w:p>
        </w:tc>
        <w:tc>
          <w:tcPr>
            <w:tcW w:w="2521" w:type="dxa"/>
          </w:tcPr>
          <w:p>
            <w:pPr>
              <w:pStyle w:val="TableParagraph"/>
              <w:spacing w:before="224"/>
              <w:ind w:left="107"/>
              <w:rPr>
                <w:b/>
                <w:sz w:val="24"/>
              </w:rPr>
            </w:pPr>
            <w:r>
              <w:rPr>
                <w:b/>
                <w:color w:val="292425"/>
                <w:sz w:val="24"/>
              </w:rPr>
              <w:t>Coefficient</w:t>
            </w:r>
          </w:p>
        </w:tc>
        <w:tc>
          <w:tcPr>
            <w:tcW w:w="5538" w:type="dxa"/>
          </w:tcPr>
          <w:p>
            <w:pPr>
              <w:pStyle w:val="TableParagraph"/>
              <w:spacing w:before="224"/>
              <w:ind w:left="107"/>
              <w:rPr>
                <w:b/>
                <w:sz w:val="24"/>
              </w:rPr>
            </w:pPr>
            <w:r>
              <w:rPr>
                <w:b/>
                <w:color w:val="292425"/>
                <w:sz w:val="24"/>
              </w:rPr>
              <w:t>Interpretation</w:t>
            </w:r>
          </w:p>
        </w:tc>
      </w:tr>
      <w:tr>
        <w:trPr>
          <w:trHeight w:val="621" w:hRule="atLeast"/>
        </w:trPr>
        <w:tc>
          <w:tcPr>
            <w:tcW w:w="828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i</w:t>
            </w:r>
          </w:p>
        </w:tc>
        <w:tc>
          <w:tcPr>
            <w:tcW w:w="2521" w:type="dxa"/>
          </w:tcPr>
          <w:p>
            <w:pPr>
              <w:pStyle w:val="TableParagraph"/>
              <w:spacing w:before="173"/>
              <w:ind w:left="125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</w:t>
            </w:r>
            <w:r>
              <w:rPr>
                <w:spacing w:val="15"/>
                <w:sz w:val="25"/>
              </w:rPr>
              <w:t> </w:t>
            </w:r>
            <w:r>
              <w:rPr>
                <w:rFonts w:ascii="Symbol" w:hAnsi="Symbol"/>
                <w:sz w:val="24"/>
              </w:rPr>
              <w:t>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5538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The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model is explosive</w:t>
            </w:r>
          </w:p>
        </w:tc>
      </w:tr>
      <w:tr>
        <w:trPr>
          <w:trHeight w:val="530" w:hRule="atLeast"/>
        </w:trPr>
        <w:tc>
          <w:tcPr>
            <w:tcW w:w="828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ii</w:t>
            </w:r>
          </w:p>
        </w:tc>
        <w:tc>
          <w:tcPr>
            <w:tcW w:w="2521" w:type="dxa"/>
          </w:tcPr>
          <w:p>
            <w:pPr>
              <w:pStyle w:val="TableParagraph"/>
              <w:spacing w:before="81"/>
              <w:ind w:left="125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</w:t>
            </w:r>
            <w:r>
              <w:rPr>
                <w:spacing w:val="15"/>
                <w:sz w:val="25"/>
              </w:rPr>
              <w:t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5538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The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model does not adjust</w:t>
            </w:r>
          </w:p>
        </w:tc>
      </w:tr>
      <w:tr>
        <w:trPr>
          <w:trHeight w:val="618" w:hRule="atLeast"/>
        </w:trPr>
        <w:tc>
          <w:tcPr>
            <w:tcW w:w="828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iii</w:t>
            </w:r>
          </w:p>
        </w:tc>
        <w:tc>
          <w:tcPr>
            <w:tcW w:w="2521" w:type="dxa"/>
          </w:tcPr>
          <w:p>
            <w:pPr>
              <w:pStyle w:val="TableParagraph"/>
              <w:spacing w:before="170"/>
              <w:ind w:left="1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spacing w:val="-26"/>
                <w:sz w:val="24"/>
              </w:rPr>
              <w:t> </w:t>
            </w:r>
            <w:r>
              <w:rPr>
                <w:rFonts w:ascii="Symbol" w:hAnsi="Symbol"/>
                <w:sz w:val="25"/>
              </w:rPr>
              <w:t></w:t>
            </w:r>
            <w:r>
              <w:rPr>
                <w:spacing w:val="13"/>
                <w:sz w:val="25"/>
              </w:rPr>
              <w:t>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5538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Stable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process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of adjustment</w:t>
            </w:r>
          </w:p>
        </w:tc>
      </w:tr>
      <w:tr>
        <w:trPr>
          <w:trHeight w:val="621" w:hRule="atLeast"/>
        </w:trPr>
        <w:tc>
          <w:tcPr>
            <w:tcW w:w="828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iv</w:t>
            </w:r>
          </w:p>
        </w:tc>
        <w:tc>
          <w:tcPr>
            <w:tcW w:w="2521" w:type="dxa"/>
          </w:tcPr>
          <w:p>
            <w:pPr>
              <w:pStyle w:val="TableParagraph"/>
              <w:spacing w:before="173"/>
              <w:ind w:left="125"/>
              <w:rPr>
                <w:sz w:val="24"/>
              </w:rPr>
            </w:pPr>
            <w:r>
              <w:rPr>
                <w:rFonts w:ascii="Symbol" w:hAnsi="Symbol"/>
                <w:spacing w:val="-4"/>
                <w:w w:val="105"/>
                <w:sz w:val="25"/>
              </w:rPr>
              <w:t></w:t>
            </w:r>
            <w:r>
              <w:rPr>
                <w:spacing w:val="9"/>
                <w:w w:val="105"/>
                <w:sz w:val="25"/>
              </w:rPr>
              <w:t> </w:t>
            </w:r>
            <w:r>
              <w:rPr>
                <w:rFonts w:ascii="Symbol" w:hAnsi="Symbol"/>
                <w:spacing w:val="-4"/>
                <w:w w:val="105"/>
                <w:sz w:val="24"/>
              </w:rPr>
              <w:t>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rFonts w:ascii="Symbol" w:hAnsi="Symbol"/>
                <w:spacing w:val="-4"/>
                <w:w w:val="105"/>
                <w:sz w:val="24"/>
              </w:rPr>
              <w:t></w:t>
            </w:r>
            <w:r>
              <w:rPr>
                <w:spacing w:val="-4"/>
                <w:w w:val="105"/>
                <w:sz w:val="24"/>
              </w:rPr>
              <w:t>1</w:t>
            </w:r>
          </w:p>
        </w:tc>
        <w:tc>
          <w:tcPr>
            <w:tcW w:w="5538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The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model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is too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perfect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and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adjusts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in one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period</w:t>
            </w:r>
          </w:p>
        </w:tc>
      </w:tr>
      <w:tr>
        <w:trPr>
          <w:trHeight w:val="619" w:hRule="atLeast"/>
        </w:trPr>
        <w:tc>
          <w:tcPr>
            <w:tcW w:w="828" w:type="dxa"/>
          </w:tcPr>
          <w:p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v</w:t>
            </w:r>
          </w:p>
        </w:tc>
        <w:tc>
          <w:tcPr>
            <w:tcW w:w="2521" w:type="dxa"/>
          </w:tcPr>
          <w:p>
            <w:pPr>
              <w:pStyle w:val="TableParagraph"/>
              <w:spacing w:before="170"/>
              <w:ind w:left="144"/>
              <w:rPr>
                <w:sz w:val="24"/>
              </w:rPr>
            </w:pPr>
            <w:r>
              <w:rPr>
                <w:rFonts w:ascii="Symbol" w:hAnsi="Symbol"/>
                <w:spacing w:val="-3"/>
                <w:w w:val="105"/>
                <w:sz w:val="24"/>
              </w:rPr>
              <w:t></w:t>
            </w:r>
            <w:r>
              <w:rPr>
                <w:spacing w:val="-3"/>
                <w:w w:val="105"/>
                <w:sz w:val="24"/>
              </w:rPr>
              <w:t>2</w:t>
            </w:r>
            <w:r>
              <w:rPr>
                <w:spacing w:val="-22"/>
                <w:w w:val="105"/>
                <w:sz w:val="24"/>
              </w:rPr>
              <w:t> </w:t>
            </w:r>
            <w:r>
              <w:rPr>
                <w:rFonts w:ascii="Symbol" w:hAnsi="Symbol"/>
                <w:spacing w:val="-2"/>
                <w:w w:val="105"/>
                <w:sz w:val="24"/>
              </w:rPr>
              <w:t></w:t>
            </w:r>
            <w:r>
              <w:rPr>
                <w:spacing w:val="-34"/>
                <w:w w:val="105"/>
                <w:sz w:val="24"/>
              </w:rPr>
              <w:t> </w:t>
            </w:r>
            <w:r>
              <w:rPr>
                <w:rFonts w:ascii="Symbol" w:hAnsi="Symbol"/>
                <w:spacing w:val="-2"/>
                <w:w w:val="105"/>
                <w:sz w:val="25"/>
              </w:rPr>
              <w:t></w:t>
            </w:r>
            <w:r>
              <w:rPr>
                <w:spacing w:val="2"/>
                <w:w w:val="105"/>
                <w:sz w:val="25"/>
              </w:rPr>
              <w:t> </w:t>
            </w:r>
            <w:r>
              <w:rPr>
                <w:rFonts w:ascii="Symbol" w:hAnsi="Symbol"/>
                <w:spacing w:val="-2"/>
                <w:w w:val="105"/>
                <w:sz w:val="24"/>
              </w:rPr>
              <w:t>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rFonts w:ascii="Symbol" w:hAnsi="Symbol"/>
                <w:spacing w:val="-2"/>
                <w:w w:val="105"/>
                <w:sz w:val="24"/>
              </w:rPr>
              <w:t></w:t>
            </w:r>
            <w:r>
              <w:rPr>
                <w:spacing w:val="-2"/>
                <w:w w:val="105"/>
                <w:sz w:val="24"/>
              </w:rPr>
              <w:t>1</w:t>
            </w:r>
          </w:p>
        </w:tc>
        <w:tc>
          <w:tcPr>
            <w:tcW w:w="5538" w:type="dxa"/>
          </w:tcPr>
          <w:p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Overshooting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adjustment</w:t>
            </w:r>
          </w:p>
        </w:tc>
      </w:tr>
      <w:tr>
        <w:trPr>
          <w:trHeight w:val="530" w:hRule="atLeast"/>
        </w:trPr>
        <w:tc>
          <w:tcPr>
            <w:tcW w:w="828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vi</w:t>
            </w:r>
          </w:p>
        </w:tc>
        <w:tc>
          <w:tcPr>
            <w:tcW w:w="2521" w:type="dxa"/>
          </w:tcPr>
          <w:p>
            <w:pPr>
              <w:pStyle w:val="TableParagraph"/>
              <w:spacing w:before="81"/>
              <w:ind w:left="125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</w:t>
            </w:r>
            <w:r>
              <w:rPr>
                <w:spacing w:val="15"/>
                <w:sz w:val="25"/>
              </w:rPr>
              <w:t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9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2</w:t>
            </w:r>
          </w:p>
        </w:tc>
        <w:tc>
          <w:tcPr>
            <w:tcW w:w="5538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The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model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continuously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oscillates</w:t>
            </w:r>
          </w:p>
        </w:tc>
      </w:tr>
      <w:tr>
        <w:trPr>
          <w:trHeight w:val="621" w:hRule="atLeast"/>
        </w:trPr>
        <w:tc>
          <w:tcPr>
            <w:tcW w:w="828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vii</w:t>
            </w:r>
          </w:p>
        </w:tc>
        <w:tc>
          <w:tcPr>
            <w:tcW w:w="2521" w:type="dxa"/>
          </w:tcPr>
          <w:p>
            <w:pPr>
              <w:pStyle w:val="TableParagraph"/>
              <w:spacing w:before="172"/>
              <w:ind w:left="125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</w:t>
            </w:r>
            <w:r>
              <w:rPr>
                <w:spacing w:val="10"/>
                <w:sz w:val="25"/>
              </w:rPr>
              <w:t> </w:t>
            </w:r>
            <w:r>
              <w:rPr>
                <w:rFonts w:ascii="Symbol" w:hAnsi="Symbol"/>
                <w:sz w:val="24"/>
              </w:rPr>
              <w:t></w:t>
            </w:r>
            <w:r>
              <w:rPr>
                <w:spacing w:val="-8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2</w:t>
            </w:r>
          </w:p>
        </w:tc>
        <w:tc>
          <w:tcPr>
            <w:tcW w:w="5538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color w:val="292425"/>
                <w:sz w:val="24"/>
              </w:rPr>
              <w:t>The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model is explosive</w:t>
            </w:r>
          </w:p>
        </w:tc>
      </w:tr>
    </w:tbl>
    <w:p>
      <w:pPr>
        <w:pStyle w:val="BodyText"/>
        <w:spacing w:line="360" w:lineRule="auto"/>
        <w:ind w:left="1531" w:right="1210" w:hanging="720"/>
      </w:pPr>
      <w:r>
        <w:rPr>
          <w:i/>
          <w:color w:val="292425"/>
        </w:rPr>
        <w:t>Source: </w:t>
      </w:r>
      <w:r>
        <w:rPr>
          <w:color w:val="292425"/>
        </w:rPr>
        <w:t>Compiled from the works of Alogoskoufis and Smith (1991), and Antzoulalous</w:t>
      </w:r>
      <w:r>
        <w:rPr>
          <w:color w:val="292425"/>
          <w:spacing w:val="-57"/>
        </w:rPr>
        <w:t> </w:t>
      </w:r>
      <w:r>
        <w:rPr>
          <w:color w:val="292425"/>
        </w:rPr>
        <w:t>(1996).</w:t>
      </w:r>
    </w:p>
    <w:p>
      <w:pPr>
        <w:spacing w:after="0" w:line="360" w:lineRule="auto"/>
        <w:sectPr>
          <w:pgSz w:w="12240" w:h="15840"/>
          <w:pgMar w:header="0" w:footer="1015" w:top="1480" w:bottom="1200" w:left="1320" w:right="440"/>
        </w:sectPr>
      </w:pPr>
    </w:p>
    <w:p>
      <w:pPr>
        <w:pStyle w:val="Heading2"/>
        <w:numPr>
          <w:ilvl w:val="1"/>
          <w:numId w:val="15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26" w:id="47"/>
      <w:r>
        <w:rPr/>
        <w:t>Definition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47"/>
      <w:r>
        <w:rPr/>
        <w:t>data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t>This research used time series data spanning from 1975 to 2010.</w:t>
      </w:r>
      <w:r>
        <w:rPr>
          <w:spacing w:val="1"/>
        </w:rPr>
        <w:t> </w:t>
      </w:r>
      <w:r>
        <w:rPr/>
        <w:t>This has been the period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exchange</w:t>
      </w:r>
      <w:r>
        <w:rPr>
          <w:spacing w:val="60"/>
        </w:rPr>
        <w:t> </w:t>
      </w:r>
      <w:r>
        <w:rPr/>
        <w:t>rate</w:t>
      </w:r>
      <w:r>
        <w:rPr>
          <w:spacing w:val="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collapsed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Bretton Wood system</w:t>
      </w:r>
      <w:r>
        <w:rPr>
          <w:spacing w:val="-1"/>
        </w:rPr>
        <w:t> </w:t>
      </w:r>
      <w:r>
        <w:rPr/>
        <w:t>in 1973.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9"/>
        <w:jc w:val="both"/>
      </w:pPr>
      <w:r>
        <w:rPr/>
        <w:drawing>
          <wp:anchor distT="0" distB="0" distL="0" distR="0" allowOverlap="1" layoutInCell="1" locked="0" behindDoc="1" simplePos="0" relativeHeight="477967360">
            <wp:simplePos x="0" y="0"/>
            <wp:positionH relativeFrom="page">
              <wp:posOffset>1485138</wp:posOffset>
            </wp:positionH>
            <wp:positionV relativeFrom="paragraph">
              <wp:posOffset>238799</wp:posOffset>
            </wp:positionV>
            <wp:extent cx="5102225" cy="5044439"/>
            <wp:effectExtent l="0" t="0" r="0" b="0"/>
            <wp:wrapNone/>
            <wp:docPr id="18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analyses utilized both quarterly and annual data series based on the availability of the</w:t>
      </w:r>
      <w:r>
        <w:rPr>
          <w:spacing w:val="-57"/>
        </w:rPr>
        <w:t> </w:t>
      </w:r>
      <w:r>
        <w:rPr/>
        <w:t>time series data from the official sources.</w:t>
      </w:r>
      <w:r>
        <w:rPr>
          <w:spacing w:val="1"/>
        </w:rPr>
        <w:t> </w:t>
      </w:r>
      <w:r>
        <w:rPr/>
        <w:t>The quarterly data are used in the estimation of</w:t>
      </w:r>
      <w:r>
        <w:rPr>
          <w:spacing w:val="-57"/>
        </w:rPr>
        <w:t> </w:t>
      </w:r>
      <w:r>
        <w:rPr/>
        <w:t>three equations. (i) The imports equation; (ii) the exports equations, and (iii) the exchange</w:t>
      </w:r>
      <w:r>
        <w:rPr>
          <w:spacing w:val="-57"/>
        </w:rPr>
        <w:t> </w:t>
      </w:r>
      <w:r>
        <w:rPr/>
        <w:t>rate pass-through equation.</w:t>
      </w:r>
      <w:r>
        <w:rPr>
          <w:spacing w:val="1"/>
        </w:rPr>
        <w:t> </w:t>
      </w:r>
      <w:r>
        <w:rPr/>
        <w:t>While annual data is used in the estimation of the FDI</w:t>
      </w:r>
      <w:r>
        <w:rPr>
          <w:spacing w:val="1"/>
        </w:rPr>
        <w:t> </w:t>
      </w:r>
      <w:r>
        <w:rPr/>
        <w:t>equation as the data series of the main variables (FDI, GGDP and Openness) are only</w:t>
      </w:r>
      <w:r>
        <w:rPr>
          <w:spacing w:val="1"/>
        </w:rPr>
        <w:t> </w:t>
      </w:r>
      <w:r>
        <w:rPr/>
        <w:t>available on annual basis. The value of FDI is expressed in US Dollars as provided by</w:t>
      </w:r>
      <w:r>
        <w:rPr>
          <w:spacing w:val="1"/>
        </w:rPr>
        <w:t> </w:t>
      </w:r>
      <w:r>
        <w:rPr/>
        <w:t>WDI.</w:t>
      </w:r>
      <w:r>
        <w:rPr>
          <w:spacing w:val="1"/>
        </w:rPr>
        <w:t> </w:t>
      </w:r>
      <w:r>
        <w:rPr/>
        <w:t>The variables considered in the analysis and their descriptions are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1"/>
          <w:numId w:val="15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25" w:id="48"/>
      <w:r>
        <w:rPr/>
        <w:t>Data</w:t>
      </w:r>
      <w:r>
        <w:rPr>
          <w:spacing w:val="-3"/>
        </w:rPr>
        <w:t> </w:t>
      </w:r>
      <w:bookmarkEnd w:id="48"/>
      <w:r>
        <w:rPr/>
        <w:t>Sources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Financial</w:t>
      </w:r>
      <w:r>
        <w:rPr>
          <w:i/>
          <w:spacing w:val="1"/>
        </w:rPr>
        <w:t> </w:t>
      </w:r>
      <w:r>
        <w:rPr>
          <w:i/>
        </w:rPr>
        <w:t>Statistics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Monetary Fund (IFS/IMF) CD ROM.</w:t>
      </w:r>
      <w:r>
        <w:rPr>
          <w:spacing w:val="1"/>
        </w:rPr>
        <w:t> </w:t>
      </w:r>
      <w:r>
        <w:rPr/>
        <w:t>Data from the following institutions</w:t>
      </w:r>
      <w:r>
        <w:rPr>
          <w:spacing w:val="1"/>
        </w:rPr>
        <w:t> </w:t>
      </w:r>
      <w:r>
        <w:rPr/>
        <w:t>were also obtained;</w:t>
      </w:r>
      <w:r>
        <w:rPr>
          <w:spacing w:val="1"/>
        </w:rPr>
        <w:t> </w:t>
      </w:r>
      <w:r>
        <w:rPr/>
        <w:t>the World Development Indicators (WDI), the Central Bank of Sierra</w:t>
      </w:r>
      <w:r>
        <w:rPr>
          <w:spacing w:val="-57"/>
        </w:rPr>
        <w:t> </w:t>
      </w:r>
      <w:r>
        <w:rPr/>
        <w:t>Leone, and the Statistics Sierra Leone various bulletins and annual reports augmented to</w:t>
      </w:r>
      <w:r>
        <w:rPr>
          <w:spacing w:val="1"/>
        </w:rPr>
        <w:t> </w:t>
      </w:r>
      <w:r>
        <w:rPr/>
        <w:t>fill gaps in the data from the IMF.</w:t>
      </w:r>
      <w:r>
        <w:rPr>
          <w:spacing w:val="1"/>
        </w:rPr>
        <w:t> </w:t>
      </w:r>
      <w:r>
        <w:rPr/>
        <w:t>This, in no way affected the statistical analysis of the</w:t>
      </w:r>
      <w:r>
        <w:rPr>
          <w:spacing w:val="1"/>
        </w:rPr>
        <w:t> </w:t>
      </w:r>
      <w:r>
        <w:rPr/>
        <w:t>series.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and descriptions of</w:t>
      </w:r>
      <w:r>
        <w:rPr>
          <w:spacing w:val="-1"/>
        </w:rPr>
        <w:t> </w:t>
      </w:r>
      <w:r>
        <w:rPr/>
        <w:t>the variables are</w:t>
      </w:r>
      <w:r>
        <w:rPr>
          <w:spacing w:val="-2"/>
        </w:rPr>
        <w:t> </w:t>
      </w:r>
      <w:r>
        <w:rPr/>
        <w:t>presented in Table 4.2.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spacing w:before="76" w:after="4"/>
        <w:ind w:left="1171" w:right="0" w:firstLine="0"/>
        <w:jc w:val="left"/>
        <w:rPr>
          <w:b/>
          <w:sz w:val="24"/>
        </w:rPr>
      </w:pPr>
      <w:r>
        <w:rPr/>
        <w:pict>
          <v:group style="position:absolute;margin-left:112.580002pt;margin-top:197.339996pt;width:406.15pt;height:397.2pt;mso-position-horizontal-relative:page;mso-position-vertical-relative:page;z-index:-25348608" coordorigin="2252,3947" coordsize="8123,7944">
            <v:shape style="position:absolute;left:2338;top:3946;width:8035;height:7944" type="#_x0000_t75" stroked="false">
              <v:imagedata r:id="rId18" o:title=""/>
            </v:shape>
            <v:shape style="position:absolute;left:2251;top:10925;width:42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Source: </w:t>
                    </w: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 IFS/IMF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CD-ROM,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2012.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5348096" from="444.985556pt,300.650085pt" to="440.670319pt,314.106567pt" stroked="true" strokeweight=".592921pt" strokecolor="#000000">
            <v:stroke dashstyle="solid"/>
            <w10:wrap type="none"/>
          </v:lin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Variables</w:t>
      </w:r>
    </w:p>
    <w:tbl>
      <w:tblPr>
        <w:tblW w:w="0" w:type="auto"/>
        <w:jc w:val="left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2619"/>
        <w:gridCol w:w="1232"/>
        <w:gridCol w:w="4019"/>
      </w:tblGrid>
      <w:tr>
        <w:trPr>
          <w:trHeight w:val="276" w:hRule="atLeast"/>
        </w:trPr>
        <w:tc>
          <w:tcPr>
            <w:tcW w:w="818" w:type="dxa"/>
          </w:tcPr>
          <w:p>
            <w:pPr>
              <w:pStyle w:val="TableParagraph"/>
              <w:spacing w:line="256" w:lineRule="exact"/>
              <w:ind w:left="10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S/No.</w:t>
            </w:r>
          </w:p>
        </w:tc>
        <w:tc>
          <w:tcPr>
            <w:tcW w:w="2619" w:type="dxa"/>
          </w:tcPr>
          <w:p>
            <w:pPr>
              <w:pStyle w:val="TableParagraph"/>
              <w:spacing w:line="256" w:lineRule="exact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/>
              <w:ind w:left="20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Symbol</w:t>
            </w:r>
          </w:p>
        </w:tc>
        <w:tc>
          <w:tcPr>
            <w:tcW w:w="4019" w:type="dxa"/>
          </w:tcPr>
          <w:p>
            <w:pPr>
              <w:pStyle w:val="TableParagraph"/>
              <w:spacing w:line="256" w:lineRule="exact"/>
              <w:ind w:left="1394" w:right="1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551" w:hRule="atLeast"/>
        </w:trPr>
        <w:tc>
          <w:tcPr>
            <w:tcW w:w="818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Payments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207" w:right="201"/>
              <w:jc w:val="center"/>
              <w:rPr>
                <w:sz w:val="24"/>
              </w:rPr>
            </w:pPr>
            <w:r>
              <w:rPr>
                <w:sz w:val="24"/>
              </w:rPr>
              <w:t>BoP</w:t>
            </w:r>
          </w:p>
        </w:tc>
        <w:tc>
          <w:tcPr>
            <w:tcW w:w="401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country‘s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Payments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(CAB+FAB+KAB)</w:t>
            </w:r>
          </w:p>
        </w:tc>
      </w:tr>
      <w:tr>
        <w:trPr>
          <w:trHeight w:val="827" w:hRule="atLeast"/>
        </w:trPr>
        <w:tc>
          <w:tcPr>
            <w:tcW w:w="818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>
            <w:pPr>
              <w:pStyle w:val="TableParagraph"/>
              <w:ind w:left="108" w:right="889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207" w:right="201"/>
              <w:jc w:val="center"/>
              <w:rPr>
                <w:sz w:val="24"/>
              </w:rPr>
            </w:pPr>
            <w:r>
              <w:rPr>
                <w:sz w:val="24"/>
              </w:rPr>
              <w:t>CAB</w:t>
            </w:r>
          </w:p>
        </w:tc>
        <w:tc>
          <w:tcPr>
            <w:tcW w:w="4019" w:type="dxa"/>
          </w:tcPr>
          <w:p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z w:val="24"/>
              </w:rPr>
              <w:t>Includes: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Goods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trade,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(Investment)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income and current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transfer.</w:t>
            </w:r>
          </w:p>
        </w:tc>
      </w:tr>
      <w:tr>
        <w:trPr>
          <w:trHeight w:val="554" w:hRule="atLeast"/>
        </w:trPr>
        <w:tc>
          <w:tcPr>
            <w:tcW w:w="818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1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Balance</w:t>
            </w:r>
          </w:p>
        </w:tc>
        <w:tc>
          <w:tcPr>
            <w:tcW w:w="1232" w:type="dxa"/>
          </w:tcPr>
          <w:p>
            <w:pPr>
              <w:pStyle w:val="TableParagraph"/>
              <w:spacing w:line="270" w:lineRule="exact"/>
              <w:ind w:left="207" w:right="199"/>
              <w:jc w:val="center"/>
              <w:rPr>
                <w:sz w:val="24"/>
              </w:rPr>
            </w:pPr>
            <w:r>
              <w:rPr>
                <w:sz w:val="24"/>
              </w:rPr>
              <w:t>FAB</w:t>
            </w:r>
          </w:p>
        </w:tc>
        <w:tc>
          <w:tcPr>
            <w:tcW w:w="401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Includes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investment,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portfolio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investment.</w:t>
            </w:r>
          </w:p>
        </w:tc>
      </w:tr>
      <w:tr>
        <w:trPr>
          <w:trHeight w:val="827" w:hRule="atLeast"/>
        </w:trPr>
        <w:tc>
          <w:tcPr>
            <w:tcW w:w="818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207" w:right="199"/>
              <w:jc w:val="center"/>
              <w:rPr>
                <w:sz w:val="24"/>
              </w:rPr>
            </w:pPr>
            <w:r>
              <w:rPr>
                <w:sz w:val="24"/>
              </w:rPr>
              <w:t>KAB</w:t>
            </w:r>
          </w:p>
        </w:tc>
        <w:tc>
          <w:tcPr>
            <w:tcW w:w="401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Mostly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records aid inflows and other</w:t>
            </w:r>
          </w:p>
          <w:p>
            <w:pPr>
              <w:pStyle w:val="TableParagraph"/>
              <w:spacing w:line="270" w:lineRule="atLeast"/>
              <w:ind w:left="107" w:right="887"/>
              <w:rPr>
                <w:sz w:val="24"/>
              </w:rPr>
            </w:pPr>
            <w:r>
              <w:rPr>
                <w:sz w:val="24"/>
              </w:rPr>
              <w:t>flows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investment.</w:t>
            </w:r>
          </w:p>
        </w:tc>
      </w:tr>
      <w:tr>
        <w:trPr>
          <w:trHeight w:val="275" w:hRule="atLeast"/>
        </w:trPr>
        <w:tc>
          <w:tcPr>
            <w:tcW w:w="818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1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Exports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/>
              <w:ind w:left="207" w:right="198"/>
              <w:jc w:val="center"/>
              <w:rPr>
                <w:sz w:val="24"/>
              </w:rPr>
            </w:pPr>
            <w:r>
              <w:rPr>
                <w:sz w:val="24"/>
              </w:rPr>
              <w:t>EX</w:t>
            </w:r>
          </w:p>
        </w:tc>
        <w:tc>
          <w:tcPr>
            <w:tcW w:w="401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exports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</w:tr>
      <w:tr>
        <w:trPr>
          <w:trHeight w:val="276" w:hRule="atLeast"/>
        </w:trPr>
        <w:tc>
          <w:tcPr>
            <w:tcW w:w="818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1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Imports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IM</w:t>
            </w:r>
          </w:p>
        </w:tc>
        <w:tc>
          <w:tcPr>
            <w:tcW w:w="401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imports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</w:tr>
      <w:tr>
        <w:trPr>
          <w:trHeight w:val="551" w:hRule="atLeast"/>
        </w:trPr>
        <w:tc>
          <w:tcPr>
            <w:tcW w:w="818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tabs>
                <w:tab w:pos="1907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Foreign</w:t>
              <w:tab/>
              <w:t>Direct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inflows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207" w:right="197"/>
              <w:jc w:val="center"/>
              <w:rPr>
                <w:sz w:val="24"/>
              </w:rPr>
            </w:pPr>
            <w:r>
              <w:rPr>
                <w:sz w:val="24"/>
              </w:rPr>
              <w:t>FDI</w:t>
            </w:r>
          </w:p>
        </w:tc>
        <w:tc>
          <w:tcPr>
            <w:tcW w:w="4019" w:type="dxa"/>
          </w:tcPr>
          <w:p>
            <w:pPr>
              <w:pStyle w:val="TableParagraph"/>
              <w:tabs>
                <w:tab w:pos="906" w:val="left" w:leader="none"/>
                <w:tab w:pos="1945" w:val="left" w:leader="none"/>
                <w:tab w:pos="2841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  <w:tab/>
              <w:t>Foreign</w:t>
              <w:tab/>
              <w:t>Direct</w:t>
              <w:tab/>
              <w:t>Investment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inflows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USD‘Millions)</w:t>
            </w:r>
          </w:p>
        </w:tc>
      </w:tr>
      <w:tr>
        <w:trPr>
          <w:trHeight w:val="441" w:hRule="atLeast"/>
        </w:trPr>
        <w:tc>
          <w:tcPr>
            <w:tcW w:w="818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207" w:right="199"/>
              <w:jc w:val="center"/>
              <w:rPr>
                <w:sz w:val="24"/>
              </w:rPr>
            </w:pPr>
            <w:r>
              <w:rPr>
                <w:sz w:val="24"/>
              </w:rPr>
              <w:t>RER</w:t>
            </w:r>
          </w:p>
        </w:tc>
        <w:tc>
          <w:tcPr>
            <w:tcW w:w="4019" w:type="dxa"/>
          </w:tcPr>
          <w:p>
            <w:pPr>
              <w:pStyle w:val="TableParagraph"/>
              <w:spacing w:line="391" w:lineRule="exact"/>
              <w:ind w:left="150"/>
              <w:rPr>
                <w:rFonts w:ascii="Symbol" w:hAnsi="Symbol"/>
                <w:sz w:val="37"/>
              </w:rPr>
            </w:pPr>
            <w:r>
              <w:rPr>
                <w:i/>
                <w:w w:val="95"/>
                <w:sz w:val="24"/>
              </w:rPr>
              <w:t>RER</w:t>
            </w:r>
            <w:r>
              <w:rPr>
                <w:i/>
                <w:spacing w:val="1"/>
                <w:w w:val="95"/>
                <w:sz w:val="24"/>
              </w:rPr>
              <w:t> </w:t>
            </w:r>
            <w:r>
              <w:rPr>
                <w:rFonts w:ascii="Symbol" w:hAnsi="Symbol"/>
                <w:w w:val="95"/>
                <w:sz w:val="24"/>
              </w:rPr>
              <w:t>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i/>
                <w:w w:val="95"/>
                <w:sz w:val="24"/>
              </w:rPr>
              <w:t>NER</w:t>
            </w:r>
            <w:r>
              <w:rPr>
                <w:i/>
                <w:spacing w:val="-32"/>
                <w:w w:val="95"/>
                <w:sz w:val="24"/>
              </w:rPr>
              <w:t> </w:t>
            </w:r>
            <w:r>
              <w:rPr>
                <w:rFonts w:ascii="Symbol" w:hAnsi="Symbol"/>
                <w:w w:val="95"/>
                <w:position w:val="-2"/>
                <w:sz w:val="37"/>
              </w:rPr>
              <w:t></w:t>
            </w:r>
            <w:r>
              <w:rPr>
                <w:i/>
                <w:w w:val="95"/>
                <w:sz w:val="24"/>
              </w:rPr>
              <w:t>CPI</w:t>
            </w:r>
            <w:r>
              <w:rPr>
                <w:i/>
                <w:spacing w:val="-32"/>
                <w:w w:val="95"/>
                <w:sz w:val="24"/>
              </w:rPr>
              <w:t> </w:t>
            </w:r>
            <w:r>
              <w:rPr>
                <w:w w:val="95"/>
                <w:sz w:val="24"/>
                <w:vertAlign w:val="superscript"/>
              </w:rPr>
              <w:t>*</w:t>
            </w:r>
            <w:r>
              <w:rPr>
                <w:spacing w:val="1"/>
                <w:w w:val="95"/>
                <w:sz w:val="24"/>
                <w:vertAlign w:val="baseline"/>
              </w:rPr>
              <w:t> </w:t>
            </w:r>
            <w:r>
              <w:rPr>
                <w:i/>
                <w:w w:val="95"/>
                <w:sz w:val="24"/>
                <w:vertAlign w:val="baseline"/>
              </w:rPr>
              <w:t>CPI</w:t>
            </w:r>
            <w:r>
              <w:rPr>
                <w:i/>
                <w:spacing w:val="-15"/>
                <w:w w:val="95"/>
                <w:sz w:val="24"/>
                <w:vertAlign w:val="baseline"/>
              </w:rPr>
              <w:t> </w:t>
            </w:r>
            <w:r>
              <w:rPr>
                <w:rFonts w:ascii="Symbol" w:hAnsi="Symbol"/>
                <w:w w:val="95"/>
                <w:position w:val="-2"/>
                <w:sz w:val="37"/>
                <w:vertAlign w:val="baseline"/>
              </w:rPr>
              <w:t></w:t>
            </w:r>
          </w:p>
        </w:tc>
      </w:tr>
      <w:tr>
        <w:trPr>
          <w:trHeight w:val="827" w:hRule="atLeast"/>
        </w:trPr>
        <w:tc>
          <w:tcPr>
            <w:tcW w:w="818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19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Real Effective Exchange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207" w:right="201"/>
              <w:jc w:val="center"/>
              <w:rPr>
                <w:sz w:val="24"/>
              </w:rPr>
            </w:pPr>
            <w:r>
              <w:rPr>
                <w:sz w:val="24"/>
              </w:rPr>
              <w:t>REER</w:t>
            </w:r>
          </w:p>
        </w:tc>
        <w:tc>
          <w:tcPr>
            <w:tcW w:w="4019" w:type="dxa"/>
          </w:tcPr>
          <w:p>
            <w:pPr>
              <w:pStyle w:val="TableParagraph"/>
              <w:tabs>
                <w:tab w:pos="628" w:val="left" w:leader="none"/>
                <w:tab w:pos="1282" w:val="left" w:leader="none"/>
                <w:tab w:pos="2948" w:val="left" w:leader="none"/>
                <w:tab w:pos="3711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  <w:tab/>
              <w:t>total</w:t>
              <w:tab/>
              <w:t>trade-weighted</w:t>
              <w:tab/>
              <w:t>index</w:t>
              <w:tab/>
              <w:t>of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bilateral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rates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partners. (Period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averages)</w:t>
            </w:r>
          </w:p>
        </w:tc>
      </w:tr>
      <w:tr>
        <w:trPr>
          <w:trHeight w:val="275" w:hRule="atLeast"/>
        </w:trPr>
        <w:tc>
          <w:tcPr>
            <w:tcW w:w="818" w:type="dxa"/>
          </w:tcPr>
          <w:p>
            <w:pPr>
              <w:pStyle w:val="TableParagraph"/>
              <w:spacing w:line="256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1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/>
              <w:ind w:left="207" w:right="200"/>
              <w:jc w:val="center"/>
              <w:rPr>
                <w:sz w:val="24"/>
              </w:rPr>
            </w:pPr>
            <w:r>
              <w:rPr>
                <w:sz w:val="24"/>
              </w:rPr>
              <w:t>NER</w:t>
            </w:r>
          </w:p>
        </w:tc>
        <w:tc>
          <w:tcPr>
            <w:tcW w:w="401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Leone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US$ (Le/US$)</w:t>
            </w:r>
          </w:p>
        </w:tc>
      </w:tr>
      <w:tr>
        <w:trPr>
          <w:trHeight w:val="275" w:hRule="atLeast"/>
        </w:trPr>
        <w:tc>
          <w:tcPr>
            <w:tcW w:w="818" w:type="dxa"/>
          </w:tcPr>
          <w:p>
            <w:pPr>
              <w:pStyle w:val="TableParagraph"/>
              <w:spacing w:line="256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1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/>
              <w:ind w:left="207" w:right="198"/>
              <w:jc w:val="center"/>
              <w:rPr>
                <w:sz w:val="24"/>
              </w:rPr>
            </w:pPr>
            <w:r>
              <w:rPr>
                <w:sz w:val="24"/>
              </w:rPr>
              <w:t>CPI</w:t>
            </w:r>
          </w:p>
        </w:tc>
        <w:tc>
          <w:tcPr>
            <w:tcW w:w="401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Country‘s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CPI</w:t>
            </w:r>
          </w:p>
        </w:tc>
      </w:tr>
      <w:tr>
        <w:trPr>
          <w:trHeight w:val="275" w:hRule="atLeast"/>
        </w:trPr>
        <w:tc>
          <w:tcPr>
            <w:tcW w:w="818" w:type="dxa"/>
          </w:tcPr>
          <w:p>
            <w:pPr>
              <w:pStyle w:val="TableParagraph"/>
              <w:spacing w:line="256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1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(Domestic)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/>
              <w:ind w:left="207" w:right="197"/>
              <w:jc w:val="center"/>
              <w:rPr>
                <w:sz w:val="24"/>
              </w:rPr>
            </w:pPr>
            <w:r>
              <w:rPr>
                <w:sz w:val="24"/>
              </w:rPr>
              <w:t>GDP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401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Prices</w:t>
            </w:r>
          </w:p>
        </w:tc>
      </w:tr>
      <w:tr>
        <w:trPr>
          <w:trHeight w:val="275" w:hRule="atLeast"/>
        </w:trPr>
        <w:tc>
          <w:tcPr>
            <w:tcW w:w="818" w:type="dxa"/>
          </w:tcPr>
          <w:p>
            <w:pPr>
              <w:pStyle w:val="TableParagraph"/>
              <w:spacing w:line="256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1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GDP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(Foreign)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/>
              <w:ind w:left="207" w:right="200"/>
              <w:jc w:val="center"/>
              <w:rPr>
                <w:sz w:val="24"/>
              </w:rPr>
            </w:pPr>
            <w:r>
              <w:rPr>
                <w:sz w:val="24"/>
              </w:rPr>
              <w:t>GDP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401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Prices</w:t>
            </w:r>
          </w:p>
        </w:tc>
      </w:tr>
      <w:tr>
        <w:trPr>
          <w:trHeight w:val="278" w:hRule="atLeast"/>
        </w:trPr>
        <w:tc>
          <w:tcPr>
            <w:tcW w:w="818" w:type="dxa"/>
          </w:tcPr>
          <w:p>
            <w:pPr>
              <w:pStyle w:val="TableParagraph"/>
              <w:spacing w:line="258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1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1232" w:type="dxa"/>
          </w:tcPr>
          <w:p>
            <w:pPr>
              <w:pStyle w:val="TableParagraph"/>
              <w:spacing w:line="258" w:lineRule="exact"/>
              <w:ind w:left="207" w:right="195"/>
              <w:jc w:val="center"/>
              <w:rPr>
                <w:sz w:val="24"/>
              </w:rPr>
            </w:pPr>
            <w:r>
              <w:rPr>
                <w:sz w:val="24"/>
              </w:rPr>
              <w:t>WPI</w:t>
            </w:r>
          </w:p>
        </w:tc>
        <w:tc>
          <w:tcPr>
            <w:tcW w:w="401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275" w:hRule="atLeast"/>
        </w:trPr>
        <w:tc>
          <w:tcPr>
            <w:tcW w:w="818" w:type="dxa"/>
          </w:tcPr>
          <w:p>
            <w:pPr>
              <w:pStyle w:val="TableParagraph"/>
              <w:spacing w:line="256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1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GDP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GGDP</w:t>
            </w:r>
          </w:p>
        </w:tc>
        <w:tc>
          <w:tcPr>
            <w:tcW w:w="401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GDP</w:t>
            </w:r>
          </w:p>
        </w:tc>
      </w:tr>
      <w:tr>
        <w:trPr>
          <w:trHeight w:val="827" w:hRule="atLeast"/>
        </w:trPr>
        <w:tc>
          <w:tcPr>
            <w:tcW w:w="818" w:type="dxa"/>
          </w:tcPr>
          <w:p>
            <w:pPr>
              <w:pStyle w:val="TableParagraph"/>
              <w:spacing w:line="268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207" w:right="199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401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quasi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Broad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(End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value)</w:t>
            </w:r>
          </w:p>
        </w:tc>
      </w:tr>
      <w:tr>
        <w:trPr>
          <w:trHeight w:val="551" w:hRule="atLeast"/>
        </w:trPr>
        <w:tc>
          <w:tcPr>
            <w:tcW w:w="818" w:type="dxa"/>
          </w:tcPr>
          <w:p>
            <w:pPr>
              <w:pStyle w:val="TableParagraph"/>
              <w:spacing w:line="268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Credit</w:t>
            </w:r>
          </w:p>
        </w:tc>
        <w:tc>
          <w:tcPr>
            <w:tcW w:w="1232" w:type="dxa"/>
          </w:tcPr>
          <w:p>
            <w:pPr>
              <w:pStyle w:val="TableParagraph"/>
              <w:spacing w:line="268" w:lineRule="exact"/>
              <w:ind w:left="207" w:right="199"/>
              <w:jc w:val="center"/>
              <w:rPr>
                <w:sz w:val="24"/>
              </w:rPr>
            </w:pPr>
            <w:r>
              <w:rPr>
                <w:sz w:val="24"/>
              </w:rPr>
              <w:t>DC</w:t>
            </w:r>
          </w:p>
        </w:tc>
        <w:tc>
          <w:tcPr>
            <w:tcW w:w="401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Claims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Sector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(End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period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value).</w:t>
            </w:r>
          </w:p>
        </w:tc>
      </w:tr>
      <w:tr>
        <w:trPr>
          <w:trHeight w:val="275" w:hRule="atLeast"/>
        </w:trPr>
        <w:tc>
          <w:tcPr>
            <w:tcW w:w="818" w:type="dxa"/>
          </w:tcPr>
          <w:p>
            <w:pPr>
              <w:pStyle w:val="TableParagraph"/>
              <w:spacing w:line="256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1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232" w:type="dxa"/>
          </w:tcPr>
          <w:p>
            <w:pPr>
              <w:pStyle w:val="TableParagraph"/>
              <w:spacing w:line="256" w:lineRule="exact"/>
              <w:ind w:left="201" w:right="201"/>
              <w:jc w:val="center"/>
              <w:rPr>
                <w:sz w:val="24"/>
              </w:rPr>
            </w:pPr>
            <w:r>
              <w:rPr>
                <w:sz w:val="24"/>
              </w:rPr>
              <w:t>IR</w:t>
            </w:r>
          </w:p>
        </w:tc>
        <w:tc>
          <w:tcPr>
            <w:tcW w:w="401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Treasury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Bill 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(percent 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annum)</w:t>
            </w:r>
          </w:p>
        </w:tc>
      </w:tr>
      <w:tr>
        <w:trPr>
          <w:trHeight w:val="277" w:hRule="atLeast"/>
        </w:trPr>
        <w:tc>
          <w:tcPr>
            <w:tcW w:w="818" w:type="dxa"/>
          </w:tcPr>
          <w:p>
            <w:pPr>
              <w:pStyle w:val="TableParagraph"/>
              <w:spacing w:line="258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1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Openness</w:t>
            </w:r>
          </w:p>
        </w:tc>
        <w:tc>
          <w:tcPr>
            <w:tcW w:w="1232" w:type="dxa"/>
          </w:tcPr>
          <w:p>
            <w:pPr>
              <w:pStyle w:val="TableParagraph"/>
              <w:spacing w:line="258" w:lineRule="exact"/>
              <w:ind w:left="207" w:right="200"/>
              <w:jc w:val="center"/>
              <w:rPr>
                <w:sz w:val="24"/>
              </w:rPr>
            </w:pPr>
            <w:r>
              <w:rPr>
                <w:sz w:val="24"/>
              </w:rPr>
              <w:t>Open</w:t>
            </w:r>
          </w:p>
        </w:tc>
        <w:tc>
          <w:tcPr>
            <w:tcW w:w="401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nominal GDP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30"/>
        <w:ind w:left="136"/>
      </w:pPr>
      <w:bookmarkStart w:name="_TOC_250024" w:id="49"/>
      <w:r>
        <w:rPr/>
        <w:t>CHAPTER</w:t>
      </w:r>
      <w:r>
        <w:rPr>
          <w:spacing w:val="-4"/>
        </w:rPr>
        <w:t> </w:t>
      </w:r>
      <w:bookmarkEnd w:id="49"/>
      <w:r>
        <w:rPr/>
        <w:t>FIVE</w:t>
      </w:r>
    </w:p>
    <w:p>
      <w:pPr>
        <w:pStyle w:val="Heading1"/>
        <w:spacing w:before="161"/>
        <w:ind w:left="0" w:right="880"/>
      </w:pPr>
      <w:r>
        <w:rPr/>
        <w:drawing>
          <wp:anchor distT="0" distB="0" distL="0" distR="0" allowOverlap="1" layoutInCell="1" locked="0" behindDoc="1" simplePos="0" relativeHeight="477968896">
            <wp:simplePos x="0" y="0"/>
            <wp:positionH relativeFrom="page">
              <wp:posOffset>1265440</wp:posOffset>
            </wp:positionH>
            <wp:positionV relativeFrom="paragraph">
              <wp:posOffset>472952</wp:posOffset>
            </wp:positionV>
            <wp:extent cx="5102212" cy="5044439"/>
            <wp:effectExtent l="0" t="0" r="0" b="0"/>
            <wp:wrapNone/>
            <wp:docPr id="19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12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3" w:id="50"/>
      <w:r>
        <w:rPr/>
        <w:t>MODEL</w:t>
      </w:r>
      <w:r>
        <w:rPr>
          <w:spacing w:val="-2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INTERPRETATION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50"/>
      <w:r>
        <w:rPr/>
        <w:t>RESULTS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7"/>
        </w:rPr>
      </w:pPr>
    </w:p>
    <w:p>
      <w:pPr>
        <w:pStyle w:val="BodyText"/>
        <w:spacing w:line="360" w:lineRule="auto"/>
        <w:ind w:left="120" w:right="998"/>
        <w:jc w:val="both"/>
      </w:pPr>
      <w:r>
        <w:rPr/>
        <w:t>The prima facia of this chapter is to provide the analysis of the model and interpretation of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Distinctively, the statistical properties of the time series data that justify the adequacy of</w:t>
      </w:r>
      <w:r>
        <w:rPr>
          <w:spacing w:val="1"/>
        </w:rPr>
        <w:t> </w:t>
      </w:r>
      <w:r>
        <w:rPr/>
        <w:t>the estimation techniques are provided in this chapter.</w:t>
      </w:r>
      <w:r>
        <w:rPr>
          <w:spacing w:val="1"/>
        </w:rPr>
        <w:t> </w:t>
      </w:r>
      <w:r>
        <w:rPr/>
        <w:t>This is followed by the results of the</w:t>
      </w:r>
      <w:r>
        <w:rPr>
          <w:spacing w:val="1"/>
        </w:rPr>
        <w:t> </w:t>
      </w:r>
      <w:r>
        <w:rPr/>
        <w:t>behavioural equations that empirically show both the long run and short run relationship between</w:t>
      </w:r>
      <w:r>
        <w:rPr>
          <w:spacing w:val="-57"/>
        </w:rPr>
        <w:t> </w:t>
      </w:r>
      <w:r>
        <w:rPr/>
        <w:t>exchange rate and balance of payments generally, and each of the components of the balance of</w:t>
      </w:r>
      <w:r>
        <w:rPr>
          <w:spacing w:val="1"/>
        </w:rPr>
        <w:t> </w:t>
      </w:r>
      <w:r>
        <w:rPr/>
        <w:t>payments in Sierra Leone.</w:t>
      </w:r>
      <w:r>
        <w:rPr>
          <w:spacing w:val="1"/>
        </w:rPr>
        <w:t> </w:t>
      </w:r>
      <w:r>
        <w:rPr/>
        <w:t>Also provided are the diagnostic tests to validate the estimated</w:t>
      </w:r>
      <w:r>
        <w:rPr>
          <w:spacing w:val="1"/>
        </w:rPr>
        <w:t> </w:t>
      </w:r>
      <w:r>
        <w:rPr/>
        <w:t>equations.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</w:pPr>
      <w:bookmarkStart w:name="_TOC_250022" w:id="51"/>
      <w:r>
        <w:rPr/>
        <w:t>Statistical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bookmarkEnd w:id="51"/>
      <w:r>
        <w:rPr/>
        <w:t>Variables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120" w:right="1002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data.</w:t>
      </w:r>
      <w:r>
        <w:rPr>
          <w:spacing w:val="61"/>
        </w:rPr>
        <w:t> </w:t>
      </w:r>
      <w:r>
        <w:rPr/>
        <w:t>Specifically,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 and</w:t>
      </w:r>
      <w:r>
        <w:rPr>
          <w:spacing w:val="1"/>
        </w:rPr>
        <w:t> </w:t>
      </w:r>
      <w:r>
        <w:rPr/>
        <w:t>unit</w:t>
      </w:r>
      <w:r>
        <w:rPr>
          <w:spacing w:val="-1"/>
        </w:rPr>
        <w:t> </w:t>
      </w:r>
      <w:r>
        <w:rPr/>
        <w:t>roots condition of the</w:t>
      </w:r>
      <w:r>
        <w:rPr>
          <w:spacing w:val="-2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are considered.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2"/>
          <w:numId w:val="16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721"/>
        <w:jc w:val="left"/>
      </w:pPr>
      <w:bookmarkStart w:name="_TOC_250021" w:id="52"/>
      <w:r>
        <w:rPr/>
        <w:t>Descriptive</w:t>
      </w:r>
      <w:r>
        <w:rPr>
          <w:spacing w:val="-4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52"/>
      <w:r>
        <w:rPr/>
        <w:t>Variables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120" w:right="996"/>
        <w:jc w:val="both"/>
      </w:pPr>
      <w:r>
        <w:rPr/>
        <w:t>The descriptive statistics, which describes the basic features of the variables in the study, are</w:t>
      </w:r>
      <w:r>
        <w:rPr>
          <w:spacing w:val="1"/>
        </w:rPr>
        <w:t> </w:t>
      </w:r>
      <w:r>
        <w:rPr/>
        <w:t>shown in Table 5.1.</w:t>
      </w:r>
      <w:r>
        <w:rPr>
          <w:spacing w:val="1"/>
        </w:rPr>
        <w:t> </w:t>
      </w:r>
      <w:r>
        <w:rPr/>
        <w:t>The characteristics of the time series data indicate that the variables are</w:t>
      </w:r>
      <w:r>
        <w:rPr>
          <w:spacing w:val="1"/>
        </w:rPr>
        <w:t> </w:t>
      </w:r>
      <w:r>
        <w:rPr/>
        <w:t>relatively evenly distributed.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skewness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disparity is not wide and the Jarque-Bera statistics of the variables indicate none rejection of the</w:t>
      </w:r>
      <w:r>
        <w:rPr>
          <w:spacing w:val="1"/>
        </w:rPr>
        <w:t> </w:t>
      </w:r>
      <w:r>
        <w:rPr/>
        <w:t>null hypothesis of a normal distribution at relatively one percent and five percent levels of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as specified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 high probability</w:t>
      </w:r>
      <w:r>
        <w:rPr>
          <w:spacing w:val="-5"/>
        </w:rPr>
        <w:t> </w:t>
      </w:r>
      <w:r>
        <w:rPr/>
        <w:t>values.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20" w:right="1000"/>
        <w:jc w:val="both"/>
      </w:pPr>
      <w:r>
        <w:rPr/>
        <w:t>Comparison of the statistical properties of some of the variables presents interesting discussions.</w:t>
      </w:r>
      <w:r>
        <w:rPr>
          <w:spacing w:val="1"/>
        </w:rPr>
        <w:t> </w:t>
      </w:r>
      <w:r>
        <w:rPr/>
        <w:t>Even</w:t>
      </w:r>
      <w:r>
        <w:rPr>
          <w:spacing w:val="15"/>
        </w:rPr>
        <w:t> </w:t>
      </w:r>
      <w:r>
        <w:rPr/>
        <w:t>though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mean</w:t>
      </w:r>
      <w:r>
        <w:rPr>
          <w:spacing w:val="16"/>
        </w:rPr>
        <w:t> </w:t>
      </w:r>
      <w:r>
        <w:rPr/>
        <w:t>values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imports</w:t>
      </w:r>
      <w:r>
        <w:rPr>
          <w:spacing w:val="16"/>
        </w:rPr>
        <w:t> </w:t>
      </w:r>
      <w:r>
        <w:rPr/>
        <w:t>exceeded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exports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relatively</w:t>
      </w:r>
      <w:r>
        <w:rPr>
          <w:spacing w:val="11"/>
        </w:rPr>
        <w:t> </w:t>
      </w:r>
      <w:r>
        <w:rPr/>
        <w:t>some</w:t>
      </w:r>
      <w:r>
        <w:rPr>
          <w:spacing w:val="16"/>
        </w:rPr>
        <w:t> </w:t>
      </w:r>
      <w:r>
        <w:rPr/>
        <w:t>margin</w:t>
      </w:r>
      <w:r>
        <w:rPr>
          <w:spacing w:val="17"/>
        </w:rPr>
        <w:t> </w:t>
      </w:r>
      <w:r>
        <w:rPr/>
        <w:t>of</w:t>
      </w:r>
    </w:p>
    <w:p>
      <w:pPr>
        <w:spacing w:after="0" w:line="360" w:lineRule="auto"/>
        <w:jc w:val="both"/>
        <w:sectPr>
          <w:footerReference w:type="default" r:id="rId25"/>
          <w:pgSz w:w="12240" w:h="15840"/>
          <w:pgMar w:footer="1015" w:header="0" w:top="1500" w:bottom="1200" w:left="1320" w:right="440"/>
        </w:sectPr>
      </w:pPr>
    </w:p>
    <w:p>
      <w:pPr>
        <w:pStyle w:val="BodyText"/>
        <w:spacing w:line="360" w:lineRule="auto" w:before="74"/>
        <w:ind w:left="120" w:right="1003"/>
        <w:jc w:val="both"/>
      </w:pPr>
      <w:r>
        <w:rPr/>
        <w:drawing>
          <wp:anchor distT="0" distB="0" distL="0" distR="0" allowOverlap="1" layoutInCell="1" locked="0" behindDoc="1" simplePos="0" relativeHeight="477969408">
            <wp:simplePos x="0" y="0"/>
            <wp:positionH relativeFrom="page">
              <wp:posOffset>1265440</wp:posOffset>
            </wp:positionH>
            <wp:positionV relativeFrom="paragraph">
              <wp:posOffset>1642403</wp:posOffset>
            </wp:positionV>
            <wp:extent cx="5102212" cy="5044439"/>
            <wp:effectExtent l="0" t="0" r="0" b="0"/>
            <wp:wrapNone/>
            <wp:docPr id="19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12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US$ 0.30bn, this is however, a significant amount considering the size of the Sierra Leonean</w:t>
      </w:r>
      <w:r>
        <w:rPr>
          <w:spacing w:val="1"/>
        </w:rPr>
        <w:t> </w:t>
      </w:r>
      <w:r>
        <w:rPr/>
        <w:t>economy being small.</w:t>
      </w:r>
      <w:r>
        <w:rPr>
          <w:spacing w:val="1"/>
        </w:rPr>
        <w:t> </w:t>
      </w:r>
      <w:r>
        <w:rPr/>
        <w:t>The maximum and minimum statistics depict that on the average imports</w:t>
      </w:r>
      <w:r>
        <w:rPr>
          <w:spacing w:val="1"/>
        </w:rPr>
        <w:t> </w:t>
      </w:r>
      <w:r>
        <w:rPr/>
        <w:t>had been higher than exports. This implies that the country persistently experienced trade deficits</w:t>
      </w:r>
      <w:r>
        <w:rPr>
          <w:spacing w:val="-57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period.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spacing w:after="42"/>
        <w:ind w:left="120"/>
      </w:pPr>
      <w:r>
        <w:rPr/>
        <w:pict>
          <v:shape style="position:absolute;margin-left:264pt;margin-top:129.333130pt;width:237.4pt;height:230.5pt;mso-position-horizontal-relative:page;mso-position-vertical-relative:paragraph;z-index:-25346048" coordorigin="5280,2587" coordsize="4748,4610" path="m6257,7139l6256,7136,6254,7129,6251,7126,5960,6835,5922,6763,5734,6402,5658,6257,5647,6237,5637,6225,5633,6222,5623,6220,5618,6222,5611,6226,5598,6237,5582,6252,5577,6259,5570,6268,5568,6273,5566,6281,5566,6284,5571,6297,5575,6302,5733,6595,5769,6659,5832,6767,5831,6768,5656,6668,5583,6629,5437,6551,5359,6508,5350,6505,5346,6504,5338,6505,5334,6507,5329,6509,5324,6513,5312,6523,5296,6539,5286,6551,5282,6557,5280,6562,5282,6572,5285,6576,5291,6581,5297,6586,5318,6598,5390,6636,5752,6824,5896,6900,6186,7190,6190,7193,6196,7196,6200,7196,6204,7195,6208,7194,6218,7189,6223,7185,6229,7181,6241,7168,6246,7163,6249,7158,6254,7148,6255,7143,6257,7139xm6928,6407l6928,6370,6922,6332,6912,6292,6896,6251,6877,6209,6853,6165,6824,6121,6815,6109,6815,6380,6811,6406,6802,6431,6787,6455,6769,6477,6747,6496,6724,6510,6699,6520,6674,6524,6648,6525,6621,6523,6593,6516,6563,6505,6534,6491,6503,6473,6472,6453,6440,6429,6407,6403,6374,6374,6341,6343,6306,6309,6276,6278,6248,6247,6221,6215,6195,6183,6172,6152,6153,6121,6136,6090,6123,6059,6112,6030,6105,6001,6101,5973,6101,5946,6105,5919,6114,5895,6128,5871,6147,5850,6169,5831,6191,5817,6216,5807,6241,5802,6268,5802,6295,5805,6323,5811,6352,5822,6382,5836,6413,5853,6444,5873,6475,5896,6508,5922,6540,5950,6573,5980,6606,6012,6637,6044,6666,6076,6693,6108,6718,6140,6742,6172,6762,6203,6779,6234,6793,6264,6804,6295,6811,6324,6815,6352,6815,6380,6815,6109,6791,6076,6754,6030,6713,5984,6667,5937,6620,5891,6575,5850,6530,5814,6514,5802,6486,5781,6444,5753,6403,5730,6363,5712,6324,5698,6287,5689,6250,5684,6216,5685,6182,5689,6150,5698,6119,5713,6090,5732,6062,5757,6037,5786,6017,5816,6002,5849,5993,5883,5989,5919,5990,5956,5995,5994,6005,6034,6020,6075,6040,6117,6063,6160,6092,6204,6124,6249,6161,6294,6201,6339,6245,6385,6293,6431,6339,6473,6385,6510,6429,6543,6471,6572,6513,6595,6553,6614,6592,6628,6629,6638,6665,6643,6700,6642,6734,6638,6767,6629,6798,6614,6827,6595,6855,6570,6881,6541,6891,6525,6901,6510,6915,6478,6924,6443,6928,6407xm7226,6170l7226,6166,7223,6159,7221,6156,6893,5828,7063,5658,7064,5655,7064,5648,7063,5644,7058,5635,7054,5629,7039,5611,7023,5595,7015,5588,7009,5583,7003,5578,6998,5575,6990,5571,6986,5570,6982,5570,6979,5570,6977,5571,6807,5742,6541,5477,6722,5296,6723,5294,6723,5291,6722,5283,6717,5274,6713,5268,6697,5250,6689,5242,6681,5234,6662,5217,6647,5208,6643,5208,6636,5207,6634,5208,6407,5435,6404,5444,6406,5454,6408,5464,6413,5474,6421,5484,6431,5495,7156,6221,7159,6223,7167,6226,7170,6226,7174,6225,7178,6224,7188,6219,7193,6215,7199,6211,7211,6198,7219,6188,7224,6178,7225,6174,7226,6170xm7755,5641l7754,5638,7752,5631,7749,5628,7746,5625,6994,4873,6991,4870,6984,4868,6981,4867,6976,4868,6972,4869,6963,4874,6952,4882,6940,4895,6932,4905,6927,4915,6926,4919,6925,4923,6925,4927,6928,4934,6930,4938,7685,5692,7688,5695,7695,5698,7698,5698,7702,5696,7707,5696,7717,5690,7727,5682,7740,5670,7744,5664,7748,5659,7753,5650,7753,5645,7755,5641xm8110,5214l8110,5197,8108,5181,8105,5164,8102,5147,8096,5129,8090,5112,8082,5094,8073,5076,8063,5058,8051,5039,8037,5021,8023,5003,8006,4985,8000,4977,8000,5180,7999,5194,7997,5207,7994,5220,7989,5232,7982,5244,7974,5256,7964,5267,7870,5361,7595,5086,7672,5009,7678,5003,7688,4995,7703,4983,7717,4974,7732,4967,7747,4963,7762,4961,7778,4960,7793,4961,7809,4965,7825,4970,7842,4977,7858,4986,7875,4996,7892,5009,7909,5024,7927,5040,7942,5057,7955,5073,7967,5089,7977,5105,7985,5120,7991,5136,7995,5151,7998,5165,8000,5180,8000,4977,7989,4966,7982,4960,7969,4947,7949,4930,7929,4915,7908,4901,7888,4889,7868,4878,7849,4870,7844,4868,7830,4863,7812,4858,7793,4855,7776,4853,7759,4853,7743,4854,7727,4858,7713,4862,7700,4868,7702,4855,7702,4841,7702,4827,7700,4812,7697,4798,7693,4783,7688,4768,7682,4753,7675,4739,7667,4724,7658,4710,7647,4695,7636,4680,7625,4666,7618,4658,7618,4852,7618,4866,7616,4879,7612,4892,7606,4905,7597,4917,7586,4930,7513,5003,7260,4751,7327,4684,7340,4671,7354,4661,7367,4653,7380,4648,7393,4645,7405,4643,7419,4643,7431,4644,7445,4648,7459,4653,7472,4660,7486,4668,7500,4678,7514,4689,7528,4701,7542,4714,7554,4727,7566,4741,7577,4754,7587,4768,7595,4783,7603,4797,7609,4811,7613,4824,7616,4838,7618,4852,7618,4658,7612,4652,7604,4643,7599,4638,7575,4616,7552,4596,7529,4579,7506,4564,7483,4552,7460,4542,7438,4534,7416,4530,7394,4528,7373,4529,7352,4532,7331,4538,7310,4547,7289,4560,7268,4576,7246,4596,7135,4707,7130,4712,7127,4721,7128,4732,7131,4741,7136,4751,7143,4762,7154,4773,7849,5469,7860,5479,7871,5487,7881,5491,7890,5493,7901,5495,7910,5492,8041,5361,8043,5360,8056,5346,8067,5332,8077,5318,8085,5304,8092,5290,8098,5276,8103,5261,8106,5245,8108,5230,8110,5214xm8674,4728l8673,4724,8671,4719,8668,4713,8663,4708,8657,4703,8649,4697,8638,4690,8543,4629,8263,4453,8263,4564,8094,4733,7833,4328,7789,4261,7789,4260,7789,4260,8263,4564,8263,4453,7958,4260,7751,4129,7745,4126,7740,4123,7735,4121,7730,4120,7726,4121,7716,4124,7710,4127,7704,4132,7698,4136,7692,4143,7684,4151,7676,4158,7670,4164,7666,4170,7662,4175,7659,4181,7658,4186,7656,4191,7655,4195,7657,4199,7658,4204,7661,4209,7664,4214,7707,4283,8024,4785,8225,5102,8232,5113,8238,5121,8243,5126,8248,5132,8254,5135,8258,5137,8263,5138,8268,5136,8274,5133,8279,5129,8286,5123,8300,5109,8305,5103,8309,5098,8313,5093,8315,5088,8315,5083,8316,5079,8316,5076,8314,5071,8313,5068,8311,5064,8308,5059,8271,5003,8160,4832,8259,4733,8363,4629,8594,4778,8599,4780,8603,4782,8607,4783,8610,4785,8614,4785,8617,4783,8622,4783,8626,4781,8632,4777,8637,4773,8643,4767,8659,4751,8664,4744,8668,4739,8672,4734,8674,4728xm8977,4313l8975,4275,8968,4235,8956,4194,8939,4152,8917,4108,8890,4062,8867,4029,8867,4277,8866,4304,8861,4330,8852,4355,8840,4380,8822,4404,8801,4427,8734,4494,8127,3887,8193,3821,8219,3798,8244,3781,8271,3768,8298,3761,8326,3758,8354,3759,8383,3763,8413,3770,8444,3781,8475,3796,8506,3813,8538,3834,8570,3858,8602,3884,8634,3912,8666,3942,8703,3981,8737,4019,8767,4055,8792,4090,8814,4124,8832,4157,8847,4189,8857,4219,8864,4249,8867,4277,8867,4029,8858,4016,8820,3969,8778,3920,8730,3870,8686,3828,8642,3790,8601,3758,8599,3756,8556,3727,8514,3702,8473,3681,8432,3665,8392,3652,8354,3645,8316,3642,8279,3644,8244,3650,8209,3662,8176,3679,8143,3702,8111,3731,7995,3847,7992,3856,7993,3867,7996,3876,8001,3886,8008,3896,8019,3908,8714,4603,8726,4614,8736,4621,8746,4626,8755,4628,8766,4630,8775,4627,8884,4518,8906,4494,8912,4487,8936,4454,8954,4420,8967,4386,8974,4350,8977,4313xm9594,3808l9593,3803,9591,3798,9588,3793,9583,3788,9577,3783,9570,3777,9559,3770,9464,3709,9183,3533,9183,3644,9014,3813,8753,3408,8709,3340,8709,3340,9183,3644,9183,3533,8878,3340,8671,3209,8665,3206,8660,3203,8650,3200,8646,3201,8641,3202,8636,3204,8630,3207,8625,3212,8619,3216,8612,3223,8604,3231,8590,3244,8582,3255,8579,3261,8578,3266,8576,3271,8576,3275,8577,3279,8578,3284,8581,3289,8584,3294,8671,3431,8943,3863,8972,3909,9145,4182,9152,4193,9158,4201,9163,4206,9168,4212,9174,4215,9183,4218,9188,4216,9194,4213,9199,4209,9206,4203,9220,4189,9225,4183,9229,4178,9233,4173,9235,4168,9235,4163,9236,4159,9236,4155,9234,4151,9233,4148,9231,4144,9228,4139,9080,3912,9179,3813,9283,3709,9514,3857,9519,3860,9523,3862,9527,3863,9530,3864,9534,3865,9537,3863,9542,3863,9546,3861,9552,3856,9557,3853,9579,3831,9584,3824,9588,3819,9592,3814,9594,3808xm10028,3365l10026,3352,10023,3345,10016,3330,10010,3322,10002,3315,9279,2592,9276,2590,9269,2587,9265,2587,9256,2588,9252,2590,9247,2594,9236,2602,9224,2614,9213,2629,9210,2634,9209,2643,9210,2647,9211,2650,9212,2654,9214,2657,9665,3107,9840,3280,9840,3280,9691,3203,9613,3162,9552,3133,9455,3084,9227,2970,9075,2894,9051,2883,9032,2874,9020,2870,9010,2867,9001,2867,8992,2867,8984,2867,8970,2874,8963,2879,8917,2925,8914,2935,8915,2947,8918,2957,8923,2967,8931,2978,8941,2990,9664,3713,9667,3715,9670,3716,9674,3718,9678,3718,9682,3717,9686,3717,9696,3711,9706,3704,9719,3691,9727,3680,9730,3675,9732,3671,9732,3666,9734,3662,9734,3659,9731,3651,9729,3648,9187,3107,9075,2997,9076,2997,9122,3022,9219,3073,9340,3134,9711,3318,9858,3392,9887,3406,9926,3422,9939,3425,9949,3426,9959,3427,9968,3426,9975,3423,9983,3421,9990,3416,10021,3384,10024,3380,10027,3370,10028,3365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5.1:</w:t>
      </w:r>
      <w:r>
        <w:rPr>
          <w:spacing w:val="-3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</w:t>
      </w: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963"/>
        <w:gridCol w:w="704"/>
        <w:gridCol w:w="875"/>
        <w:gridCol w:w="793"/>
        <w:gridCol w:w="812"/>
        <w:gridCol w:w="1081"/>
        <w:gridCol w:w="1028"/>
        <w:gridCol w:w="952"/>
        <w:gridCol w:w="918"/>
        <w:gridCol w:w="690"/>
      </w:tblGrid>
      <w:tr>
        <w:trPr>
          <w:trHeight w:val="690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S/No.</w:t>
            </w:r>
          </w:p>
        </w:tc>
        <w:tc>
          <w:tcPr>
            <w:tcW w:w="96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Variable</w:t>
            </w:r>
          </w:p>
        </w:tc>
        <w:tc>
          <w:tcPr>
            <w:tcW w:w="704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87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Median</w:t>
            </w:r>
          </w:p>
        </w:tc>
        <w:tc>
          <w:tcPr>
            <w:tcW w:w="79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Max.</w:t>
            </w:r>
          </w:p>
        </w:tc>
        <w:tc>
          <w:tcPr>
            <w:tcW w:w="81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Min.</w:t>
            </w:r>
          </w:p>
        </w:tc>
        <w:tc>
          <w:tcPr>
            <w:tcW w:w="1081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right="1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Std.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Dev.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Skewness</w:t>
            </w:r>
          </w:p>
        </w:tc>
        <w:tc>
          <w:tcPr>
            <w:tcW w:w="95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Kurtosis</w:t>
            </w:r>
          </w:p>
        </w:tc>
        <w:tc>
          <w:tcPr>
            <w:tcW w:w="918" w:type="dxa"/>
          </w:tcPr>
          <w:p>
            <w:pPr>
              <w:pStyle w:val="TableParagraph"/>
              <w:spacing w:line="228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Jarque-</w:t>
            </w:r>
          </w:p>
          <w:p>
            <w:pPr>
              <w:pStyle w:val="TableParagraph"/>
              <w:spacing w:before="115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Bera</w:t>
            </w:r>
          </w:p>
        </w:tc>
        <w:tc>
          <w:tcPr>
            <w:tcW w:w="690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7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Prob.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LRER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7.68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7.71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8.68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7.11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6.42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22.56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LREER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5.15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5.02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6.12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4.59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2.10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3.29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LBOP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4.95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5.56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3.56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-1.19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5.09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</w:tr>
      <w:tr>
        <w:trPr>
          <w:trHeight w:val="342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LCAB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5.06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6.09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-1.02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1.16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-4.27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22.67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9.71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5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63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LFAB</w:t>
            </w:r>
          </w:p>
        </w:tc>
        <w:tc>
          <w:tcPr>
            <w:tcW w:w="704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5.71</w:t>
            </w:r>
          </w:p>
        </w:tc>
        <w:tc>
          <w:tcPr>
            <w:tcW w:w="875" w:type="dxa"/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5.80</w:t>
            </w:r>
          </w:p>
        </w:tc>
        <w:tc>
          <w:tcPr>
            <w:tcW w:w="793" w:type="dxa"/>
          </w:tcPr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6.05</w:t>
            </w:r>
          </w:p>
        </w:tc>
        <w:tc>
          <w:tcPr>
            <w:tcW w:w="812" w:type="dxa"/>
          </w:tcPr>
          <w:p>
            <w:pPr>
              <w:pStyle w:val="TableParagraph"/>
              <w:spacing w:line="225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3.03</w:t>
            </w:r>
          </w:p>
        </w:tc>
        <w:tc>
          <w:tcPr>
            <w:tcW w:w="1081" w:type="dxa"/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1028" w:type="dxa"/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-4.83</w:t>
            </w:r>
          </w:p>
        </w:tc>
        <w:tc>
          <w:tcPr>
            <w:tcW w:w="952" w:type="dxa"/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27.27</w:t>
            </w:r>
          </w:p>
        </w:tc>
        <w:tc>
          <w:tcPr>
            <w:tcW w:w="918" w:type="dxa"/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23.91</w:t>
            </w:r>
          </w:p>
        </w:tc>
        <w:tc>
          <w:tcPr>
            <w:tcW w:w="690" w:type="dxa"/>
          </w:tcPr>
          <w:p>
            <w:pPr>
              <w:pStyle w:val="TableParagraph"/>
              <w:spacing w:line="225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5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63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LKAB</w:t>
            </w:r>
          </w:p>
        </w:tc>
        <w:tc>
          <w:tcPr>
            <w:tcW w:w="704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1.05</w:t>
            </w:r>
          </w:p>
        </w:tc>
        <w:tc>
          <w:tcPr>
            <w:tcW w:w="875" w:type="dxa"/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793" w:type="dxa"/>
          </w:tcPr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5.48</w:t>
            </w:r>
          </w:p>
        </w:tc>
        <w:tc>
          <w:tcPr>
            <w:tcW w:w="812" w:type="dxa"/>
          </w:tcPr>
          <w:p>
            <w:pPr>
              <w:pStyle w:val="TableParagraph"/>
              <w:spacing w:line="225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1.86</w:t>
            </w:r>
          </w:p>
        </w:tc>
        <w:tc>
          <w:tcPr>
            <w:tcW w:w="1028" w:type="dxa"/>
          </w:tcPr>
          <w:p>
            <w:pPr>
              <w:pStyle w:val="TableParagraph"/>
              <w:spacing w:line="225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1.47</w:t>
            </w:r>
          </w:p>
        </w:tc>
        <w:tc>
          <w:tcPr>
            <w:tcW w:w="952" w:type="dxa"/>
          </w:tcPr>
          <w:p>
            <w:pPr>
              <w:pStyle w:val="TableParagraph"/>
              <w:spacing w:line="225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3.49</w:t>
            </w:r>
          </w:p>
        </w:tc>
        <w:tc>
          <w:tcPr>
            <w:tcW w:w="918" w:type="dxa"/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13.27</w:t>
            </w:r>
          </w:p>
        </w:tc>
        <w:tc>
          <w:tcPr>
            <w:tcW w:w="690" w:type="dxa"/>
          </w:tcPr>
          <w:p>
            <w:pPr>
              <w:pStyle w:val="TableParagraph"/>
              <w:spacing w:line="225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LX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4.96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5.83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1.84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-1.54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4.80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19.03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LM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6.26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6.43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6.59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3.40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-4.37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23.59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50.46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LY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6.85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6.84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7.58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6.19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2.80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1.55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LY</w:t>
            </w:r>
            <w:r>
              <w:rPr>
                <w:sz w:val="20"/>
                <w:vertAlign w:val="superscript"/>
              </w:rPr>
              <w:t>f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9.24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9.24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9.59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8.82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-0.06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1.74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2.40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LCPI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1.26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2.81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-4.61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3.45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-0.47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1.58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4.36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LMS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8.33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9.19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14.18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1.92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3.47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-0.35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2.27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TBR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19.21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15.32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78.63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5.50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14.61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9.26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1.32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LWPI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4.96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5.77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5.86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2.18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1.26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-1.09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2.53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7.44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</w:tr>
      <w:tr>
        <w:trPr>
          <w:trHeight w:val="342" w:hRule="atLeast"/>
        </w:trPr>
        <w:tc>
          <w:tcPr>
            <w:tcW w:w="677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LFDI</w:t>
            </w:r>
          </w:p>
        </w:tc>
        <w:tc>
          <w:tcPr>
            <w:tcW w:w="704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5.04</w:t>
            </w:r>
          </w:p>
        </w:tc>
        <w:tc>
          <w:tcPr>
            <w:tcW w:w="875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5.06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5.51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2.27</w:t>
            </w:r>
          </w:p>
        </w:tc>
        <w:tc>
          <w:tcPr>
            <w:tcW w:w="1081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102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-4.67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26.49</w:t>
            </w:r>
          </w:p>
        </w:tc>
        <w:tc>
          <w:tcPr>
            <w:tcW w:w="918" w:type="dxa"/>
          </w:tcPr>
          <w:p>
            <w:pPr>
              <w:pStyle w:val="TableParagraph"/>
              <w:spacing w:line="22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8.77</w:t>
            </w:r>
          </w:p>
        </w:tc>
        <w:tc>
          <w:tcPr>
            <w:tcW w:w="690" w:type="dxa"/>
          </w:tcPr>
          <w:p>
            <w:pPr>
              <w:pStyle w:val="TableParagraph"/>
              <w:spacing w:line="223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63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LOPEN</w:t>
            </w:r>
          </w:p>
        </w:tc>
        <w:tc>
          <w:tcPr>
            <w:tcW w:w="704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2.80</w:t>
            </w:r>
          </w:p>
        </w:tc>
        <w:tc>
          <w:tcPr>
            <w:tcW w:w="875" w:type="dxa"/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2.86</w:t>
            </w:r>
          </w:p>
        </w:tc>
        <w:tc>
          <w:tcPr>
            <w:tcW w:w="793" w:type="dxa"/>
          </w:tcPr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3.39</w:t>
            </w:r>
          </w:p>
        </w:tc>
        <w:tc>
          <w:tcPr>
            <w:tcW w:w="812" w:type="dxa"/>
          </w:tcPr>
          <w:p>
            <w:pPr>
              <w:pStyle w:val="TableParagraph"/>
              <w:spacing w:line="225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1081" w:type="dxa"/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1028" w:type="dxa"/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-2.86</w:t>
            </w:r>
          </w:p>
        </w:tc>
        <w:tc>
          <w:tcPr>
            <w:tcW w:w="952" w:type="dxa"/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14.87</w:t>
            </w:r>
          </w:p>
        </w:tc>
        <w:tc>
          <w:tcPr>
            <w:tcW w:w="918" w:type="dxa"/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60.23</w:t>
            </w:r>
          </w:p>
        </w:tc>
        <w:tc>
          <w:tcPr>
            <w:tcW w:w="690" w:type="dxa"/>
          </w:tcPr>
          <w:p>
            <w:pPr>
              <w:pStyle w:val="TableParagraph"/>
              <w:spacing w:line="225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</w:tr>
      <w:tr>
        <w:trPr>
          <w:trHeight w:val="345" w:hRule="atLeast"/>
        </w:trPr>
        <w:tc>
          <w:tcPr>
            <w:tcW w:w="677" w:type="dxa"/>
          </w:tcPr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63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GGDP</w:t>
            </w:r>
          </w:p>
        </w:tc>
        <w:tc>
          <w:tcPr>
            <w:tcW w:w="704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2.16</w:t>
            </w:r>
          </w:p>
        </w:tc>
        <w:tc>
          <w:tcPr>
            <w:tcW w:w="875" w:type="dxa"/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3.04</w:t>
            </w:r>
          </w:p>
        </w:tc>
        <w:tc>
          <w:tcPr>
            <w:tcW w:w="793" w:type="dxa"/>
          </w:tcPr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27.46</w:t>
            </w:r>
          </w:p>
        </w:tc>
        <w:tc>
          <w:tcPr>
            <w:tcW w:w="812" w:type="dxa"/>
          </w:tcPr>
          <w:p>
            <w:pPr>
              <w:pStyle w:val="TableParagraph"/>
              <w:spacing w:line="225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-19.01</w:t>
            </w:r>
          </w:p>
        </w:tc>
        <w:tc>
          <w:tcPr>
            <w:tcW w:w="1081" w:type="dxa"/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8.18</w:t>
            </w:r>
          </w:p>
        </w:tc>
        <w:tc>
          <w:tcPr>
            <w:tcW w:w="1028" w:type="dxa"/>
          </w:tcPr>
          <w:p>
            <w:pPr>
              <w:pStyle w:val="TableParagraph"/>
              <w:spacing w:line="225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952" w:type="dxa"/>
          </w:tcPr>
          <w:p>
            <w:pPr>
              <w:pStyle w:val="TableParagraph"/>
              <w:spacing w:line="225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5.53</w:t>
            </w:r>
          </w:p>
        </w:tc>
        <w:tc>
          <w:tcPr>
            <w:tcW w:w="918" w:type="dxa"/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9.66</w:t>
            </w:r>
          </w:p>
        </w:tc>
        <w:tc>
          <w:tcPr>
            <w:tcW w:w="690" w:type="dxa"/>
          </w:tcPr>
          <w:p>
            <w:pPr>
              <w:pStyle w:val="TableParagraph"/>
              <w:spacing w:line="225" w:lineRule="exact"/>
              <w:ind w:left="198" w:right="88"/>
              <w:jc w:val="center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</w:tr>
    </w:tbl>
    <w:p>
      <w:pPr>
        <w:spacing w:before="0"/>
        <w:ind w:left="120" w:right="0" w:firstLine="0"/>
        <w:jc w:val="left"/>
        <w:rPr>
          <w:sz w:val="24"/>
        </w:rPr>
      </w:pPr>
      <w:r>
        <w:rPr/>
        <w:pict>
          <v:shape style="position:absolute;margin-left:99.641006pt;margin-top:-27.146893pt;width:194.45pt;height:196.9pt;mso-position-horizontal-relative:page;mso-position-vertical-relative:paragraph;z-index:-25346560" coordorigin="1993,-543" coordsize="3889,3938" path="m3023,3177l3021,3147,3016,3116,3007,3084,2994,3052,2978,3018,2958,2984,2935,2950,2909,2916,2878,2880,2845,2845,2365,2366,2362,2363,2355,2360,2351,2360,2347,2361,2343,2362,2334,2367,2323,2375,2311,2388,2303,2398,2298,2408,2296,2412,2295,2416,2296,2420,2298,2427,2301,2430,2781,2910,2806,2936,2828,2961,2848,2986,2864,3009,2879,3033,2890,3055,2900,3077,2907,3098,2911,3119,2913,3138,2912,3157,2909,3176,2904,3193,2896,3209,2885,3225,2872,3239,2858,3252,2843,3262,2826,3269,2809,3275,2791,3278,2772,3278,2752,3277,2731,3272,2710,3265,2687,3256,2664,3244,2640,3229,2615,3212,2590,3191,2564,3168,2537,3143,2063,2668,2059,2666,2052,2663,2049,2663,2045,2663,2041,2665,2031,2670,2020,2678,2008,2690,2000,2701,1997,2706,1994,2714,1993,2719,1993,2722,1996,2729,1998,2733,2485,3220,2521,3254,2556,3284,2591,3310,2625,3333,2658,3353,2691,3368,2722,3380,2752,3388,2782,3393,2811,3394,2838,3392,2865,3387,2890,3378,2914,3366,2936,3350,2957,3332,2977,3309,2994,3285,3006,3260,3015,3233,3021,3206,3023,3177xm3612,2644l3610,2631,3608,2624,3600,2610,3594,2602,3586,2594,2863,1871,2861,1869,2854,1866,2849,1866,2841,1867,2836,1869,2821,1881,2809,1893,2797,1909,2795,1913,2793,1922,2794,1926,2797,1933,2799,1936,3225,2362,3424,2559,3424,2560,3350,2521,3197,2442,3136,2412,3039,2363,2735,2212,2647,2167,2626,2157,2605,2149,2594,2147,2585,2146,2577,2146,2568,2147,2555,2153,2547,2158,2501,2204,2499,2214,2500,2226,2502,2236,2507,2246,2515,2257,2526,2269,3245,2989,3251,2994,3259,2997,3262,2998,3266,2996,3270,2996,3280,2991,3285,2987,3290,2983,3303,2970,3308,2964,3311,2959,3316,2950,3317,2945,3318,2941,3318,2938,3316,2934,3315,2930,3313,2927,2795,2409,2659,2277,2660,2276,2730,2314,2804,2352,2998,2450,3221,2560,3458,2678,3472,2685,3496,2695,3511,2701,3523,2704,3533,2705,3544,2706,3553,2706,3560,2703,3567,2700,3574,2695,3606,2664,3608,2660,3612,2649,3612,2644xm3816,2444l3816,2440,3813,2433,3811,2430,3808,2427,3056,1675,3053,1672,3045,1670,3042,1670,3038,1670,3030,1674,3024,1677,3014,1685,3002,1697,2994,1707,2989,1717,2987,1721,2986,1725,2986,1729,2989,1736,2991,1740,3746,2495,3749,2497,3756,2500,3760,2500,3763,2499,3768,2498,3778,2493,3789,2484,3801,2472,3809,2461,3814,2452,3815,2447,3816,2444xm4139,2118l4137,2108,4135,2103,4131,2098,4088,2030,3553,1195,3543,1183,3538,1181,3534,1179,3529,1178,3524,1179,3518,1182,3507,1192,3485,1213,3477,1223,3475,1228,3474,1237,3474,1240,3478,1248,3527,1324,4003,2049,4003,2049,3937,2006,3207,1533,3198,1527,3194,1525,3190,1524,3178,1525,3174,1527,3165,1534,3143,1555,3128,1574,3126,1579,3128,1590,3130,1595,3136,1600,3142,1605,3161,1618,3229,1662,4045,2184,4052,2188,4055,2189,4058,2191,4061,2191,4068,2192,4071,2191,4074,2190,4081,2187,4084,2185,4097,2176,4125,2148,4134,2137,4136,2132,4139,2122,4139,2118xm4651,1610l4650,1603,4645,1593,4641,1587,4625,1569,4618,1562,4610,1554,4591,1537,4577,1530,4570,1528,4566,1529,4563,1530,4369,1725,4089,1446,4255,1281,4256,1278,4256,1272,4255,1268,4252,1259,4248,1254,4232,1236,4217,1221,4199,1205,4193,1201,4185,1197,4180,1196,4173,1195,4171,1197,4006,1362,3761,1117,3953,925,3954,922,3954,915,3953,912,3949,903,3945,897,3940,891,3929,879,3914,864,3901,852,3890,844,3880,839,3877,838,3869,837,3867,839,3628,1077,3626,1086,3627,1097,3629,1106,3634,1116,3642,1127,3652,1138,4348,1834,4359,1844,4370,1852,4379,1856,4388,1858,4400,1860,4408,1857,4650,1616,4651,1614,4651,1610xm5085,1175l5084,1172,5083,1169,5081,1165,5078,1162,5075,1159,5072,1156,5067,1152,5060,1146,5023,1123,4839,1014,4821,1003,4789,984,4772,975,4739,957,4724,949,4710,943,4696,937,4682,931,4669,927,4656,924,4644,921,4635,919,4632,918,4621,917,4610,917,4600,918,4589,919,4594,902,4596,885,4598,868,4599,851,4598,833,4596,816,4592,798,4587,779,4580,761,4572,743,4563,724,4551,705,4538,687,4523,668,4506,649,4502,644,4502,856,4500,871,4497,885,4491,899,4484,913,4474,927,4463,940,4399,1003,4137,740,4191,686,4200,677,4209,669,4217,662,4224,656,4233,650,4242,645,4251,641,4273,635,4295,634,4317,636,4339,644,4362,655,4384,669,4407,687,4430,708,4443,723,4456,737,4467,752,4477,766,4485,782,4492,797,4497,812,4500,827,4502,842,4502,856,4502,644,4492,634,4488,629,4467,610,4447,592,4427,576,4406,562,4386,550,4366,540,4345,532,4325,525,4305,521,4285,518,4265,517,4246,519,4227,522,4208,527,4190,535,4171,544,4164,549,4155,555,4146,562,4139,568,4131,575,4123,583,4114,592,4062,644,4010,695,4005,701,4002,710,4003,720,4006,730,4010,740,4018,750,4029,762,4754,1487,4757,1489,4761,1491,4764,1492,4767,1492,4771,1491,4776,1490,4780,1488,4786,1485,4790,1481,4796,1477,4809,1464,4813,1458,4817,1454,4820,1448,4822,1444,4822,1440,4823,1436,4824,1432,4822,1429,4821,1425,4818,1422,4629,1233,4585,1189,4483,1087,4505,1065,4526,1044,4538,1034,4550,1026,4562,1020,4575,1016,4588,1014,4602,1014,4617,1015,4632,1018,4647,1022,4664,1028,4680,1035,4697,1043,4715,1052,4733,1062,4752,1073,4771,1084,4943,1189,5000,1223,5006,1227,5011,1230,5016,1232,5020,1234,5024,1234,5029,1233,5034,1233,5038,1231,5043,1227,5048,1224,5054,1219,5068,1205,5073,1199,5077,1194,5081,1189,5083,1184,5085,1175xm5352,844l5350,818,5345,792,5337,765,5326,738,5313,711,5296,683,5276,656,5254,628,5228,601,5205,579,5182,560,5159,543,5137,529,5116,518,5095,509,5074,501,5053,495,5033,492,5013,489,4993,488,4974,488,4955,489,4936,490,4900,495,4846,503,4811,507,4794,508,4777,508,4760,507,4743,505,4727,502,4710,497,4693,491,4677,483,4661,472,4644,459,4628,444,4617,433,4607,421,4599,409,4591,397,4584,385,4578,372,4574,360,4571,348,4569,336,4569,324,4570,312,4572,300,4576,288,4582,277,4590,266,4599,256,4611,246,4622,237,4634,230,4647,225,4660,221,4673,218,4685,216,4697,214,4719,213,4749,211,4756,210,4761,205,4761,203,4761,199,4759,193,4748,178,4738,166,4711,138,4700,130,4688,120,4681,116,4668,111,4662,110,4652,111,4638,111,4627,113,4617,115,4595,120,4584,124,4573,129,4563,134,4552,139,4542,145,4532,152,4524,160,4515,167,4500,184,4488,201,4478,220,4470,239,4464,260,4461,282,4460,304,4462,326,4467,349,4474,373,4483,397,4496,421,4511,446,4528,471,4549,495,4572,520,4595,542,4618,562,4641,578,4663,591,4685,603,4706,612,4727,620,4747,626,4767,631,4787,633,4807,635,4826,635,4845,635,4864,633,4900,629,4971,618,4989,616,5006,615,5022,615,5039,616,5055,618,5072,621,5089,626,5105,633,5122,641,5138,651,5155,664,5171,680,5186,695,5199,710,5210,726,5219,741,5227,757,5233,772,5238,787,5241,801,5242,816,5242,830,5240,844,5236,857,5231,870,5225,882,5216,894,5207,905,5192,918,5178,928,5163,937,5147,943,5131,948,5116,952,5102,955,5088,957,5075,958,5063,959,5051,959,5028,959,5019,961,5014,966,5013,968,5013,974,5014,978,5019,987,5023,993,5041,1013,5059,1031,5067,1038,5075,1044,5082,1049,5090,1056,5099,1060,5107,1061,5114,1064,5125,1064,5150,1063,5162,1061,5174,1059,5187,1056,5200,1052,5213,1048,5227,1042,5240,1035,5254,1027,5267,1018,5280,1008,5292,996,5308,978,5322,959,5334,938,5343,916,5349,893,5352,869,5352,844xm5596,663l5596,660,5594,653,5591,649,5588,646,4836,-105,4833,-108,4826,-111,4822,-111,4818,-110,4810,-107,4805,-104,4794,-96,4782,-84,4778,-78,4774,-73,4769,-63,4768,-60,4767,-55,4767,-51,4769,-44,4771,-41,5526,714,5530,717,5537,719,5540,720,5544,718,5548,717,5558,712,5569,704,5581,692,5589,681,5592,676,5594,672,5596,663xm5881,378l5881,375,5878,368,5876,365,5196,-315,5335,-454,5337,-456,5337,-460,5336,-467,5333,-472,5331,-476,5327,-482,5311,-500,5303,-508,5295,-516,5276,-533,5270,-537,5261,-542,5257,-543,5250,-543,5247,-542,4905,-199,4904,-197,4904,-193,4904,-190,4905,-186,4910,-177,4914,-171,4919,-165,4925,-159,4931,-152,4946,-136,4953,-130,4960,-125,4965,-120,4971,-116,4980,-111,4983,-110,4990,-110,4993,-111,5132,-250,5811,429,5815,432,5822,435,5825,435,5829,433,5833,433,5843,427,5854,419,5866,407,5871,401,5874,396,5879,387,5880,382,5881,378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Author‘s Computation, 2014.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120" w:right="995"/>
        <w:jc w:val="both"/>
      </w:pPr>
      <w:r>
        <w:rPr/>
        <w:drawing>
          <wp:anchor distT="0" distB="0" distL="0" distR="0" allowOverlap="1" layoutInCell="1" locked="0" behindDoc="1" simplePos="0" relativeHeight="477970944">
            <wp:simplePos x="0" y="0"/>
            <wp:positionH relativeFrom="page">
              <wp:posOffset>1265440</wp:posOffset>
            </wp:positionH>
            <wp:positionV relativeFrom="paragraph">
              <wp:posOffset>1642403</wp:posOffset>
            </wp:positionV>
            <wp:extent cx="5102212" cy="5044439"/>
            <wp:effectExtent l="0" t="0" r="0" b="0"/>
            <wp:wrapNone/>
            <wp:docPr id="19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12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Testing for the presence of unit root in variables has become one of the pre-requisite in time</w:t>
      </w:r>
      <w:r>
        <w:rPr>
          <w:spacing w:val="1"/>
        </w:rPr>
        <w:t> </w:t>
      </w:r>
      <w:r>
        <w:rPr/>
        <w:t>series econometrics analysis (Philips and Perron, 1988).</w:t>
      </w:r>
      <w:r>
        <w:rPr>
          <w:spacing w:val="61"/>
        </w:rPr>
        <w:t> </w:t>
      </w:r>
      <w:r>
        <w:rPr/>
        <w:t>However, previous to such tests, a</w:t>
      </w:r>
      <w:r>
        <w:rPr>
          <w:spacing w:val="1"/>
        </w:rPr>
        <w:t> </w:t>
      </w:r>
      <w:r>
        <w:rPr/>
        <w:t>closed assessment of the series in graphical form would be essential.</w:t>
      </w:r>
      <w:r>
        <w:rPr>
          <w:spacing w:val="1"/>
        </w:rPr>
        <w:t> </w:t>
      </w:r>
      <w:r>
        <w:rPr/>
        <w:t>The graphs of the variables</w:t>
      </w:r>
      <w:r>
        <w:rPr>
          <w:spacing w:val="-57"/>
        </w:rPr>
        <w:t> </w:t>
      </w:r>
      <w:r>
        <w:rPr/>
        <w:t>are therefore provided in Figure 5.1.</w:t>
      </w:r>
      <w:r>
        <w:rPr>
          <w:spacing w:val="1"/>
        </w:rPr>
        <w:t> </w:t>
      </w:r>
      <w:r>
        <w:rPr/>
        <w:t>As it can be observed from the figures, the trending of 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mixed.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trending</w:t>
      </w:r>
      <w:r>
        <w:rPr>
          <w:spacing w:val="1"/>
        </w:rPr>
        <w:t> </w:t>
      </w:r>
      <w:r>
        <w:rPr/>
        <w:t>progressively</w:t>
      </w:r>
      <w:r>
        <w:rPr>
          <w:spacing w:val="1"/>
        </w:rPr>
        <w:t> </w:t>
      </w:r>
      <w:r>
        <w:rPr/>
        <w:t>upwards,</w:t>
      </w:r>
      <w:r>
        <w:rPr>
          <w:spacing w:val="1"/>
        </w:rPr>
        <w:t> </w:t>
      </w:r>
      <w:r>
        <w:rPr/>
        <w:t>others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trending downwards and quite a lot are lopsidedly trending.</w:t>
      </w:r>
      <w:r>
        <w:rPr>
          <w:spacing w:val="1"/>
        </w:rPr>
        <w:t> </w:t>
      </w:r>
      <w:r>
        <w:rPr/>
        <w:t>For that reason, it provides the need</w:t>
      </w:r>
      <w:r>
        <w:rPr>
          <w:spacing w:val="1"/>
        </w:rPr>
        <w:t> </w:t>
      </w:r>
      <w:r>
        <w:rPr/>
        <w:t>to carry</w:t>
      </w:r>
      <w:r>
        <w:rPr>
          <w:spacing w:val="-5"/>
        </w:rPr>
        <w:t> </w:t>
      </w:r>
      <w:r>
        <w:rPr/>
        <w:t>out unit root tests.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90"/>
        <w:ind w:left="120" w:right="0" w:firstLine="0"/>
        <w:jc w:val="left"/>
        <w:rPr>
          <w:b/>
          <w:sz w:val="24"/>
        </w:rPr>
      </w:pPr>
      <w:r>
        <w:rPr/>
        <w:pict>
          <v:group style="position:absolute;margin-left:72.024002pt;margin-top:-486.68689pt;width:467.6pt;height:522.5500pt;mso-position-horizontal-relative:page;mso-position-vertical-relative:paragraph;z-index:-25345024" coordorigin="1440,-9734" coordsize="9352,10451">
            <v:shape style="position:absolute;left:1440;top:-9734;width:9352;height:10451" type="#_x0000_t75" stroked="false">
              <v:imagedata r:id="rId27" o:title=""/>
            </v:shape>
            <v:shape style="position:absolute;left:2403;top:-9379;width:232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5"/>
                        <w:sz w:val="11"/>
                      </w:rPr>
                      <w:t>LRER</w:t>
                    </w:r>
                  </w:p>
                </w:txbxContent>
              </v:textbox>
              <w10:wrap type="none"/>
            </v:shape>
            <v:shape style="position:absolute;left:4202;top:-9379;width:283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0"/>
                        <w:sz w:val="11"/>
                      </w:rPr>
                      <w:t>LREER</w:t>
                    </w:r>
                  </w:p>
                </w:txbxContent>
              </v:textbox>
              <w10:wrap type="none"/>
            </v:shape>
            <v:shape style="position:absolute;left:6052;top:-9379;width:230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5"/>
                        <w:sz w:val="11"/>
                      </w:rPr>
                      <w:t>LBOP</w:t>
                    </w:r>
                  </w:p>
                </w:txbxContent>
              </v:textbox>
              <w10:wrap type="none"/>
            </v:shape>
            <v:shape style="position:absolute;left:7881;top:-9379;width:220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75"/>
                        <w:sz w:val="11"/>
                      </w:rPr>
                      <w:t>LCAB</w:t>
                    </w:r>
                  </w:p>
                </w:txbxContent>
              </v:textbox>
              <w10:wrap type="none"/>
            </v:shape>
            <v:shape style="position:absolute;left:9707;top:-9379;width:217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75"/>
                        <w:sz w:val="11"/>
                      </w:rPr>
                      <w:t>LKAB</w:t>
                    </w:r>
                  </w:p>
                </w:txbxContent>
              </v:textbox>
              <w10:wrap type="none"/>
            </v:shape>
            <v:shape style="position:absolute;left:1666;top:-9202;width:3751;height:98" type="#_x0000_t202" filled="false" stroked="false">
              <v:textbox inset="0,0,0,0">
                <w:txbxContent>
                  <w:p>
                    <w:pPr>
                      <w:tabs>
                        <w:tab w:pos="1824" w:val="left" w:leader="none"/>
                        <w:tab w:pos="364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8.8</w:t>
                      <w:tab/>
                      <w:t>6.4</w:t>
                      <w:tab/>
                      <w:t>5.6</w:t>
                    </w:r>
                  </w:p>
                </w:txbxContent>
              </v:textbox>
              <w10:wrap type="none"/>
            </v:shape>
            <v:shape style="position:absolute;left:1666;top:-8889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8.4</w:t>
                    </w:r>
                  </w:p>
                </w:txbxContent>
              </v:textbox>
              <w10:wrap type="none"/>
            </v:shape>
            <v:shape style="position:absolute;left:3491;top:-8889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6.0</w:t>
                    </w:r>
                  </w:p>
                </w:txbxContent>
              </v:textbox>
              <w10:wrap type="none"/>
            </v:shape>
            <v:shape style="position:absolute;left:5316;top:-8942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5.2</w:t>
                    </w:r>
                  </w:p>
                </w:txbxContent>
              </v:textbox>
              <w10:wrap type="none"/>
            </v:shape>
            <v:shape style="position:absolute;left:5316;top:-8680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1666;top:-8575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3491;top:-8575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5316;top:-8417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4.4</w:t>
                    </w:r>
                  </w:p>
                </w:txbxContent>
              </v:textbox>
              <w10:wrap type="none"/>
            </v:shape>
            <v:shape style="position:absolute;left:7165;top:-9202;width:1605;height:1794" type="#_x0000_t202" filled="false" stroked="false">
              <v:textbox inset="0,0,0,0">
                <w:txbxContent>
                  <w:p>
                    <w:pPr>
                      <w:spacing w:before="4"/>
                      <w:ind w:left="2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7</w:t>
                    </w:r>
                  </w:p>
                  <w:p>
                    <w:pPr>
                      <w:spacing w:before="80"/>
                      <w:ind w:left="2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6</w:t>
                    </w:r>
                  </w:p>
                  <w:p>
                    <w:pPr>
                      <w:spacing w:before="83"/>
                      <w:ind w:left="2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5</w:t>
                    </w:r>
                  </w:p>
                  <w:p>
                    <w:pPr>
                      <w:spacing w:before="83"/>
                      <w:ind w:left="2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4</w:t>
                    </w:r>
                  </w:p>
                  <w:p>
                    <w:pPr>
                      <w:spacing w:before="83"/>
                      <w:ind w:left="2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3</w:t>
                    </w:r>
                  </w:p>
                  <w:p>
                    <w:pPr>
                      <w:spacing w:before="83"/>
                      <w:ind w:left="2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2</w:t>
                    </w:r>
                  </w:p>
                  <w:p>
                    <w:pPr>
                      <w:spacing w:before="83"/>
                      <w:ind w:left="2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1</w:t>
                    </w:r>
                  </w:p>
                  <w:p>
                    <w:pPr>
                      <w:spacing w:before="83"/>
                      <w:ind w:left="2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0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-1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-2</w:t>
                    </w:r>
                  </w:p>
                  <w:p>
                    <w:pPr>
                      <w:spacing w:before="31"/>
                      <w:ind w:left="38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9015;top:-9202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015;top:-8942;width:53;height:36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5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015;top:-8417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666;top:-8259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7.6</w:t>
                    </w:r>
                  </w:p>
                </w:txbxContent>
              </v:textbox>
              <w10:wrap type="none"/>
            </v:shape>
            <v:shape style="position:absolute;left:3491;top:-8259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5.2</w:t>
                    </w:r>
                  </w:p>
                </w:txbxContent>
              </v:textbox>
              <w10:wrap type="none"/>
            </v:shape>
            <v:shape style="position:absolute;left:5316;top:-8155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4.0</w:t>
                    </w:r>
                  </w:p>
                </w:txbxContent>
              </v:textbox>
              <w10:wrap type="none"/>
            </v:shape>
            <v:shape style="position:absolute;left:9015;top:-8155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666;top:-7946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7.2</w:t>
                    </w:r>
                  </w:p>
                </w:txbxContent>
              </v:textbox>
              <w10:wrap type="none"/>
            </v:shape>
            <v:shape style="position:absolute;left:3491;top:-7946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5316;top:-7892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9015;top:-7892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66;top:-7630;width:1630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6.8</w:t>
                    </w:r>
                  </w:p>
                  <w:p>
                    <w:pPr>
                      <w:spacing w:before="31"/>
                      <w:ind w:left="6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491;top:-7630;width:1629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4.4</w:t>
                    </w:r>
                  </w:p>
                  <w:p>
                    <w:pPr>
                      <w:spacing w:before="31"/>
                      <w:ind w:left="6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5316;top:-7630;width:1629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3.2</w:t>
                    </w:r>
                  </w:p>
                  <w:p>
                    <w:pPr>
                      <w:spacing w:before="31"/>
                      <w:ind w:left="6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9015;top:-7630;width:1581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0</w:t>
                    </w:r>
                  </w:p>
                  <w:p>
                    <w:pPr>
                      <w:spacing w:before="31"/>
                      <w:ind w:left="1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2411;top:-7066;width:214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5"/>
                        <w:sz w:val="11"/>
                      </w:rPr>
                      <w:t>LFAB</w:t>
                    </w:r>
                  </w:p>
                </w:txbxContent>
              </v:textbox>
              <w10:wrap type="none"/>
            </v:shape>
            <v:shape style="position:absolute;left:4283;top:-7066;width:118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80"/>
                        <w:sz w:val="11"/>
                      </w:rPr>
                      <w:t>LX</w:t>
                    </w:r>
                  </w:p>
                </w:txbxContent>
              </v:textbox>
              <w10:wrap type="none"/>
            </v:shape>
            <v:shape style="position:absolute;left:6101;top:-7066;width:131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5"/>
                        <w:sz w:val="11"/>
                      </w:rPr>
                      <w:t>LM</w:t>
                    </w:r>
                  </w:p>
                </w:txbxContent>
              </v:textbox>
              <w10:wrap type="none"/>
            </v:shape>
            <v:shape style="position:absolute;left:7895;top:-7066;width:185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75"/>
                        <w:sz w:val="11"/>
                      </w:rPr>
                      <w:t>LFDI</w:t>
                    </w:r>
                  </w:p>
                </w:txbxContent>
              </v:textbox>
              <w10:wrap type="none"/>
            </v:shape>
            <v:shape style="position:absolute;left:9757;top:-7066;width:118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80"/>
                        <w:sz w:val="11"/>
                      </w:rPr>
                      <w:t>LY</w:t>
                    </w:r>
                  </w:p>
                </w:txbxContent>
              </v:textbox>
              <w10:wrap type="none"/>
            </v:shape>
            <v:shape style="position:absolute;left:1666;top:-6889;width:1926;height:545" type="#_x0000_t202" filled="false" stroked="false">
              <v:textbox inset="0,0,0,0">
                <w:txbxContent>
                  <w:p>
                    <w:pPr>
                      <w:tabs>
                        <w:tab w:pos="1873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6.5</w:t>
                      <w:tab/>
                      <w:t>6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1"/>
                      </w:rPr>
                    </w:pPr>
                  </w:p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6.0</w:t>
                    </w:r>
                  </w:p>
                  <w:p>
                    <w:pPr>
                      <w:spacing w:line="91" w:lineRule="exact" w:before="0"/>
                      <w:ind w:left="187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5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5.5</w:t>
                    </w:r>
                  </w:p>
                </w:txbxContent>
              </v:textbox>
              <w10:wrap type="none"/>
            </v:shape>
            <v:shape style="position:absolute;left:1666;top:-6216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5.0</w:t>
                    </w:r>
                  </w:p>
                </w:txbxContent>
              </v:textbox>
              <w10:wrap type="none"/>
            </v:shape>
            <v:shape style="position:absolute;left:3540;top:-6262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16;top:-6889;width:1629;height:179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6.8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6.4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6.0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5.6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5.2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4.8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4.4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4.0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3.6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3.2</w:t>
                    </w:r>
                  </w:p>
                  <w:p>
                    <w:pPr>
                      <w:spacing w:before="31"/>
                      <w:ind w:left="6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7141;top:-6889;width:1629;height:179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5.6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5.2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4.8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4.4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4.0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3.6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3.2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2.8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2.4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2.0</w:t>
                    </w:r>
                  </w:p>
                  <w:p>
                    <w:pPr>
                      <w:spacing w:before="31"/>
                      <w:ind w:left="6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8966;top:-6889;width:101;height:88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7.6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7.4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7.2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7.0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6.8</w:t>
                    </w:r>
                  </w:p>
                </w:txbxContent>
              </v:textbox>
              <w10:wrap type="none"/>
            </v:shape>
            <v:shape style="position:absolute;left:1666;top:-5993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3540;top:-5946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966;top:-5908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6.6</w:t>
                    </w:r>
                  </w:p>
                </w:txbxContent>
              </v:textbox>
              <w10:wrap type="none"/>
            </v:shape>
            <v:shape style="position:absolute;left:1666;top:-5767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4.0</w:t>
                    </w:r>
                  </w:p>
                </w:txbxContent>
              </v:textbox>
              <w10:wrap type="none"/>
            </v:shape>
            <v:shape style="position:absolute;left:3540;top:-5633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966;top:-5711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6.4</w:t>
                    </w:r>
                  </w:p>
                </w:txbxContent>
              </v:textbox>
              <w10:wrap type="none"/>
            </v:shape>
            <v:shape style="position:absolute;left:1666;top:-5543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8966;top:-5514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6.2</w:t>
                    </w:r>
                  </w:p>
                </w:txbxContent>
              </v:textbox>
              <w10:wrap type="none"/>
            </v:shape>
            <v:shape style="position:absolute;left:1666;top:-5317;width:1630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3.0</w:t>
                    </w:r>
                  </w:p>
                  <w:p>
                    <w:pPr>
                      <w:spacing w:before="31"/>
                      <w:ind w:left="6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540;top:-5317;width:1581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1</w:t>
                    </w:r>
                  </w:p>
                  <w:p>
                    <w:pPr>
                      <w:spacing w:before="31"/>
                      <w:ind w:left="1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8966;top:-5317;width:1629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6.0</w:t>
                    </w:r>
                  </w:p>
                  <w:p>
                    <w:pPr>
                      <w:spacing w:before="31"/>
                      <w:ind w:left="6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2434;top:-4750;width:165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5"/>
                        <w:sz w:val="11"/>
                      </w:rPr>
                      <w:t>LFY</w:t>
                    </w:r>
                  </w:p>
                </w:txbxContent>
              </v:textbox>
              <w10:wrap type="none"/>
            </v:shape>
            <v:shape style="position:absolute;left:4244;top:-4750;width:188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75"/>
                        <w:sz w:val="11"/>
                      </w:rPr>
                      <w:t>LCPI</w:t>
                    </w:r>
                  </w:p>
                </w:txbxContent>
              </v:textbox>
              <w10:wrap type="none"/>
            </v:shape>
            <v:shape style="position:absolute;left:6077;top:-4750;width:181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5"/>
                        <w:sz w:val="11"/>
                      </w:rPr>
                      <w:t>LMS</w:t>
                    </w:r>
                  </w:p>
                </w:txbxContent>
              </v:textbox>
              <w10:wrap type="none"/>
            </v:shape>
            <v:shape style="position:absolute;left:7905;top:-4750;width:177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5"/>
                        <w:sz w:val="11"/>
                      </w:rPr>
                      <w:t>TBR</w:t>
                    </w:r>
                  </w:p>
                </w:txbxContent>
              </v:textbox>
              <w10:wrap type="none"/>
            </v:shape>
            <v:shape style="position:absolute;left:9707;top:-4750;width:211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5"/>
                        <w:sz w:val="11"/>
                      </w:rPr>
                      <w:t>LWPI</w:t>
                    </w:r>
                  </w:p>
                </w:txbxContent>
              </v:textbox>
              <w10:wrap type="none"/>
            </v:shape>
            <v:shape style="position:absolute;left:1666;top:-4573;width:1630;height:179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9.7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9.6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9.5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9.4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9.3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9.2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9.1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9.0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8.9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8.8</w:t>
                    </w:r>
                  </w:p>
                  <w:p>
                    <w:pPr>
                      <w:spacing w:before="32"/>
                      <w:ind w:left="6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540;top:-4573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329;top:-4573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7154;top:-4573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9015;top:-4573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540;top:-4313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29;top:-4379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7154;top:-4379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5329;top:-4182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154;top:-4182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9015;top:-4182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40;top:-4051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329;top:-3985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154;top:-3985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3540;top:-3789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365;top:-3789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154;top:-3789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015;top:-3789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516;top:-3526;width:82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5365;top:-3592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154;top:-3592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365;top:-3395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154;top:-3395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015;top:-3395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516;top:-3264;width:82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-4</w:t>
                    </w:r>
                  </w:p>
                </w:txbxContent>
              </v:textbox>
              <w10:wrap type="none"/>
            </v:shape>
            <v:shape style="position:absolute;left:5365;top:-3198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154;top:-3198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516;top:-3001;width:1605;height:22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-6</w:t>
                    </w:r>
                  </w:p>
                  <w:p>
                    <w:pPr>
                      <w:spacing w:before="32"/>
                      <w:ind w:left="38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5365;top:-3001;width:1581;height:22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0</w:t>
                    </w:r>
                  </w:p>
                  <w:p>
                    <w:pPr>
                      <w:spacing w:before="32"/>
                      <w:ind w:left="1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7190;top:-3001;width:1581;height:22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0</w:t>
                    </w:r>
                  </w:p>
                  <w:p>
                    <w:pPr>
                      <w:spacing w:before="32"/>
                      <w:ind w:left="1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9015;top:-3001;width:1581;height:22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2</w:t>
                    </w:r>
                  </w:p>
                  <w:p>
                    <w:pPr>
                      <w:spacing w:before="32"/>
                      <w:ind w:left="1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2377;top:-2437;width:284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75"/>
                        <w:sz w:val="11"/>
                      </w:rPr>
                      <w:t>LOPEN</w:t>
                    </w:r>
                  </w:p>
                </w:txbxContent>
              </v:textbox>
              <w10:wrap type="none"/>
            </v:shape>
            <v:shape style="position:absolute;left:4220;top:-2437;width:248;height:1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75"/>
                        <w:sz w:val="11"/>
                      </w:rPr>
                      <w:t>GGDP</w:t>
                    </w:r>
                  </w:p>
                </w:txbxContent>
              </v:textbox>
              <w10:wrap type="none"/>
            </v:shape>
            <v:shape style="position:absolute;left:1666;top:-2260;width:1933;height:98" type="#_x0000_t202" filled="false" stroked="false">
              <v:textbox inset="0,0,0,0">
                <w:txbxContent>
                  <w:p>
                    <w:pPr>
                      <w:tabs>
                        <w:tab w:pos="1837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3.5</w:t>
                      <w:tab/>
                      <w:t>30</w:t>
                    </w:r>
                  </w:p>
                </w:txbxContent>
              </v:textbox>
              <w10:wrap type="none"/>
            </v:shape>
            <v:shape style="position:absolute;left:1666;top:-2000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3.0</w:t>
                    </w:r>
                  </w:p>
                </w:txbxContent>
              </v:textbox>
              <w10:wrap type="none"/>
            </v:shape>
            <v:shape style="position:absolute;left:3504;top:-1947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666;top:-1738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3504;top:-1634;width:95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666;top:-1475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2.0</w:t>
                    </w:r>
                  </w:p>
                </w:txbxContent>
              </v:textbox>
              <w10:wrap type="none"/>
            </v:shape>
            <v:shape style="position:absolute;left:3540;top:-1318;width:53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72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666;top:-1213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1666;top:-951;width:101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1"/>
                        <w:w w:val="85"/>
                        <w:sz w:val="8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3480;top:-1004;width:119;height:9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1666;top:-688;width:1630;height:22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0.5</w:t>
                    </w:r>
                  </w:p>
                  <w:p>
                    <w:pPr>
                      <w:spacing w:before="32"/>
                      <w:ind w:left="63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480;top:-688;width:1641;height:22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-20</w:t>
                    </w:r>
                  </w:p>
                  <w:p>
                    <w:pPr>
                      <w:spacing w:before="32"/>
                      <w:ind w:left="74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5"/>
                        <w:sz w:val="8"/>
                      </w:rPr>
                      <w:t>1975</w:t>
                    </w:r>
                    <w:r>
                      <w:rPr>
                        <w:rFonts w:ascii="Arial MT"/>
                        <w:spacing w:val="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1985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1995</w:t>
                    </w:r>
                    <w:r>
                      <w:rPr>
                        <w:rFonts w:ascii="Arial MT"/>
                        <w:spacing w:val="23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2000</w:t>
                    </w:r>
                    <w:r>
                      <w:rPr>
                        <w:rFonts w:ascii="Arial MT"/>
                        <w:spacing w:val="24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2005</w:t>
                    </w:r>
                    <w:r>
                      <w:rPr>
                        <w:rFonts w:ascii="Arial MT"/>
                        <w:spacing w:val="25"/>
                        <w:sz w:val="8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8"/>
                      </w:rPr>
                      <w:t>2010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5.1: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Graphs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Variables in their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Logarithm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440" w:bottom="1200" w:left="1320" w:right="440"/>
        </w:sectPr>
      </w:pPr>
    </w:p>
    <w:p>
      <w:pPr>
        <w:pStyle w:val="Heading2"/>
        <w:numPr>
          <w:ilvl w:val="2"/>
          <w:numId w:val="16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20" w:id="53"/>
      <w:r>
        <w:rPr/>
        <w:t>Unit</w:t>
      </w:r>
      <w:r>
        <w:rPr>
          <w:spacing w:val="-1"/>
        </w:rPr>
        <w:t> </w:t>
      </w:r>
      <w:r>
        <w:rPr/>
        <w:t>Root</w:t>
      </w:r>
      <w:r>
        <w:rPr>
          <w:spacing w:val="-1"/>
        </w:rPr>
        <w:t> </w:t>
      </w:r>
      <w:bookmarkEnd w:id="53"/>
      <w:r>
        <w:rPr/>
        <w:t>Tests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2"/>
        <w:jc w:val="both"/>
      </w:pPr>
      <w:r>
        <w:rPr/>
        <w:drawing>
          <wp:anchor distT="0" distB="0" distL="0" distR="0" allowOverlap="1" layoutInCell="1" locked="0" behindDoc="1" simplePos="0" relativeHeight="477971968">
            <wp:simplePos x="0" y="0"/>
            <wp:positionH relativeFrom="page">
              <wp:posOffset>1485138</wp:posOffset>
            </wp:positionH>
            <wp:positionV relativeFrom="paragraph">
              <wp:posOffset>1180631</wp:posOffset>
            </wp:positionV>
            <wp:extent cx="5102225" cy="5044439"/>
            <wp:effectExtent l="0" t="0" r="0" b="0"/>
            <wp:wrapNone/>
            <wp:docPr id="19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Even though unit root test is not imperative for ARDL approach to cointegration analysis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Jalil</w:t>
      </w:r>
      <w:r>
        <w:rPr>
          <w:spacing w:val="1"/>
        </w:rPr>
        <w:t> </w:t>
      </w:r>
      <w:r>
        <w:rPr/>
        <w:t>et al.,</w:t>
      </w:r>
      <w:r>
        <w:rPr>
          <w:spacing w:val="1"/>
        </w:rPr>
        <w:t> </w:t>
      </w:r>
      <w:r>
        <w:rPr/>
        <w:t>(2008), it</w:t>
      </w:r>
      <w:r>
        <w:rPr>
          <w:spacing w:val="1"/>
        </w:rPr>
        <w:t> </w:t>
      </w:r>
      <w:r>
        <w:rPr/>
        <w:t>would, however, be indispensable to</w:t>
      </w:r>
      <w:r>
        <w:rPr>
          <w:spacing w:val="60"/>
        </w:rPr>
        <w:t> </w:t>
      </w:r>
      <w:r>
        <w:rPr/>
        <w:t>verify the</w:t>
      </w:r>
      <w:r>
        <w:rPr>
          <w:spacing w:val="1"/>
        </w:rPr>
        <w:t> </w:t>
      </w:r>
      <w:r>
        <w:rPr/>
        <w:t>order of integration of the series in order to avoid spurious estimation outputs.</w:t>
      </w:r>
      <w:r>
        <w:rPr>
          <w:spacing w:val="1"/>
        </w:rPr>
        <w:t> </w:t>
      </w:r>
      <w:r>
        <w:rPr/>
        <w:t>Also, 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steady-state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interested variables, unit root and cointegration tests are applied to each variable.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unit-root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stationary.</w:t>
      </w:r>
      <w:r>
        <w:rPr>
          <w:spacing w:val="1"/>
        </w:rPr>
        <w:t> </w:t>
      </w:r>
      <w:r>
        <w:rPr/>
        <w:t>Cointegration</w:t>
      </w:r>
      <w:r>
        <w:rPr>
          <w:spacing w:val="60"/>
        </w:rPr>
        <w:t> </w:t>
      </w:r>
      <w:r>
        <w:rPr/>
        <w:t>analysis</w:t>
      </w:r>
      <w:r>
        <w:rPr>
          <w:spacing w:val="1"/>
        </w:rPr>
        <w:t> </w:t>
      </w:r>
      <w:r>
        <w:rPr/>
        <w:t>determine the long-run (cointegrating) relationship between the variables that are found to</w:t>
      </w:r>
      <w:r>
        <w:rPr>
          <w:spacing w:val="-57"/>
        </w:rPr>
        <w:t> </w:t>
      </w:r>
      <w:r>
        <w:rPr/>
        <w:t>be non-stationary.</w:t>
      </w:r>
      <w:r>
        <w:rPr>
          <w:spacing w:val="1"/>
        </w:rPr>
        <w:t> </w:t>
      </w:r>
      <w:r>
        <w:rPr/>
        <w:t>The Augmented Dicky-Fuller (ADF) unit root test procedure is used</w:t>
      </w:r>
      <w:r>
        <w:rPr>
          <w:spacing w:val="1"/>
        </w:rPr>
        <w:t> </w:t>
      </w:r>
      <w:r>
        <w:rPr/>
        <w:t>and the results are reported in Table 5.2.</w:t>
      </w:r>
      <w:r>
        <w:rPr>
          <w:spacing w:val="1"/>
        </w:rPr>
        <w:t> </w:t>
      </w:r>
      <w:r>
        <w:rPr/>
        <w:t>The result shows that most of the series are</w:t>
      </w:r>
      <w:r>
        <w:rPr>
          <w:spacing w:val="1"/>
        </w:rPr>
        <w:t> </w:t>
      </w:r>
      <w:r>
        <w:rPr/>
        <w:t>integrated of order one (I(1)), while two of the endogenous variables, the growth rate of</w:t>
      </w:r>
      <w:r>
        <w:rPr>
          <w:spacing w:val="1"/>
        </w:rPr>
        <w:t> </w:t>
      </w:r>
      <w:r>
        <w:rPr/>
        <w:t>GDP and the degree of openness are stationary in their levels.</w:t>
      </w:r>
      <w:r>
        <w:rPr>
          <w:spacing w:val="1"/>
        </w:rPr>
        <w:t> </w:t>
      </w:r>
      <w:r>
        <w:rPr/>
        <w:t>This would have justified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Johansen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likelihood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cointegration analysis but due to the small sample properties of the series, especially</w:t>
      </w:r>
      <w:r>
        <w:rPr>
          <w:spacing w:val="1"/>
        </w:rPr>
        <w:t> </w:t>
      </w:r>
      <w:r>
        <w:rPr/>
        <w:t>analyses that for which annual data are applied.</w:t>
      </w:r>
      <w:r>
        <w:rPr>
          <w:spacing w:val="1"/>
        </w:rPr>
        <w:t> </w:t>
      </w:r>
      <w:r>
        <w:rPr/>
        <w:t>The application of the ARDL approach</w:t>
      </w:r>
      <w:r>
        <w:rPr>
          <w:spacing w:val="1"/>
        </w:rPr>
        <w:t> </w:t>
      </w:r>
      <w:r>
        <w:rPr/>
        <w:t>might,</w:t>
      </w:r>
      <w:r>
        <w:rPr>
          <w:spacing w:val="-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provide convincing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over that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Johansen‘s</w:t>
      </w:r>
      <w:r>
        <w:rPr>
          <w:spacing w:val="-2"/>
        </w:rPr>
        <w:t> </w:t>
      </w:r>
      <w:r>
        <w:rPr/>
        <w:t>approach.</w:t>
      </w:r>
    </w:p>
    <w:p>
      <w:pPr>
        <w:spacing w:after="0" w:line="360" w:lineRule="auto"/>
        <w:jc w:val="both"/>
        <w:sectPr>
          <w:footerReference w:type="default" r:id="rId28"/>
          <w:pgSz w:w="12240" w:h="15840"/>
          <w:pgMar w:footer="1015" w:header="0" w:top="1360" w:bottom="1200" w:left="1320" w:right="440"/>
        </w:sectPr>
      </w:pPr>
    </w:p>
    <w:p>
      <w:pPr>
        <w:pStyle w:val="Heading2"/>
        <w:spacing w:after="42"/>
        <w:ind w:left="1111"/>
      </w:pPr>
      <w:r>
        <w:rPr/>
        <w:pict>
          <v:shape style="position:absolute;margin-left:281.300018pt;margin-top:129.333130pt;width:237.4pt;height:230.5pt;mso-position-horizontal-relative:page;mso-position-vertical-relative:paragraph;z-index:-25343488" coordorigin="5626,2587" coordsize="4748,4610" path="m6603,7139l6602,7136,6600,7129,6597,7126,6306,6835,6268,6763,6080,6402,6004,6257,5993,6237,5983,6225,5979,6222,5969,6220,5964,6222,5957,6226,5944,6237,5928,6252,5923,6259,5916,6268,5914,6273,5912,6281,5912,6284,5917,6297,5921,6302,6079,6595,6115,6659,6178,6767,6177,6768,6002,6668,5929,6629,5783,6551,5705,6508,5696,6505,5692,6504,5684,6505,5680,6507,5675,6509,5670,6513,5658,6523,5642,6539,5632,6551,5628,6557,5626,6562,5628,6572,5631,6576,5637,6581,5643,6586,5664,6598,5736,6636,6098,6824,6242,6900,6532,7190,6536,7193,6542,7196,6546,7196,6550,7195,6554,7194,6564,7189,6569,7185,6575,7181,6587,7168,6592,7163,6595,7158,6600,7148,6601,7143,6603,7139xm7274,6407l7274,6370,7268,6332,7258,6292,7242,6251,7223,6209,7199,6165,7170,6121,7161,6109,7161,6380,7157,6406,7148,6431,7133,6455,7115,6477,7093,6496,7070,6510,7045,6520,7020,6524,6994,6525,6967,6523,6939,6516,6909,6505,6880,6491,6849,6473,6818,6453,6786,6429,6753,6403,6720,6374,6687,6343,6652,6309,6622,6278,6594,6247,6567,6215,6541,6183,6518,6152,6499,6121,6482,6090,6469,6059,6458,6030,6451,6001,6447,5973,6447,5946,6451,5919,6460,5895,6474,5871,6493,5850,6515,5831,6537,5817,6562,5807,6587,5802,6614,5802,6641,5805,6669,5811,6698,5822,6728,5836,6759,5853,6790,5873,6821,5896,6854,5922,6886,5950,6919,5980,6952,6012,6983,6044,7012,6076,7039,6108,7064,6140,7088,6172,7108,6203,7125,6234,7139,6264,7150,6295,7157,6324,7161,6352,7161,6380,7161,6109,7137,6076,7100,6030,7059,5984,7013,5937,6966,5891,6921,5850,6876,5814,6860,5802,6832,5781,6790,5753,6749,5730,6709,5712,6670,5698,6633,5689,6596,5684,6562,5685,6528,5689,6496,5698,6465,5713,6436,5732,6408,5757,6383,5786,6363,5816,6348,5849,6339,5883,6335,5919,6336,5956,6341,5994,6351,6034,6366,6075,6386,6117,6409,6160,6438,6204,6470,6249,6507,6294,6547,6339,6591,6385,6639,6431,6685,6473,6731,6510,6775,6543,6817,6572,6859,6595,6899,6614,6938,6628,6975,6638,7011,6643,7046,6642,7080,6638,7113,6629,7144,6614,7173,6595,7201,6570,7227,6541,7237,6525,7247,6510,7261,6478,7270,6443,7274,6407xm7572,6170l7572,6166,7569,6159,7567,6156,7239,5828,7409,5658,7410,5655,7410,5648,7409,5644,7404,5635,7400,5629,7385,5611,7369,5595,7361,5588,7355,5583,7349,5578,7344,5575,7336,5571,7332,5570,7328,5570,7325,5570,7323,5571,7153,5742,6887,5477,7068,5296,7069,5294,7069,5291,7068,5283,7063,5274,7059,5268,7043,5250,7035,5242,7027,5234,7008,5217,6993,5208,6989,5208,6982,5207,6980,5208,6753,5435,6750,5444,6752,5454,6754,5464,6759,5474,6767,5484,6777,5495,7502,6221,7505,6223,7513,6226,7516,6226,7520,6225,7524,6224,7534,6219,7539,6215,7545,6211,7557,6198,7565,6188,7570,6178,7571,6174,7572,6170xm8101,5641l8100,5638,8098,5631,8095,5628,8092,5625,7340,4873,7337,4870,7330,4868,7327,4867,7322,4868,7318,4869,7309,4874,7298,4882,7286,4895,7278,4905,7273,4915,7272,4919,7271,4923,7271,4927,7274,4934,7276,4938,8031,5692,8034,5695,8041,5698,8044,5698,8048,5696,8053,5696,8063,5690,8073,5682,8086,5670,8090,5664,8094,5659,8099,5650,8099,5645,8101,5641xm8456,5214l8456,5197,8454,5181,8451,5164,8448,5147,8442,5129,8436,5112,8428,5094,8419,5076,8409,5058,8397,5039,8383,5021,8369,5003,8352,4985,8346,4977,8346,5180,8345,5194,8343,5207,8340,5220,8335,5232,8328,5244,8320,5256,8310,5267,8216,5361,7941,5086,8018,5009,8024,5003,8034,4995,8049,4983,8063,4974,8078,4967,8093,4963,8108,4961,8124,4960,8139,4961,8155,4965,8171,4970,8188,4977,8204,4986,8221,4996,8238,5009,8255,5024,8273,5040,8288,5057,8301,5073,8313,5089,8323,5105,8331,5120,8337,5136,8341,5151,8344,5165,8346,5180,8346,4977,8335,4966,8328,4960,8315,4947,8295,4930,8275,4915,8254,4901,8234,4889,8214,4878,8195,4870,8190,4868,8176,4863,8158,4858,8139,4855,8122,4853,8105,4853,8089,4854,8073,4858,8059,4862,8046,4868,8048,4855,8048,4841,8048,4827,8046,4812,8043,4798,8039,4783,8034,4768,8028,4753,8021,4739,8013,4724,8004,4710,7993,4695,7982,4680,7971,4666,7964,4658,7964,4852,7964,4866,7962,4879,7958,4892,7952,4905,7943,4917,7932,4930,7859,5003,7606,4751,7673,4684,7686,4671,7700,4661,7713,4653,7726,4648,7739,4645,7751,4643,7765,4643,7777,4644,7791,4648,7805,4653,7818,4660,7832,4668,7846,4678,7860,4689,7874,4701,7888,4714,7900,4727,7912,4741,7923,4754,7933,4768,7941,4783,7949,4797,7955,4811,7959,4824,7962,4838,7964,4852,7964,4658,7958,4652,7950,4643,7945,4638,7921,4616,7898,4596,7875,4579,7852,4564,7829,4552,7806,4542,7784,4534,7762,4530,7740,4528,7719,4529,7698,4532,7677,4538,7656,4547,7635,4560,7614,4576,7592,4596,7481,4707,7476,4712,7473,4721,7474,4732,7477,4741,7482,4751,7489,4762,7500,4773,8195,5469,8206,5479,8217,5487,8227,5491,8236,5493,8247,5495,8256,5492,8387,5361,8389,5360,8402,5346,8413,5332,8423,5318,8431,5304,8438,5290,8444,5276,8449,5261,8452,5245,8454,5230,8456,5214xm9020,4728l9019,4724,9017,4719,9014,4713,9009,4708,9003,4703,8995,4697,8984,4690,8889,4629,8609,4453,8609,4564,8440,4733,8179,4328,8135,4261,8135,4260,8135,4260,8609,4564,8609,4453,8304,4260,8097,4129,8091,4126,8086,4123,8081,4121,8076,4120,8072,4121,8062,4124,8056,4127,8050,4132,8044,4136,8038,4143,8030,4151,8022,4158,8016,4164,8012,4170,8008,4175,8005,4181,8004,4186,8002,4191,8001,4195,8003,4199,8004,4204,8007,4209,8010,4214,8053,4283,8370,4785,8571,5102,8578,5113,8584,5121,8589,5126,8594,5132,8600,5135,8604,5137,8609,5138,8614,5136,8620,5133,8625,5129,8632,5123,8646,5109,8651,5103,8655,5098,8659,5093,8661,5088,8661,5083,8662,5079,8662,5076,8660,5071,8659,5068,8657,5064,8654,5059,8617,5003,8506,4832,8605,4733,8709,4629,8940,4778,8945,4780,8949,4782,8953,4783,8956,4785,8960,4785,8963,4783,8968,4783,8972,4781,8978,4777,8983,4773,9005,4751,9010,4744,9014,4739,9018,4734,9020,4728xm9323,4313l9321,4275,9314,4235,9302,4194,9285,4152,9263,4108,9236,4062,9213,4029,9213,4277,9212,4304,9207,4330,9198,4355,9186,4380,9168,4404,9147,4427,9080,4494,8473,3887,8539,3821,8565,3798,8590,3781,8617,3768,8644,3761,8672,3758,8700,3759,8729,3763,8759,3770,8790,3781,8821,3796,8852,3813,8884,3834,8916,3858,8948,3884,8980,3912,9012,3942,9049,3981,9083,4019,9113,4055,9138,4090,9160,4124,9178,4157,9193,4189,9203,4219,9210,4249,9213,4277,9213,4029,9204,4016,9166,3969,9124,3920,9076,3870,9032,3828,8988,3790,8947,3758,8945,3756,8902,3727,8860,3702,8819,3681,8778,3665,8738,3652,8700,3645,8662,3642,8625,3644,8590,3650,8555,3662,8522,3679,8489,3702,8457,3731,8341,3847,8338,3856,8339,3867,8342,3876,8347,3886,8354,3896,8365,3908,9060,4603,9072,4614,9082,4621,9092,4626,9101,4628,9112,4630,9121,4627,9230,4518,9252,4494,9258,4487,9282,4454,9300,4420,9313,4386,9320,4350,9323,4313xm9940,3808l9939,3803,9937,3798,9934,3793,9929,3788,9923,3783,9916,3777,9905,3770,9810,3709,9529,3533,9529,3644,9360,3813,9099,3408,9055,3340,9055,3340,9529,3644,9529,3533,9224,3340,9017,3209,9011,3206,9006,3203,8996,3200,8992,3201,8987,3202,8982,3204,8976,3207,8971,3212,8965,3216,8958,3223,8950,3231,8936,3244,8928,3255,8925,3261,8924,3266,8922,3271,8922,3275,8923,3279,8924,3284,8927,3289,8930,3294,9017,3431,9289,3863,9318,3909,9491,4182,9498,4193,9504,4201,9509,4206,9514,4212,9520,4215,9529,4218,9534,4216,9540,4213,9545,4209,9552,4203,9566,4189,9571,4183,9575,4178,9579,4173,9581,4168,9581,4163,9582,4159,9582,4155,9580,4151,9579,4148,9577,4144,9574,4139,9426,3912,9525,3813,9629,3709,9860,3857,9865,3860,9869,3862,9873,3863,9876,3864,9880,3865,9883,3863,9888,3863,9892,3861,9898,3856,9903,3853,9925,3831,9930,3824,9934,3819,9938,3814,9940,3808xm10374,3365l10372,3352,10369,3345,10362,3330,10356,3322,10348,3315,9625,2592,9622,2590,9615,2587,9611,2587,9602,2588,9598,2590,9593,2594,9582,2602,9570,2614,9559,2629,9556,2634,9555,2643,9556,2647,9557,2650,9558,2654,9560,2657,10011,3107,10186,3280,10186,3280,10037,3203,9959,3162,9898,3133,9801,3084,9573,2970,9421,2894,9397,2883,9378,2874,9366,2870,9356,2867,9347,2867,9338,2867,9330,2867,9316,2874,9309,2879,9263,2925,9260,2935,9261,2947,9264,2957,9269,2967,9277,2978,9287,2990,10010,3713,10013,3715,10016,3716,10020,3718,10024,3718,10028,3717,10032,3717,10042,3711,10052,3704,10065,3691,10073,3680,10076,3675,10078,3671,10078,3666,10080,3662,10080,3659,10078,3654,10077,3651,10075,3648,9533,3107,9421,2997,9422,2997,9468,3022,9565,3073,9686,3134,10057,3318,10204,3392,10233,3406,10272,3422,10285,3425,10295,3426,10305,3427,10314,3426,10321,3423,10329,3421,10336,3416,10367,3384,10370,3380,10373,3370,10374,3365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5.2:</w:t>
      </w:r>
      <w:r>
        <w:rPr>
          <w:spacing w:val="-3"/>
        </w:rPr>
        <w:t> </w:t>
      </w:r>
      <w:r>
        <w:rPr/>
        <w:t>Augmented</w:t>
      </w:r>
      <w:r>
        <w:rPr>
          <w:spacing w:val="-1"/>
        </w:rPr>
        <w:t> </w:t>
      </w:r>
      <w:r>
        <w:rPr/>
        <w:t>Dickey</w:t>
      </w:r>
      <w:r>
        <w:rPr>
          <w:spacing w:val="-2"/>
        </w:rPr>
        <w:t> </w:t>
      </w:r>
      <w:r>
        <w:rPr/>
        <w:t>Fuller</w:t>
      </w:r>
      <w:r>
        <w:rPr>
          <w:spacing w:val="-2"/>
        </w:rPr>
        <w:t> </w:t>
      </w:r>
      <w:r>
        <w:rPr/>
        <w:t>(ADF)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Root</w:t>
      </w:r>
      <w:r>
        <w:rPr>
          <w:spacing w:val="-1"/>
        </w:rPr>
        <w:t> </w:t>
      </w:r>
      <w:r>
        <w:rPr/>
        <w:t>Test</w:t>
      </w:r>
    </w:p>
    <w:tbl>
      <w:tblPr>
        <w:tblW w:w="0" w:type="auto"/>
        <w:jc w:val="left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083"/>
        <w:gridCol w:w="1390"/>
        <w:gridCol w:w="1532"/>
        <w:gridCol w:w="1308"/>
        <w:gridCol w:w="1251"/>
        <w:gridCol w:w="1222"/>
      </w:tblGrid>
      <w:tr>
        <w:trPr>
          <w:trHeight w:val="378" w:hRule="atLeast"/>
        </w:trPr>
        <w:tc>
          <w:tcPr>
            <w:tcW w:w="1003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sz w:val="20"/>
              </w:rPr>
              <w:t>S/No.</w:t>
            </w:r>
          </w:p>
        </w:tc>
        <w:tc>
          <w:tcPr>
            <w:tcW w:w="1083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Variable</w:t>
            </w:r>
          </w:p>
        </w:tc>
        <w:tc>
          <w:tcPr>
            <w:tcW w:w="2922" w:type="dxa"/>
            <w:gridSpan w:val="2"/>
          </w:tcPr>
          <w:p>
            <w:pPr>
              <w:pStyle w:val="TableParagraph"/>
              <w:spacing w:before="26"/>
              <w:ind w:left="835"/>
              <w:rPr>
                <w:sz w:val="20"/>
              </w:rPr>
            </w:pPr>
            <w:r>
              <w:rPr>
                <w:sz w:val="20"/>
              </w:rPr>
              <w:t>ADF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Level)</w:t>
            </w:r>
          </w:p>
        </w:tc>
        <w:tc>
          <w:tcPr>
            <w:tcW w:w="2559" w:type="dxa"/>
            <w:gridSpan w:val="2"/>
          </w:tcPr>
          <w:p>
            <w:pPr>
              <w:pStyle w:val="TableParagraph"/>
              <w:spacing w:line="269" w:lineRule="exact"/>
              <w:ind w:left="543"/>
              <w:rPr>
                <w:sz w:val="20"/>
              </w:rPr>
            </w:pPr>
            <w:r>
              <w:rPr>
                <w:spacing w:val="-1"/>
                <w:sz w:val="20"/>
              </w:rPr>
              <w:t>ADF (</w:t>
            </w:r>
            <w:r>
              <w:rPr>
                <w:spacing w:val="-12"/>
                <w:sz w:val="20"/>
              </w:rPr>
              <w:t> </w:t>
            </w:r>
            <w:r>
              <w:rPr>
                <w:rFonts w:ascii="Symbol" w:hAnsi="Symbol"/>
                <w:spacing w:val="-1"/>
                <w:sz w:val="24"/>
              </w:rPr>
              <w:t>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Level)</w:t>
            </w:r>
          </w:p>
        </w:tc>
        <w:tc>
          <w:tcPr>
            <w:tcW w:w="122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Inference</w:t>
            </w:r>
          </w:p>
        </w:tc>
      </w:tr>
      <w:tr>
        <w:trPr>
          <w:trHeight w:val="690" w:hRule="atLeast"/>
        </w:trPr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1532" w:type="dxa"/>
          </w:tcPr>
          <w:p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z w:val="20"/>
              </w:rPr>
              <w:t>Trend &amp;</w:t>
            </w:r>
          </w:p>
          <w:p>
            <w:pPr>
              <w:pStyle w:val="TableParagraph"/>
              <w:spacing w:before="115"/>
              <w:ind w:left="407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1308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1251" w:type="dxa"/>
          </w:tcPr>
          <w:p>
            <w:pPr>
              <w:pStyle w:val="TableParagraph"/>
              <w:spacing w:line="223" w:lineRule="exact"/>
              <w:ind w:left="282"/>
              <w:rPr>
                <w:sz w:val="20"/>
              </w:rPr>
            </w:pPr>
            <w:r>
              <w:rPr>
                <w:sz w:val="20"/>
              </w:rPr>
              <w:t>Trend &amp;</w:t>
            </w:r>
          </w:p>
          <w:p>
            <w:pPr>
              <w:pStyle w:val="TableParagraph"/>
              <w:spacing w:before="115"/>
              <w:ind w:left="270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003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3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LRER</w:t>
            </w:r>
          </w:p>
        </w:tc>
        <w:tc>
          <w:tcPr>
            <w:tcW w:w="1390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384"/>
              <w:rPr>
                <w:sz w:val="20"/>
              </w:rPr>
            </w:pPr>
            <w:r>
              <w:rPr>
                <w:sz w:val="20"/>
              </w:rPr>
              <w:t>-0.2589</w:t>
            </w:r>
          </w:p>
        </w:tc>
        <w:tc>
          <w:tcPr>
            <w:tcW w:w="1532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455"/>
              <w:rPr>
                <w:sz w:val="20"/>
              </w:rPr>
            </w:pPr>
            <w:r>
              <w:rPr>
                <w:sz w:val="20"/>
              </w:rPr>
              <w:t>-2.6014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318"/>
              <w:rPr>
                <w:sz w:val="20"/>
              </w:rPr>
            </w:pPr>
            <w:r>
              <w:rPr>
                <w:sz w:val="20"/>
              </w:rPr>
              <w:t>-4.6867**</w:t>
            </w:r>
          </w:p>
        </w:tc>
        <w:tc>
          <w:tcPr>
            <w:tcW w:w="1251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217"/>
              <w:rPr>
                <w:sz w:val="20"/>
              </w:rPr>
            </w:pPr>
            <w:r>
              <w:rPr>
                <w:sz w:val="20"/>
              </w:rPr>
              <w:t>-4.9712**</w:t>
            </w:r>
          </w:p>
        </w:tc>
        <w:tc>
          <w:tcPr>
            <w:tcW w:w="1222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4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LREER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4"/>
              <w:rPr>
                <w:sz w:val="20"/>
              </w:rPr>
            </w:pPr>
            <w:r>
              <w:rPr>
                <w:sz w:val="20"/>
              </w:rPr>
              <w:t>-1.1687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5"/>
              <w:rPr>
                <w:sz w:val="20"/>
              </w:rPr>
            </w:pPr>
            <w:r>
              <w:rPr>
                <w:sz w:val="20"/>
              </w:rPr>
              <w:t>-2.1814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18"/>
              <w:rPr>
                <w:sz w:val="20"/>
              </w:rPr>
            </w:pPr>
            <w:r>
              <w:rPr>
                <w:sz w:val="20"/>
              </w:rPr>
              <w:t>-5.0792**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17"/>
              <w:rPr>
                <w:sz w:val="20"/>
              </w:rPr>
            </w:pPr>
            <w:r>
              <w:rPr>
                <w:sz w:val="20"/>
              </w:rPr>
              <w:t>-4.9996**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4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LBOP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84"/>
              <w:rPr>
                <w:sz w:val="20"/>
              </w:rPr>
            </w:pPr>
            <w:r>
              <w:rPr>
                <w:sz w:val="20"/>
              </w:rPr>
              <w:t>-2.1901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55"/>
              <w:rPr>
                <w:sz w:val="20"/>
              </w:rPr>
            </w:pPr>
            <w:r>
              <w:rPr>
                <w:sz w:val="20"/>
              </w:rPr>
              <w:t>-1.9275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06"/>
              <w:rPr>
                <w:sz w:val="20"/>
              </w:rPr>
            </w:pPr>
            <w:r>
              <w:rPr>
                <w:sz w:val="20"/>
              </w:rPr>
              <w:t>-1.9361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207"/>
              <w:rPr>
                <w:sz w:val="20"/>
              </w:rPr>
            </w:pPr>
            <w:r>
              <w:rPr>
                <w:sz w:val="20"/>
              </w:rPr>
              <w:t>-4.0579*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5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LCAB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17"/>
              <w:rPr>
                <w:sz w:val="20"/>
              </w:rPr>
            </w:pPr>
            <w:r>
              <w:rPr>
                <w:sz w:val="20"/>
              </w:rPr>
              <w:t>1.8638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89"/>
              <w:rPr>
                <w:sz w:val="20"/>
              </w:rPr>
            </w:pPr>
            <w:r>
              <w:rPr>
                <w:sz w:val="20"/>
              </w:rPr>
              <w:t>1.4130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06"/>
              <w:rPr>
                <w:sz w:val="20"/>
              </w:rPr>
            </w:pPr>
            <w:r>
              <w:rPr>
                <w:sz w:val="20"/>
              </w:rPr>
              <w:t>-1.2612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7"/>
              <w:rPr>
                <w:sz w:val="20"/>
              </w:rPr>
            </w:pPr>
            <w:r>
              <w:rPr>
                <w:sz w:val="20"/>
              </w:rPr>
              <w:t>-5.4587**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5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LFAB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4"/>
              <w:rPr>
                <w:sz w:val="20"/>
              </w:rPr>
            </w:pPr>
            <w:r>
              <w:rPr>
                <w:sz w:val="20"/>
              </w:rPr>
              <w:t>-3.3701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60"/>
              <w:rPr>
                <w:sz w:val="20"/>
              </w:rPr>
            </w:pPr>
            <w:r>
              <w:rPr>
                <w:sz w:val="20"/>
              </w:rPr>
              <w:t>-2.7891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91"/>
              <w:rPr>
                <w:sz w:val="20"/>
              </w:rPr>
            </w:pPr>
            <w:r>
              <w:rPr>
                <w:sz w:val="20"/>
              </w:rPr>
              <w:t>-6.7265**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17"/>
              <w:rPr>
                <w:sz w:val="20"/>
              </w:rPr>
            </w:pPr>
            <w:r>
              <w:rPr>
                <w:sz w:val="20"/>
              </w:rPr>
              <w:t>-6.6359**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4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LKAB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4"/>
              <w:rPr>
                <w:sz w:val="20"/>
              </w:rPr>
            </w:pPr>
            <w:r>
              <w:rPr>
                <w:sz w:val="20"/>
              </w:rPr>
              <w:t>-2.2368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60"/>
              <w:rPr>
                <w:sz w:val="20"/>
              </w:rPr>
            </w:pPr>
            <w:r>
              <w:rPr>
                <w:sz w:val="20"/>
              </w:rPr>
              <w:t>-2.7952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91"/>
              <w:rPr>
                <w:sz w:val="20"/>
              </w:rPr>
            </w:pPr>
            <w:r>
              <w:rPr>
                <w:sz w:val="20"/>
              </w:rPr>
              <w:t>-3.07467*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7"/>
              <w:rPr>
                <w:sz w:val="20"/>
              </w:rPr>
            </w:pPr>
            <w:r>
              <w:rPr>
                <w:sz w:val="20"/>
              </w:rPr>
              <w:t>-3.3585*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4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58"/>
              <w:rPr>
                <w:sz w:val="20"/>
              </w:rPr>
            </w:pPr>
            <w:r>
              <w:rPr>
                <w:sz w:val="20"/>
              </w:rPr>
              <w:t>LEX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84"/>
              <w:rPr>
                <w:sz w:val="20"/>
              </w:rPr>
            </w:pPr>
            <w:r>
              <w:rPr>
                <w:sz w:val="20"/>
              </w:rPr>
              <w:t>-2.4998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60"/>
              <w:rPr>
                <w:sz w:val="20"/>
              </w:rPr>
            </w:pPr>
            <w:r>
              <w:rPr>
                <w:sz w:val="20"/>
              </w:rPr>
              <w:t>-2.7859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291"/>
              <w:rPr>
                <w:sz w:val="20"/>
              </w:rPr>
            </w:pPr>
            <w:r>
              <w:rPr>
                <w:sz w:val="20"/>
              </w:rPr>
              <w:t>-6.6496**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217"/>
              <w:rPr>
                <w:sz w:val="20"/>
              </w:rPr>
            </w:pPr>
            <w:r>
              <w:rPr>
                <w:sz w:val="20"/>
              </w:rPr>
              <w:t>-6.5541**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31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58"/>
              <w:rPr>
                <w:sz w:val="20"/>
              </w:rPr>
            </w:pPr>
            <w:r>
              <w:rPr>
                <w:sz w:val="20"/>
              </w:rPr>
              <w:t>LIM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4"/>
              <w:rPr>
                <w:sz w:val="20"/>
              </w:rPr>
            </w:pPr>
            <w:r>
              <w:rPr>
                <w:sz w:val="20"/>
              </w:rPr>
              <w:t>-1.5413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60"/>
              <w:rPr>
                <w:sz w:val="20"/>
              </w:rPr>
            </w:pPr>
            <w:r>
              <w:rPr>
                <w:sz w:val="20"/>
              </w:rPr>
              <w:t>-2.1347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91"/>
              <w:rPr>
                <w:sz w:val="20"/>
              </w:rPr>
            </w:pPr>
            <w:r>
              <w:rPr>
                <w:sz w:val="20"/>
              </w:rPr>
              <w:t>-6.5493**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17"/>
              <w:rPr>
                <w:sz w:val="20"/>
              </w:rPr>
            </w:pPr>
            <w:r>
              <w:rPr>
                <w:sz w:val="20"/>
              </w:rPr>
              <w:t>-6.4940**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4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08"/>
              <w:rPr>
                <w:sz w:val="20"/>
              </w:rPr>
            </w:pPr>
            <w:r>
              <w:rPr>
                <w:sz w:val="20"/>
              </w:rPr>
              <w:t>LGDP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384"/>
              <w:rPr>
                <w:sz w:val="20"/>
              </w:rPr>
            </w:pPr>
            <w:r>
              <w:rPr>
                <w:sz w:val="20"/>
              </w:rPr>
              <w:t>-1.3348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460"/>
              <w:rPr>
                <w:sz w:val="20"/>
              </w:rPr>
            </w:pPr>
            <w:r>
              <w:rPr>
                <w:sz w:val="20"/>
              </w:rPr>
              <w:t>-1.7453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291"/>
              <w:rPr>
                <w:sz w:val="20"/>
              </w:rPr>
            </w:pPr>
            <w:r>
              <w:rPr>
                <w:sz w:val="20"/>
              </w:rPr>
              <w:t>-5.2178**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217"/>
              <w:rPr>
                <w:sz w:val="20"/>
              </w:rPr>
            </w:pPr>
            <w:r>
              <w:rPr>
                <w:sz w:val="20"/>
              </w:rPr>
              <w:t>-5.2322**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58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383" w:right="3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8"/>
              <w:rPr>
                <w:sz w:val="20"/>
              </w:rPr>
            </w:pPr>
            <w:r>
              <w:rPr>
                <w:sz w:val="20"/>
              </w:rPr>
              <w:t>LGDP</w:t>
            </w:r>
            <w:r>
              <w:rPr>
                <w:sz w:val="20"/>
                <w:vertAlign w:val="superscript"/>
              </w:rPr>
              <w:t>f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384"/>
              <w:rPr>
                <w:sz w:val="20"/>
              </w:rPr>
            </w:pPr>
            <w:r>
              <w:rPr>
                <w:sz w:val="20"/>
              </w:rPr>
              <w:t>-1.8384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460"/>
              <w:rPr>
                <w:sz w:val="20"/>
              </w:rPr>
            </w:pPr>
            <w:r>
              <w:rPr>
                <w:sz w:val="20"/>
              </w:rPr>
              <w:t>-3.3702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306"/>
              <w:rPr>
                <w:sz w:val="20"/>
              </w:rPr>
            </w:pPr>
            <w:r>
              <w:rPr>
                <w:sz w:val="20"/>
              </w:rPr>
              <w:t>-3.9440*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207"/>
              <w:rPr>
                <w:sz w:val="20"/>
              </w:rPr>
            </w:pPr>
            <w:r>
              <w:rPr>
                <w:sz w:val="20"/>
              </w:rPr>
              <w:t>-4.0106*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5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3" w:right="3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LCPI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4"/>
              <w:rPr>
                <w:sz w:val="20"/>
              </w:rPr>
            </w:pPr>
            <w:r>
              <w:rPr>
                <w:sz w:val="20"/>
              </w:rPr>
              <w:t>-2.3082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89"/>
              <w:rPr>
                <w:sz w:val="20"/>
              </w:rPr>
            </w:pPr>
            <w:r>
              <w:rPr>
                <w:sz w:val="20"/>
              </w:rPr>
              <w:t>0.4745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06"/>
              <w:rPr>
                <w:sz w:val="20"/>
              </w:rPr>
            </w:pPr>
            <w:r>
              <w:rPr>
                <w:sz w:val="20"/>
              </w:rPr>
              <w:t>-3.2880*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7"/>
              <w:rPr>
                <w:sz w:val="20"/>
              </w:rPr>
            </w:pPr>
            <w:r>
              <w:rPr>
                <w:sz w:val="20"/>
              </w:rPr>
              <w:t>-3.4825*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5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3" w:right="36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LMS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4"/>
              <w:rPr>
                <w:sz w:val="20"/>
              </w:rPr>
            </w:pPr>
            <w:r>
              <w:rPr>
                <w:sz w:val="20"/>
              </w:rPr>
              <w:t>-1.0440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60"/>
              <w:rPr>
                <w:sz w:val="20"/>
              </w:rPr>
            </w:pPr>
            <w:r>
              <w:rPr>
                <w:sz w:val="20"/>
              </w:rPr>
              <w:t>-1.7949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06"/>
              <w:rPr>
                <w:sz w:val="20"/>
              </w:rPr>
            </w:pPr>
            <w:r>
              <w:rPr>
                <w:sz w:val="20"/>
              </w:rPr>
              <w:t>-3.1584*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7"/>
              <w:rPr>
                <w:sz w:val="20"/>
              </w:rPr>
            </w:pPr>
            <w:r>
              <w:rPr>
                <w:sz w:val="20"/>
              </w:rPr>
              <w:t>-3.2531*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4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3" w:right="36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TBR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4"/>
              <w:rPr>
                <w:sz w:val="20"/>
              </w:rPr>
            </w:pPr>
            <w:r>
              <w:rPr>
                <w:sz w:val="20"/>
              </w:rPr>
              <w:t>-2.8034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60"/>
              <w:rPr>
                <w:sz w:val="20"/>
              </w:rPr>
            </w:pPr>
            <w:r>
              <w:rPr>
                <w:sz w:val="20"/>
              </w:rPr>
              <w:t>-2.7570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06"/>
              <w:rPr>
                <w:sz w:val="20"/>
              </w:rPr>
            </w:pPr>
            <w:r>
              <w:rPr>
                <w:sz w:val="20"/>
              </w:rPr>
              <w:t>-6.3454**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7"/>
              <w:rPr>
                <w:sz w:val="20"/>
              </w:rPr>
            </w:pPr>
            <w:r>
              <w:rPr>
                <w:sz w:val="20"/>
              </w:rPr>
              <w:t>-6.2809**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4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83" w:right="36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LWPI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84"/>
              <w:rPr>
                <w:sz w:val="20"/>
              </w:rPr>
            </w:pPr>
            <w:r>
              <w:rPr>
                <w:sz w:val="20"/>
              </w:rPr>
              <w:t>-2.4888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60"/>
              <w:rPr>
                <w:sz w:val="20"/>
              </w:rPr>
            </w:pPr>
            <w:r>
              <w:rPr>
                <w:sz w:val="20"/>
              </w:rPr>
              <w:t>-2.3102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06"/>
              <w:rPr>
                <w:sz w:val="20"/>
              </w:rPr>
            </w:pPr>
            <w:r>
              <w:rPr>
                <w:sz w:val="20"/>
              </w:rPr>
              <w:t>-1.3348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207"/>
              <w:rPr>
                <w:sz w:val="20"/>
              </w:rPr>
            </w:pPr>
            <w:r>
              <w:rPr>
                <w:sz w:val="20"/>
              </w:rPr>
              <w:t>-3.9603*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5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3" w:right="36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LFDI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4"/>
              <w:rPr>
                <w:sz w:val="20"/>
              </w:rPr>
            </w:pPr>
            <w:r>
              <w:rPr>
                <w:sz w:val="20"/>
              </w:rPr>
              <w:t>-2.1061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60"/>
              <w:rPr>
                <w:sz w:val="20"/>
              </w:rPr>
            </w:pPr>
            <w:r>
              <w:rPr>
                <w:sz w:val="20"/>
              </w:rPr>
              <w:t>-2.4478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06"/>
              <w:rPr>
                <w:sz w:val="20"/>
              </w:rPr>
            </w:pPr>
            <w:r>
              <w:rPr>
                <w:sz w:val="20"/>
              </w:rPr>
              <w:t>-5.2091**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7"/>
              <w:rPr>
                <w:sz w:val="20"/>
              </w:rPr>
            </w:pPr>
            <w:r>
              <w:rPr>
                <w:sz w:val="20"/>
              </w:rPr>
              <w:t>-5.5777**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I(1)</w:t>
            </w:r>
          </w:p>
        </w:tc>
      </w:tr>
      <w:tr>
        <w:trPr>
          <w:trHeight w:val="345" w:hRule="atLeast"/>
        </w:trPr>
        <w:tc>
          <w:tcPr>
            <w:tcW w:w="10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83" w:right="36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GGDP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-4.1272**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31"/>
              <w:rPr>
                <w:sz w:val="20"/>
              </w:rPr>
            </w:pPr>
            <w:r>
              <w:rPr>
                <w:sz w:val="20"/>
              </w:rPr>
              <w:t>-4.2857**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06"/>
              <w:rPr>
                <w:sz w:val="20"/>
              </w:rPr>
            </w:pPr>
            <w:r>
              <w:rPr>
                <w:sz w:val="20"/>
              </w:rPr>
              <w:t>-9.4978**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7"/>
              <w:rPr>
                <w:sz w:val="20"/>
              </w:rPr>
            </w:pPr>
            <w:r>
              <w:rPr>
                <w:sz w:val="20"/>
              </w:rPr>
              <w:t>-9.3483**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I(0)</w:t>
            </w:r>
          </w:p>
        </w:tc>
      </w:tr>
      <w:tr>
        <w:trPr>
          <w:trHeight w:val="405" w:hRule="atLeast"/>
        </w:trPr>
        <w:tc>
          <w:tcPr>
            <w:tcW w:w="1003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383" w:right="36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3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LOPEN</w:t>
            </w:r>
          </w:p>
        </w:tc>
        <w:tc>
          <w:tcPr>
            <w:tcW w:w="1390" w:type="dxa"/>
            <w:tcBorders>
              <w:top w:val="nil"/>
            </w:tcBorders>
          </w:tcPr>
          <w:p>
            <w:pPr>
              <w:pStyle w:val="TableParagraph"/>
              <w:spacing w:before="53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-5.2922**</w:t>
            </w:r>
          </w:p>
        </w:tc>
        <w:tc>
          <w:tcPr>
            <w:tcW w:w="1532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431"/>
              <w:rPr>
                <w:sz w:val="20"/>
              </w:rPr>
            </w:pPr>
            <w:r>
              <w:rPr>
                <w:sz w:val="20"/>
              </w:rPr>
              <w:t>-5.2143**</w:t>
            </w: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291"/>
              <w:rPr>
                <w:sz w:val="20"/>
              </w:rPr>
            </w:pPr>
            <w:r>
              <w:rPr>
                <w:sz w:val="20"/>
              </w:rPr>
              <w:t>-6.4137**</w:t>
            </w:r>
          </w:p>
        </w:tc>
        <w:tc>
          <w:tcPr>
            <w:tcW w:w="1251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207"/>
              <w:rPr>
                <w:sz w:val="20"/>
              </w:rPr>
            </w:pPr>
            <w:r>
              <w:rPr>
                <w:sz w:val="20"/>
              </w:rPr>
              <w:t>-6.3083**</w:t>
            </w:r>
          </w:p>
        </w:tc>
        <w:tc>
          <w:tcPr>
            <w:tcW w:w="1222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459"/>
              <w:rPr>
                <w:sz w:val="20"/>
              </w:rPr>
            </w:pPr>
            <w:r>
              <w:rPr>
                <w:sz w:val="20"/>
              </w:rPr>
              <w:t>I(0)</w:t>
            </w:r>
          </w:p>
        </w:tc>
      </w:tr>
    </w:tbl>
    <w:p>
      <w:pPr>
        <w:spacing w:before="0"/>
        <w:ind w:left="811" w:right="0" w:firstLine="0"/>
        <w:jc w:val="left"/>
        <w:rPr>
          <w:sz w:val="22"/>
        </w:rPr>
      </w:pPr>
      <w:r>
        <w:rPr/>
        <w:pict>
          <v:shape style="position:absolute;margin-left:116.940002pt;margin-top:-38.640484pt;width:194.45pt;height:196.9pt;mso-position-horizontal-relative:page;mso-position-vertical-relative:paragraph;z-index:-25344000" coordorigin="2339,-773" coordsize="3889,3938" path="m3369,2947l3367,2917,3362,2886,3353,2855,3340,2822,3324,2789,3304,2754,3281,2720,3255,2686,3224,2651,3191,2615,2711,2136,2708,2133,2701,2131,2697,2131,2693,2131,2689,2132,2680,2137,2669,2145,2657,2158,2649,2168,2644,2178,2642,2182,2641,2186,2642,2190,2644,2197,2647,2200,3127,2680,3152,2706,3174,2731,3194,2756,3210,2780,3225,2803,3236,2826,3246,2847,3253,2869,3257,2889,3259,2909,3258,2927,3255,2946,3250,2963,3242,2979,3231,2995,3218,3009,3204,3022,3189,3032,3172,3040,3155,3045,3137,3048,3118,3048,3098,3047,3077,3042,3056,3035,3033,3026,3010,3014,2986,2999,2961,2982,2936,2961,2910,2939,2883,2913,2409,2438,2405,2436,2398,2433,2395,2433,2391,2433,2387,2435,2377,2440,2366,2448,2354,2461,2346,2471,2343,2477,2340,2485,2339,2489,2339,2492,2342,2499,2344,2503,2831,2990,2867,3024,2902,3054,2937,3081,2971,3104,3004,3123,3037,3138,3068,3150,3098,3158,3128,3163,3157,3164,3184,3162,3211,3157,3236,3148,3260,3136,3282,3121,3303,3102,3323,3079,3340,3055,3352,3030,3361,3004,3367,2976,3369,2947xm3958,2414l3956,2402,3954,2395,3946,2380,3940,2372,3932,2364,3209,1641,3207,1639,3200,1637,3195,1636,3187,1637,3182,1640,3167,1651,3155,1663,3143,1679,3141,1683,3139,1692,3140,1696,3143,1703,3145,1706,3571,2132,3770,2329,3770,2330,3696,2291,3543,2212,3482,2182,3385,2133,3081,1982,2993,1937,2972,1928,2951,1920,2940,1917,2931,1916,2923,1916,2914,1917,2901,1923,2893,1929,2847,1974,2845,1984,2846,1996,2848,2006,2853,2016,2861,2028,2872,2039,3591,2759,3597,2764,3605,2767,3608,2768,3612,2766,3616,2766,3626,2761,3631,2757,3636,2753,3649,2740,3654,2734,3657,2729,3662,2720,3663,2716,3664,2712,3664,2708,3662,2704,3661,2700,3659,2698,3141,2179,3005,2047,3006,2046,3076,2084,3150,2122,3344,2220,3567,2330,3804,2449,3818,2455,3842,2465,3857,2471,3869,2474,3879,2475,3890,2477,3899,2476,3906,2473,3913,2470,3920,2466,3952,2434,3954,2430,3958,2419,3958,2414xm4162,2214l4162,2210,4159,2203,4157,2200,4154,2197,3402,1445,3399,1443,3391,1440,3388,1440,3384,1441,3376,1444,3370,1447,3360,1455,3348,1467,3340,1477,3335,1487,3333,1491,3332,1495,3332,1499,3335,1506,3337,1510,4092,2265,4095,2267,4102,2270,4106,2270,4109,2269,4114,2268,4124,2263,4135,2255,4147,2242,4155,2232,4160,2222,4161,2218,4162,2214xm4485,1888l4483,1878,4481,1874,4477,1868,4434,1801,3899,965,3889,954,3884,951,3880,949,3875,948,3870,949,3864,953,3853,962,3831,983,3823,994,3821,998,3820,1007,3820,1011,3824,1019,3873,1094,4349,1819,4349,1820,4283,1776,3553,1303,3544,1297,3540,1295,3536,1294,3524,1295,3520,1297,3511,1304,3489,1325,3474,1344,3472,1349,3474,1360,3476,1365,3482,1370,3488,1375,3507,1389,3575,1432,4391,1954,4398,1958,4401,1959,4404,1961,4407,1961,4414,1962,4417,1961,4420,1960,4427,1958,4430,1955,4443,1946,4471,1918,4480,1907,4482,1902,4485,1892,4485,1888xm4997,1380l4996,1373,4991,1363,4987,1358,4971,1339,4964,1332,4956,1324,4937,1307,4923,1300,4916,1299,4912,1299,4909,1300,4715,1495,4435,1216,4601,1051,4602,1048,4602,1042,4601,1038,4598,1030,4594,1025,4578,1007,4563,992,4545,975,4539,971,4531,967,4526,966,4519,966,4517,967,4352,1132,4107,887,4299,695,4300,693,4300,686,4299,682,4295,673,4291,667,4286,661,4275,649,4260,634,4247,622,4236,614,4226,609,4223,608,4215,608,4213,609,3974,847,3972,856,3973,867,3975,876,3980,886,3988,897,3998,908,4694,1604,4705,1614,4716,1622,4725,1626,4734,1628,4746,1630,4754,1628,4996,1386,4997,1384,4997,1380xm5431,945l5430,942,5429,939,5427,936,5424,932,5421,929,5418,926,5413,922,5406,917,5369,893,5185,784,5167,773,5135,755,5118,745,5085,727,5070,720,5056,713,5042,707,5028,701,5015,697,5002,694,4990,691,4981,689,4978,689,4967,687,4956,687,4946,688,4935,689,4940,673,4942,655,4944,638,4945,621,4944,604,4942,586,4938,568,4933,550,4926,532,4918,513,4909,495,4897,476,4884,457,4869,438,4852,419,4848,414,4848,627,4846,641,4843,656,4837,670,4830,684,4820,697,4809,710,4745,773,4483,510,4537,456,4546,447,4555,439,4563,432,4570,426,4579,420,4588,415,4597,411,4619,406,4641,404,4663,407,4685,414,4708,425,4730,439,4753,457,4776,479,4789,493,4802,507,4813,522,4823,537,4831,552,4838,567,4843,582,4846,597,4848,612,4848,627,4848,414,4838,404,4834,399,4813,380,4793,362,4773,346,4752,332,4732,320,4712,310,4691,302,4671,295,4651,291,4631,288,4611,288,4592,289,4573,292,4554,298,4536,305,4517,314,4510,319,4501,326,4492,332,4485,338,4477,345,4469,353,4460,362,4408,414,4356,465,4351,471,4348,480,4349,491,4352,500,4357,510,4364,520,4375,532,5100,1257,5103,1260,5107,1261,5110,1262,5113,1262,5117,1261,5122,1260,5126,1258,5132,1255,5136,1252,5142,1247,5155,1234,5159,1229,5163,1224,5166,1218,5168,1214,5168,1210,5169,1206,5170,1203,5168,1199,5167,1196,5164,1192,4931,959,4829,857,4851,835,4872,814,4884,804,4896,796,4908,790,4921,786,4934,784,4948,784,4963,785,4978,788,4993,792,5010,798,5026,805,5043,813,5061,822,5079,832,5098,843,5117,855,5289,959,5346,994,5352,998,5357,1000,5362,1002,5366,1004,5370,1004,5375,1004,5380,1003,5384,1001,5389,998,5394,994,5400,989,5414,976,5419,969,5423,964,5427,959,5429,954,5431,945xm5698,614l5696,588,5691,562,5683,535,5672,508,5659,481,5642,453,5622,426,5600,398,5574,371,5551,349,5528,330,5505,313,5483,299,5462,288,5441,279,5420,271,5399,265,5379,262,5359,259,5339,258,5320,258,5301,259,5282,260,5246,265,5192,273,5157,277,5140,278,5123,278,5106,278,5089,276,5073,272,5056,267,5039,261,5023,253,5007,242,4990,230,4974,214,4963,203,4953,191,4945,180,4937,167,4930,155,4924,143,4920,130,4917,118,4915,106,4915,94,4916,82,4918,70,4922,58,4928,47,4936,37,4945,26,4957,16,4968,7,4980,0,4993,-5,5006,-9,5019,-12,5031,-14,5043,-16,5065,-17,5095,-18,5102,-20,5107,-25,5107,-30,5105,-37,5094,-52,5084,-64,5057,-91,5046,-100,5034,-110,5027,-114,5014,-118,5008,-119,4998,-119,4984,-118,4973,-117,4963,-115,4941,-110,4930,-106,4919,-101,4909,-96,4898,-91,4888,-85,4878,-78,4870,-70,4861,-62,4846,-46,4834,-29,4824,-10,4816,10,4810,31,4807,52,4806,74,4808,96,4813,120,4820,143,4829,167,4842,191,4857,216,4874,241,4895,266,4918,290,4941,312,4964,332,4987,348,5009,361,5031,373,5052,383,5073,390,5093,396,5113,401,5133,404,5153,405,5172,405,5191,405,5210,403,5246,399,5317,388,5335,387,5352,386,5368,385,5385,386,5401,388,5418,392,5435,396,5451,403,5468,411,5484,421,5501,434,5517,450,5532,465,5545,481,5556,496,5565,511,5573,527,5579,542,5584,557,5587,571,5588,586,5588,600,5586,614,5582,627,5577,640,5571,652,5562,664,5553,675,5538,688,5524,698,5509,707,5493,713,5477,718,5462,722,5448,725,5434,727,5421,729,5409,729,5397,730,5374,729,5365,731,5360,736,5359,739,5359,745,5360,748,5365,758,5369,763,5387,783,5405,801,5413,808,5421,814,5428,819,5436,826,5445,830,5453,832,5460,834,5471,834,5496,833,5508,831,5520,829,5533,826,5546,822,5559,818,5573,812,5586,805,5600,797,5613,788,5626,778,5638,767,5654,749,5668,729,5680,708,5689,686,5695,663,5698,639,5698,614xm5942,433l5942,430,5940,423,5937,420,5934,417,5182,-335,5179,-338,5172,-340,5168,-341,5164,-340,5156,-337,5151,-334,5140,-326,5128,-313,5124,-308,5120,-303,5115,-293,5114,-289,5113,-285,5113,-281,5115,-274,5117,-270,5872,484,5876,487,5883,490,5886,490,5890,488,5894,488,5904,482,5915,474,5927,462,5935,451,5938,446,5940,442,5942,433xm6227,149l6227,145,6224,138,6222,135,5542,-545,5681,-683,5683,-686,5683,-690,5682,-697,5679,-702,5677,-706,5673,-711,5657,-730,5649,-738,5641,-746,5622,-763,5616,-767,5607,-772,5603,-773,5596,-773,5593,-772,5251,-429,5250,-427,5250,-423,5250,-420,5251,-416,5256,-407,5260,-401,5265,-395,5271,-388,5277,-381,5292,-366,5299,-360,5306,-355,5311,-350,5317,-346,5326,-341,5329,-340,5336,-340,5339,-341,5478,-480,6157,200,6161,202,6168,205,6171,205,6175,204,6179,203,6189,198,6200,189,6212,177,6217,171,6220,166,6225,157,6226,152,6227,149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2"/>
        </w:rPr>
        <w:t>Notes:</w:t>
      </w:r>
      <w:r>
        <w:rPr>
          <w:i/>
          <w:spacing w:val="-1"/>
          <w:sz w:val="22"/>
        </w:rPr>
        <w:t> </w:t>
      </w:r>
      <w:r>
        <w:rPr>
          <w:sz w:val="22"/>
        </w:rPr>
        <w:t>(i)</w:t>
      </w:r>
      <w:r>
        <w:rPr>
          <w:spacing w:val="-2"/>
          <w:sz w:val="22"/>
        </w:rPr>
        <w:t> </w:t>
      </w:r>
      <w:r>
        <w:rPr>
          <w:sz w:val="22"/>
        </w:rPr>
        <w:t>Critical values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ADF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Intercept</w:t>
      </w:r>
      <w:r>
        <w:rPr>
          <w:spacing w:val="-1"/>
          <w:sz w:val="22"/>
        </w:rPr>
        <w:t> </w:t>
      </w:r>
      <w:r>
        <w:rPr>
          <w:sz w:val="22"/>
        </w:rPr>
        <w:t>at 1%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5%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3"/>
          <w:sz w:val="22"/>
        </w:rPr>
        <w:t> </w:t>
      </w:r>
      <w:r>
        <w:rPr>
          <w:sz w:val="22"/>
        </w:rPr>
        <w:t>-3.6329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-2.9484.</w:t>
      </w:r>
    </w:p>
    <w:p>
      <w:pPr>
        <w:pStyle w:val="ListParagraph"/>
        <w:numPr>
          <w:ilvl w:val="1"/>
          <w:numId w:val="14"/>
        </w:numPr>
        <w:tabs>
          <w:tab w:pos="1688" w:val="left" w:leader="none"/>
        </w:tabs>
        <w:spacing w:line="240" w:lineRule="auto" w:before="120" w:after="0"/>
        <w:ind w:left="1687" w:right="0" w:hanging="325"/>
        <w:jc w:val="left"/>
        <w:rPr>
          <w:sz w:val="22"/>
        </w:rPr>
      </w:pPr>
      <w:r>
        <w:rPr>
          <w:sz w:val="22"/>
        </w:rPr>
        <w:t>Critical</w:t>
      </w:r>
      <w:r>
        <w:rPr>
          <w:spacing w:val="-1"/>
          <w:sz w:val="22"/>
        </w:rPr>
        <w:t> </w:t>
      </w:r>
      <w:r>
        <w:rPr>
          <w:sz w:val="22"/>
        </w:rPr>
        <w:t>values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ADF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Intercept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Trend</w:t>
      </w:r>
      <w:r>
        <w:rPr>
          <w:spacing w:val="-5"/>
          <w:sz w:val="22"/>
        </w:rPr>
        <w:t> </w:t>
      </w:r>
      <w:r>
        <w:rPr>
          <w:sz w:val="22"/>
        </w:rPr>
        <w:t>at 1%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5%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4"/>
          <w:sz w:val="22"/>
        </w:rPr>
        <w:t> </w:t>
      </w:r>
      <w:r>
        <w:rPr>
          <w:sz w:val="22"/>
        </w:rPr>
        <w:t>-4.2436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spacing w:before="126"/>
        <w:ind w:left="1694" w:right="0" w:firstLine="0"/>
        <w:jc w:val="left"/>
        <w:rPr>
          <w:sz w:val="22"/>
        </w:rPr>
      </w:pPr>
      <w:r>
        <w:rPr>
          <w:sz w:val="22"/>
        </w:rPr>
        <w:t>-3.5443.</w:t>
      </w:r>
    </w:p>
    <w:p>
      <w:pPr>
        <w:pStyle w:val="ListParagraph"/>
        <w:numPr>
          <w:ilvl w:val="1"/>
          <w:numId w:val="14"/>
        </w:numPr>
        <w:tabs>
          <w:tab w:pos="1692" w:val="left" w:leader="none"/>
        </w:tabs>
        <w:spacing w:line="240" w:lineRule="auto" w:before="126" w:after="0"/>
        <w:ind w:left="1691" w:right="0" w:hanging="384"/>
        <w:jc w:val="left"/>
        <w:rPr>
          <w:sz w:val="22"/>
        </w:rPr>
      </w:pPr>
      <w:r>
        <w:rPr>
          <w:sz w:val="22"/>
        </w:rPr>
        <w:t>**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(*)</w:t>
      </w:r>
      <w:r>
        <w:rPr>
          <w:spacing w:val="-1"/>
          <w:sz w:val="22"/>
        </w:rPr>
        <w:t> </w:t>
      </w:r>
      <w:r>
        <w:rPr>
          <w:sz w:val="22"/>
        </w:rPr>
        <w:t>implies significant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1%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(5%) level.</w:t>
      </w:r>
    </w:p>
    <w:p>
      <w:pPr>
        <w:pStyle w:val="ListParagraph"/>
        <w:numPr>
          <w:ilvl w:val="1"/>
          <w:numId w:val="14"/>
        </w:numPr>
        <w:tabs>
          <w:tab w:pos="1826" w:val="left" w:leader="none"/>
        </w:tabs>
        <w:spacing w:line="240" w:lineRule="auto" w:before="111" w:after="0"/>
        <w:ind w:left="1825" w:right="0" w:hanging="408"/>
        <w:jc w:val="left"/>
        <w:rPr>
          <w:sz w:val="24"/>
        </w:rPr>
      </w:pPr>
      <w:r>
        <w:rPr/>
        <w:pict>
          <v:rect style="position:absolute;margin-left:105.139999pt;margin-top:6.640026pt;width:436.39pt;height:20.76pt;mso-position-horizontal-relative:page;mso-position-vertical-relative:paragraph;z-index:-25342976" filled="true" fillcolor="#ffffff" stroked="false">
            <v:fill type="solid"/>
            <w10:wrap type="none"/>
          </v:rect>
        </w:pict>
      </w:r>
      <w:r>
        <w:rPr>
          <w:rFonts w:ascii="Symbol" w:hAnsi="Symbol"/>
          <w:sz w:val="24"/>
        </w:rPr>
        <w:t></w:t>
      </w:r>
      <w:r>
        <w:rPr>
          <w:spacing w:val="34"/>
          <w:sz w:val="24"/>
        </w:rPr>
        <w:t> </w:t>
      </w:r>
      <w:r>
        <w:rPr>
          <w:sz w:val="24"/>
        </w:rPr>
        <w:t>represents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-3"/>
          <w:sz w:val="24"/>
        </w:rPr>
        <w:t> </w:t>
      </w:r>
      <w:r>
        <w:rPr>
          <w:sz w:val="24"/>
        </w:rPr>
        <w:t>operator.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1"/>
          <w:numId w:val="16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19" w:id="54"/>
      <w:r>
        <w:rPr/>
        <w:t>Empirical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Interpretation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54"/>
      <w:r>
        <w:rPr/>
        <w:t>Results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74016">
            <wp:simplePos x="0" y="0"/>
            <wp:positionH relativeFrom="page">
              <wp:posOffset>1485138</wp:posOffset>
            </wp:positionH>
            <wp:positionV relativeFrom="paragraph">
              <wp:posOffset>1241591</wp:posOffset>
            </wp:positionV>
            <wp:extent cx="5102225" cy="5044439"/>
            <wp:effectExtent l="0" t="0" r="0" b="0"/>
            <wp:wrapNone/>
            <wp:docPr id="1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this section, the estimation results of the Unrestricted Error Correction Model (UECM)</w:t>
      </w:r>
      <w:r>
        <w:rPr>
          <w:spacing w:val="-57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ADRL</w:t>
      </w:r>
      <w:r>
        <w:rPr>
          <w:spacing w:val="24"/>
        </w:rPr>
        <w:t> </w:t>
      </w:r>
      <w:r>
        <w:rPr/>
        <w:t>approach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each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behavioural</w:t>
      </w:r>
      <w:r>
        <w:rPr>
          <w:spacing w:val="31"/>
        </w:rPr>
        <w:t> </w:t>
      </w:r>
      <w:r>
        <w:rPr/>
        <w:t>equations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presented.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bounds</w:t>
      </w:r>
      <w:r>
        <w:rPr>
          <w:spacing w:val="-57"/>
        </w:rPr>
        <w:t> </w:t>
      </w:r>
      <w:r>
        <w:rPr/>
        <w:t>test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UECM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checked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each of the</w:t>
      </w:r>
      <w:r>
        <w:rPr>
          <w:spacing w:val="-1"/>
        </w:rPr>
        <w:t> </w:t>
      </w:r>
      <w:r>
        <w:rPr/>
        <w:t>estimated UECM</w:t>
      </w:r>
      <w:r>
        <w:rPr>
          <w:spacing w:val="-1"/>
        </w:rPr>
        <w:t> </w:t>
      </w:r>
      <w:r>
        <w:rPr/>
        <w:t>equations</w:t>
      </w:r>
      <w:r>
        <w:rPr>
          <w:spacing w:val="3"/>
        </w:rPr>
        <w:t> </w:t>
      </w:r>
      <w:r>
        <w:rPr/>
        <w:t>is provided.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2"/>
          <w:numId w:val="16"/>
        </w:numPr>
        <w:tabs>
          <w:tab w:pos="1531" w:val="left" w:leader="none"/>
          <w:tab w:pos="1532" w:val="left" w:leader="none"/>
        </w:tabs>
        <w:spacing w:line="360" w:lineRule="auto" w:before="0" w:after="0"/>
        <w:ind w:left="1531" w:right="1152" w:hanging="720"/>
        <w:jc w:val="left"/>
      </w:pPr>
      <w:r>
        <w:rPr/>
        <w:t>The</w:t>
      </w:r>
      <w:r>
        <w:rPr>
          <w:spacing w:val="-3"/>
        </w:rPr>
        <w:t> </w:t>
      </w:r>
      <w:r>
        <w:rPr/>
        <w:t>Unrestricted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Correction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Balance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Payments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One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important</w:t>
      </w:r>
      <w:r>
        <w:rPr>
          <w:spacing w:val="11"/>
        </w:rPr>
        <w:t> </w:t>
      </w:r>
      <w:r>
        <w:rPr/>
        <w:t>steps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examining</w:t>
      </w:r>
      <w:r>
        <w:rPr>
          <w:spacing w:val="9"/>
        </w:rPr>
        <w:t> </w:t>
      </w:r>
      <w:r>
        <w:rPr/>
        <w:t>long</w:t>
      </w:r>
      <w:r>
        <w:rPr>
          <w:spacing w:val="9"/>
        </w:rPr>
        <w:t> </w:t>
      </w:r>
      <w:r>
        <w:rPr/>
        <w:t>run</w:t>
      </w:r>
      <w:r>
        <w:rPr>
          <w:spacing w:val="13"/>
        </w:rPr>
        <w:t> </w:t>
      </w:r>
      <w:r>
        <w:rPr/>
        <w:t>relationship</w:t>
      </w:r>
      <w:r>
        <w:rPr>
          <w:spacing w:val="12"/>
        </w:rPr>
        <w:t> </w:t>
      </w:r>
      <w:r>
        <w:rPr/>
        <w:t>using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ARDL</w:t>
      </w:r>
      <w:r>
        <w:rPr>
          <w:spacing w:val="6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is the estimation of a specified ARDL equation using the Unrestricted Error Correction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(UECM).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presupposes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disturbances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serially</w:t>
      </w:r>
      <w:r>
        <w:rPr>
          <w:spacing w:val="-58"/>
        </w:rPr>
        <w:t> </w:t>
      </w:r>
      <w:r>
        <w:rPr/>
        <w:t>uncorrelated, the choice of appropriate lag length is relevant.</w:t>
      </w:r>
      <w:r>
        <w:rPr>
          <w:spacing w:val="1"/>
        </w:rPr>
        <w:t> </w:t>
      </w:r>
      <w:r>
        <w:rPr/>
        <w:t>According to Akinboade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lag order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differenced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appropriate and then, following the procedure introduced by Hendry </w:t>
      </w:r>
      <w:r>
        <w:rPr>
          <w:i/>
        </w:rPr>
        <w:t>et al. </w:t>
      </w:r>
      <w:r>
        <w:rPr/>
        <w:t>(1984), which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 non-significant</w:t>
      </w:r>
      <w:r>
        <w:rPr>
          <w:spacing w:val="1"/>
        </w:rPr>
        <w:t> </w:t>
      </w:r>
      <w:r>
        <w:rPr/>
        <w:t>are systematically dropped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 until an appropriate estimation outcomes is obtained.</w:t>
      </w:r>
      <w:r>
        <w:rPr>
          <w:spacing w:val="60"/>
        </w:rPr>
        <w:t> </w:t>
      </w:r>
      <w:r>
        <w:rPr/>
        <w:t>A battery of diagnosis</w:t>
      </w:r>
      <w:r>
        <w:rPr>
          <w:spacing w:val="1"/>
        </w:rPr>
        <w:t> </w:t>
      </w:r>
      <w:r>
        <w:rPr/>
        <w:t>test can then be used to check the performance of the UECM.   The procedure suggested</w:t>
      </w:r>
      <w:r>
        <w:rPr>
          <w:spacing w:val="1"/>
        </w:rPr>
        <w:t> </w:t>
      </w:r>
      <w:r>
        <w:rPr/>
        <w:t>by Hendry et al. (1984) and used by Akinboade et al. (2008) and Sultan (2010) is,</w:t>
      </w:r>
      <w:r>
        <w:rPr>
          <w:spacing w:val="1"/>
        </w:rPr>
        <w:t> </w:t>
      </w:r>
      <w:r>
        <w:rPr/>
        <w:t>therefore, followed.</w:t>
      </w:r>
      <w:r>
        <w:rPr>
          <w:spacing w:val="1"/>
        </w:rPr>
        <w:t> </w:t>
      </w:r>
      <w:r>
        <w:rPr/>
        <w:t>The estimated results, residual tests and model stability tests of each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provided in</w:t>
      </w:r>
      <w:r>
        <w:rPr>
          <w:spacing w:val="4"/>
        </w:rPr>
        <w:t> </w:t>
      </w:r>
      <w:r>
        <w:rPr/>
        <w:t>Appendices 5-20.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t>As provided, the UECM gives appreciable R-bar squared between 0.35 and 0.94.</w:t>
      </w:r>
      <w:r>
        <w:rPr>
          <w:spacing w:val="1"/>
        </w:rPr>
        <w:t> </w:t>
      </w:r>
      <w:r>
        <w:rPr/>
        <w:t>The test</w:t>
      </w:r>
      <w:r>
        <w:rPr>
          <w:spacing w:val="-57"/>
        </w:rPr>
        <w:t> </w:t>
      </w:r>
      <w:r>
        <w:rPr/>
        <w:t>statistics of skewness and kurtosis of residuals showed by the Jarque-Bera test confirm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residuals are</w:t>
      </w:r>
      <w:r>
        <w:rPr>
          <w:spacing w:val="-1"/>
        </w:rPr>
        <w:t> </w:t>
      </w:r>
      <w:r>
        <w:rPr/>
        <w:t>fairly</w:t>
      </w:r>
      <w:r>
        <w:rPr>
          <w:spacing w:val="-3"/>
        </w:rPr>
        <w:t> </w:t>
      </w:r>
      <w:r>
        <w:rPr/>
        <w:t>normally</w:t>
      </w:r>
      <w:r>
        <w:rPr>
          <w:spacing w:val="-5"/>
        </w:rPr>
        <w:t> </w:t>
      </w:r>
      <w:r>
        <w:rPr/>
        <w:t>distributed.</w:t>
      </w:r>
    </w:p>
    <w:p>
      <w:pPr>
        <w:pStyle w:val="BodyText"/>
        <w:spacing w:line="360" w:lineRule="auto" w:before="201"/>
        <w:ind w:left="811" w:right="1000"/>
        <w:jc w:val="both"/>
      </w:pPr>
      <w:r>
        <w:rPr/>
        <w:t>Furthermore, each of the estimated models passes the Ramsey‘s Regression Specification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(RESET) using the square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Breusch-Godfrey Lagrange Multiplier test of serial correlation. The White‘s test statistics</w:t>
      </w:r>
      <w:r>
        <w:rPr>
          <w:spacing w:val="1"/>
        </w:rPr>
        <w:t> </w:t>
      </w:r>
      <w:r>
        <w:rPr/>
        <w:t>also indicate that there was no serious problem of Heteroscedasticity (of the variation in</w:t>
      </w:r>
      <w:r>
        <w:rPr>
          <w:spacing w:val="1"/>
        </w:rPr>
        <w:t> </w:t>
      </w:r>
      <w:r>
        <w:rPr/>
        <w:t>the variance of the errors in the series).</w:t>
      </w:r>
      <w:r>
        <w:rPr>
          <w:spacing w:val="1"/>
        </w:rPr>
        <w:t> </w:t>
      </w:r>
      <w:r>
        <w:rPr/>
        <w:t>Detailed of the UECM of the estimates are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Appendices</w:t>
      </w:r>
      <w:r>
        <w:rPr>
          <w:spacing w:val="3"/>
        </w:rPr>
        <w:t> </w:t>
      </w:r>
      <w:r>
        <w:rPr/>
        <w:t>5-20.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1"/>
          <w:numId w:val="16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18" w:id="55"/>
      <w:r>
        <w:rPr/>
        <w:t>Decision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Cointegration</w:t>
      </w:r>
      <w:r>
        <w:rPr>
          <w:spacing w:val="-1"/>
        </w:rPr>
        <w:t> </w:t>
      </w:r>
      <w:bookmarkEnd w:id="55"/>
      <w:r>
        <w:rPr/>
        <w:t>Tests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drawing>
          <wp:anchor distT="0" distB="0" distL="0" distR="0" allowOverlap="1" layoutInCell="1" locked="0" behindDoc="1" simplePos="0" relativeHeight="477974528">
            <wp:simplePos x="0" y="0"/>
            <wp:positionH relativeFrom="page">
              <wp:posOffset>1485138</wp:posOffset>
            </wp:positionH>
            <wp:positionV relativeFrom="paragraph">
              <wp:posOffset>1241591</wp:posOffset>
            </wp:positionV>
            <wp:extent cx="5102225" cy="5044439"/>
            <wp:effectExtent l="0" t="0" r="0" b="0"/>
            <wp:wrapNone/>
            <wp:docPr id="20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unit roots tests results which show mixed order of integration of the series, a</w:t>
      </w:r>
      <w:r>
        <w:rPr>
          <w:spacing w:val="1"/>
        </w:rPr>
        <w:t> </w:t>
      </w:r>
      <w:r>
        <w:rPr/>
        <w:t>cointegration test then becomes a major fundamental issue in the analysis.</w:t>
      </w:r>
      <w:r>
        <w:rPr>
          <w:spacing w:val="60"/>
        </w:rPr>
        <w:t> </w:t>
      </w:r>
      <w:r>
        <w:rPr/>
        <w:t>The 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lag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long-run</w:t>
      </w:r>
      <w:r>
        <w:rPr>
          <w:spacing w:val="1"/>
        </w:rPr>
        <w:t> </w:t>
      </w:r>
      <w:r>
        <w:rPr/>
        <w:t>relationship 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carried out.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2"/>
          <w:numId w:val="16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17" w:id="56"/>
      <w:r>
        <w:rPr/>
        <w:t>Bounds</w:t>
      </w:r>
      <w:r>
        <w:rPr>
          <w:spacing w:val="-2"/>
        </w:rPr>
        <w:t> </w:t>
      </w:r>
      <w:r>
        <w:rPr/>
        <w:t>Cointegration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bookmarkEnd w:id="56"/>
      <w:r>
        <w:rPr/>
        <w:t>Results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The analysis using ARDL</w:t>
      </w:r>
      <w:r>
        <w:rPr>
          <w:vertAlign w:val="superscript"/>
        </w:rPr>
        <w:t>35</w:t>
      </w:r>
      <w:r>
        <w:rPr>
          <w:vertAlign w:val="baseline"/>
        </w:rPr>
        <w:t> bounds testing approach of cointegration by Pesaran et, al.</w:t>
      </w:r>
      <w:r>
        <w:rPr>
          <w:spacing w:val="1"/>
          <w:vertAlign w:val="baseline"/>
        </w:rPr>
        <w:t> </w:t>
      </w:r>
      <w:r>
        <w:rPr>
          <w:vertAlign w:val="baseline"/>
        </w:rPr>
        <w:t>(2001) is reported in Table 5.3.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Table provides the results of the F-statistics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critical values of the standard significant levels as provided by Pesaran and Pesaran</w:t>
      </w:r>
      <w:r>
        <w:rPr>
          <w:spacing w:val="1"/>
          <w:vertAlign w:val="baseline"/>
        </w:rPr>
        <w:t> </w:t>
      </w:r>
      <w:r>
        <w:rPr>
          <w:vertAlign w:val="baseline"/>
        </w:rPr>
        <w:t>(2001).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values support the existence of cointegration or long-run 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variables in each of the equations except that of financial account balance whose</w:t>
      </w:r>
      <w:r>
        <w:rPr>
          <w:spacing w:val="1"/>
          <w:vertAlign w:val="baseline"/>
        </w:rPr>
        <w:t> </w:t>
      </w:r>
      <w:r>
        <w:rPr>
          <w:vertAlign w:val="baseline"/>
        </w:rPr>
        <w:t>F-statistics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falls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bound</w:t>
      </w:r>
      <w:r>
        <w:rPr>
          <w:spacing w:val="1"/>
          <w:vertAlign w:val="baseline"/>
        </w:rPr>
        <w:t> </w:t>
      </w:r>
      <w:r>
        <w:rPr>
          <w:vertAlign w:val="baseline"/>
        </w:rPr>
        <w:t>(lower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upper</w:t>
      </w:r>
      <w:r>
        <w:rPr>
          <w:spacing w:val="1"/>
          <w:vertAlign w:val="baseline"/>
        </w:rPr>
        <w:t> </w:t>
      </w:r>
      <w:r>
        <w:rPr>
          <w:vertAlign w:val="baseline"/>
        </w:rPr>
        <w:t>bound),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indecisiveness of the existence of cointgration even at the 10 percent level of significant.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salient feature of the analysis is that exchange rate turned out to be 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entire</w:t>
      </w:r>
      <w:r>
        <w:rPr>
          <w:spacing w:val="1"/>
          <w:vertAlign w:val="baseline"/>
        </w:rPr>
        <w:t> </w:t>
      </w:r>
      <w:r>
        <w:rPr>
          <w:vertAlign w:val="baseline"/>
        </w:rPr>
        <w:t>cointegration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test.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role in determining the balance of payments and its components in both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short and</w:t>
      </w:r>
      <w:r>
        <w:rPr>
          <w:spacing w:val="-1"/>
          <w:vertAlign w:val="baseline"/>
        </w:rPr>
        <w:t> </w:t>
      </w:r>
      <w:r>
        <w:rPr>
          <w:vertAlign w:val="baseline"/>
        </w:rPr>
        <w:t>long runs.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21"/>
        <w:ind w:left="811" w:right="993" w:firstLine="0"/>
        <w:jc w:val="left"/>
        <w:rPr>
          <w:sz w:val="20"/>
        </w:rPr>
      </w:pPr>
      <w:r>
        <w:rPr/>
        <w:pict>
          <v:rect style="position:absolute;margin-left:106.580002pt;margin-top:.509968pt;width:144.020pt;height:.71997pt;mso-position-horizontal-relative:page;mso-position-vertical-relative:paragraph;z-index:-2534144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35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ARDL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methodology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introduced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Pesaran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Shin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(1996);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Pesaran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Pesaran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(1997);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Pesaran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and Smith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(1997).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251" w:val="left" w:leader="none"/>
        </w:tabs>
        <w:spacing w:after="42"/>
      </w:pPr>
      <w:r>
        <w:rPr/>
        <w:pict>
          <v:shape style="position:absolute;margin-left:416.910034pt;margin-top:123.313103pt;width:101.8pt;height:102.2pt;mso-position-horizontal-relative:page;mso-position-vertical-relative:paragraph;z-index:-25339904" coordorigin="8338,2466" coordsize="2036,2044" path="m9323,4193l9321,4154,9314,4114,9302,4074,9285,4031,9263,3987,9236,3942,9213,3909,9213,4157,9212,4184,9207,4210,9198,4235,9186,4260,9168,4284,9147,4307,9080,4374,8473,3767,8539,3701,8565,3678,8590,3660,8617,3648,8644,3641,8672,3638,8700,3638,8729,3642,8759,3650,8790,3661,8821,3675,8852,3693,8884,3713,8916,3737,8948,3763,8980,3791,9012,3822,9049,3861,9083,3898,9113,3935,9138,3970,9160,4004,9178,4037,9193,4068,9203,4099,9210,4129,9213,4157,9213,3909,9204,3896,9166,3848,9124,3799,9076,3749,9032,3707,8988,3670,8947,3638,8945,3636,8902,3606,8860,3581,8819,3561,8778,3544,8738,3532,8700,3525,8662,3522,8625,3524,8590,3530,8555,3541,8522,3559,8489,3582,8457,3611,8341,3727,8338,3735,8339,3746,8342,3756,8347,3765,8354,3776,8365,3787,9060,4483,9072,4493,9082,4501,9092,4506,9101,4508,9112,4510,9121,4507,9230,4398,9252,4374,9258,4366,9282,4334,9300,4300,9313,4266,9320,4230,9323,4193xm9940,3688l9939,3683,9937,3678,9934,3673,9929,3667,9923,3662,9916,3657,9905,3649,9810,3589,9529,3412,9529,3523,9360,3693,9099,3288,9055,3220,9055,3220,9529,3523,9529,3412,9224,3220,9017,3088,9011,3085,9006,3082,8996,3080,8992,3080,8987,3082,8982,3083,8976,3086,8971,3091,8965,3096,8958,3102,8950,3110,8936,3124,8928,3135,8925,3140,8924,3145,8922,3150,8922,3154,8923,3159,8924,3164,8927,3169,8930,3174,9017,3310,9289,3743,9318,3789,9491,4062,9498,4073,9504,4080,9509,4086,9514,4092,9520,4095,9529,4097,9534,4096,9540,4092,9545,4088,9552,4083,9566,4069,9571,4062,9575,4057,9579,4052,9581,4048,9581,4043,9582,4039,9582,4035,9580,4031,9579,4027,9577,4023,9574,4019,9426,3791,9525,3693,9629,3589,9860,3737,9865,3740,9869,3741,9873,3743,9876,3744,9880,3744,9883,3743,9888,3743,9892,3740,9898,3736,9903,3732,9925,3710,9930,3704,9934,3698,9938,3693,9940,3688xm10374,3244l10372,3232,10369,3225,10362,3210,10356,3202,10348,3194,9625,2471,9622,2469,9615,2467,9611,2466,9602,2468,9598,2470,9593,2473,9582,2481,9570,2494,9559,2509,9556,2514,9555,2522,9556,2526,9557,2530,9558,2533,9560,2536,10011,2987,10186,3160,10186,3160,10037,3082,9959,3042,9898,3012,9801,2964,9573,2850,9421,2774,9397,2762,9378,2754,9366,2750,9356,2747,9347,2746,9338,2746,9330,2747,9316,2754,9309,2759,9263,2805,9260,2814,9261,2827,9264,2836,9269,2847,9277,2858,9287,2870,10010,3592,10013,3594,10016,3596,10020,3598,10024,3598,10028,3596,10032,3596,10042,3591,10052,3583,10065,3570,10073,3560,10076,3554,10078,3550,10078,3546,10080,3542,10080,3538,10078,3534,10077,3530,10075,3528,9533,2987,9421,2877,9422,2876,9468,2902,9565,2953,9686,3013,10057,3197,10204,3271,10233,3285,10272,3301,10285,3304,10295,3305,10305,3307,10314,3306,10321,3303,10329,3301,10336,3296,10367,3264,10370,3260,10373,3250,10374,3244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5.3:</w:t>
        <w:tab/>
        <w:t>Cointegration</w:t>
      </w:r>
      <w:r>
        <w:rPr>
          <w:spacing w:val="-1"/>
        </w:rPr>
        <w:t> </w:t>
      </w:r>
      <w:r>
        <w:rPr/>
        <w:t>Properties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1548"/>
        <w:gridCol w:w="1444"/>
        <w:gridCol w:w="1276"/>
        <w:gridCol w:w="1036"/>
        <w:gridCol w:w="1094"/>
        <w:gridCol w:w="1541"/>
      </w:tblGrid>
      <w:tr>
        <w:trPr>
          <w:trHeight w:val="304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S/No.</w:t>
            </w:r>
          </w:p>
        </w:tc>
        <w:tc>
          <w:tcPr>
            <w:tcW w:w="1548" w:type="dxa"/>
            <w:vMerge w:val="restart"/>
          </w:tcPr>
          <w:p>
            <w:pPr>
              <w:pStyle w:val="TableParagraph"/>
              <w:ind w:left="326" w:right="191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Dependent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Variable</w:t>
            </w:r>
          </w:p>
        </w:tc>
        <w:tc>
          <w:tcPr>
            <w:tcW w:w="1444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F-Statistics</w:t>
            </w:r>
          </w:p>
        </w:tc>
        <w:tc>
          <w:tcPr>
            <w:tcW w:w="2312" w:type="dxa"/>
            <w:gridSpan w:val="2"/>
          </w:tcPr>
          <w:p>
            <w:pPr>
              <w:pStyle w:val="TableParagraph"/>
              <w:spacing w:line="273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Critical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Bounds</w:t>
            </w:r>
          </w:p>
        </w:tc>
        <w:tc>
          <w:tcPr>
            <w:tcW w:w="1094" w:type="dxa"/>
            <w:vMerge w:val="restart"/>
          </w:tcPr>
          <w:p>
            <w:pPr>
              <w:pStyle w:val="TableParagraph"/>
              <w:ind w:left="308" w:right="89" w:hanging="1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Decision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Rule</w:t>
            </w:r>
          </w:p>
        </w:tc>
        <w:tc>
          <w:tcPr>
            <w:tcW w:w="1541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14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</w:p>
        </w:tc>
        <w:tc>
          <w:tcPr>
            <w:tcW w:w="1036" w:type="dxa"/>
          </w:tcPr>
          <w:p>
            <w:pPr>
              <w:pStyle w:val="TableParagraph"/>
              <w:spacing w:before="1"/>
              <w:ind w:left="174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Upper</w:t>
            </w:r>
          </w:p>
        </w:tc>
        <w:tc>
          <w:tcPr>
            <w:tcW w:w="10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806" w:type="dxa"/>
          </w:tcPr>
          <w:p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</w:tcPr>
          <w:p>
            <w:pPr>
              <w:pStyle w:val="TableParagraph"/>
              <w:spacing w:line="272" w:lineRule="exact"/>
              <w:ind w:left="15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DLBoP</w:t>
            </w:r>
          </w:p>
        </w:tc>
        <w:tc>
          <w:tcPr>
            <w:tcW w:w="1444" w:type="dxa"/>
          </w:tcPr>
          <w:p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9.519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284" w:right="273"/>
              <w:jc w:val="center"/>
              <w:rPr>
                <w:sz w:val="24"/>
              </w:rPr>
            </w:pPr>
            <w:r>
              <w:rPr>
                <w:sz w:val="24"/>
              </w:rPr>
              <w:t>3.74</w:t>
            </w:r>
          </w:p>
        </w:tc>
        <w:tc>
          <w:tcPr>
            <w:tcW w:w="1036" w:type="dxa"/>
          </w:tcPr>
          <w:p>
            <w:pPr>
              <w:pStyle w:val="TableParagraph"/>
              <w:spacing w:line="270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1094" w:type="dxa"/>
          </w:tcPr>
          <w:p>
            <w:pPr>
              <w:pStyle w:val="TableParagraph"/>
              <w:spacing w:line="27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541" w:type="dxa"/>
          </w:tcPr>
          <w:p>
            <w:pPr>
              <w:pStyle w:val="TableParagraph"/>
              <w:spacing w:line="270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Cointegrated</w:t>
            </w:r>
          </w:p>
        </w:tc>
      </w:tr>
      <w:tr>
        <w:trPr>
          <w:trHeight w:val="417" w:hRule="atLeast"/>
        </w:trPr>
        <w:tc>
          <w:tcPr>
            <w:tcW w:w="806" w:type="dxa"/>
          </w:tcPr>
          <w:p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8" w:type="dxa"/>
          </w:tcPr>
          <w:p>
            <w:pPr>
              <w:pStyle w:val="TableParagraph"/>
              <w:spacing w:line="272" w:lineRule="exact"/>
              <w:ind w:left="15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DLCAB</w:t>
            </w:r>
          </w:p>
        </w:tc>
        <w:tc>
          <w:tcPr>
            <w:tcW w:w="1444" w:type="dxa"/>
          </w:tcPr>
          <w:p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12.292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284" w:right="273"/>
              <w:jc w:val="center"/>
              <w:rPr>
                <w:sz w:val="24"/>
              </w:rPr>
            </w:pPr>
            <w:r>
              <w:rPr>
                <w:sz w:val="24"/>
              </w:rPr>
              <w:t>3.74</w:t>
            </w:r>
          </w:p>
        </w:tc>
        <w:tc>
          <w:tcPr>
            <w:tcW w:w="1036" w:type="dxa"/>
          </w:tcPr>
          <w:p>
            <w:pPr>
              <w:pStyle w:val="TableParagraph"/>
              <w:spacing w:line="270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1094" w:type="dxa"/>
          </w:tcPr>
          <w:p>
            <w:pPr>
              <w:pStyle w:val="TableParagraph"/>
              <w:spacing w:line="27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541" w:type="dxa"/>
          </w:tcPr>
          <w:p>
            <w:pPr>
              <w:pStyle w:val="TableParagraph"/>
              <w:spacing w:line="270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Cointegrated</w:t>
            </w:r>
          </w:p>
        </w:tc>
      </w:tr>
      <w:tr>
        <w:trPr>
          <w:trHeight w:val="414" w:hRule="atLeast"/>
        </w:trPr>
        <w:tc>
          <w:tcPr>
            <w:tcW w:w="806" w:type="dxa"/>
          </w:tcPr>
          <w:p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"/>
              <w:ind w:left="15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DLKAB</w:t>
            </w:r>
          </w:p>
        </w:tc>
        <w:tc>
          <w:tcPr>
            <w:tcW w:w="1444" w:type="dxa"/>
          </w:tcPr>
          <w:p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5.115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284" w:right="273"/>
              <w:jc w:val="center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  <w:tc>
          <w:tcPr>
            <w:tcW w:w="1036" w:type="dxa"/>
          </w:tcPr>
          <w:p>
            <w:pPr>
              <w:pStyle w:val="TableParagraph"/>
              <w:spacing w:line="270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4.89</w:t>
            </w:r>
          </w:p>
        </w:tc>
        <w:tc>
          <w:tcPr>
            <w:tcW w:w="1094" w:type="dxa"/>
          </w:tcPr>
          <w:p>
            <w:pPr>
              <w:pStyle w:val="TableParagraph"/>
              <w:spacing w:line="27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541" w:type="dxa"/>
          </w:tcPr>
          <w:p>
            <w:pPr>
              <w:pStyle w:val="TableParagraph"/>
              <w:spacing w:line="270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Cointegrated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"/>
              <w:ind w:left="15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DLFAB</w:t>
            </w:r>
          </w:p>
        </w:tc>
        <w:tc>
          <w:tcPr>
            <w:tcW w:w="1444" w:type="dxa"/>
          </w:tcPr>
          <w:p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2.682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284" w:right="273"/>
              <w:jc w:val="center"/>
              <w:rPr>
                <w:sz w:val="24"/>
              </w:rPr>
            </w:pPr>
            <w:r>
              <w:rPr>
                <w:sz w:val="24"/>
              </w:rPr>
              <w:t>3.41</w:t>
            </w:r>
          </w:p>
        </w:tc>
        <w:tc>
          <w:tcPr>
            <w:tcW w:w="1036" w:type="dxa"/>
          </w:tcPr>
          <w:p>
            <w:pPr>
              <w:pStyle w:val="TableParagraph"/>
              <w:spacing w:line="270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4.68</w:t>
            </w:r>
          </w:p>
        </w:tc>
        <w:tc>
          <w:tcPr>
            <w:tcW w:w="1094" w:type="dxa"/>
          </w:tcPr>
          <w:p>
            <w:pPr>
              <w:pStyle w:val="TableParagraph"/>
              <w:spacing w:line="27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541" w:type="dxa"/>
          </w:tcPr>
          <w:p>
            <w:pPr>
              <w:pStyle w:val="TableParagraph"/>
              <w:spacing w:line="270" w:lineRule="exac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>
            <w:pPr>
              <w:pStyle w:val="TableParagraph"/>
              <w:spacing w:before="137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Cointegrated</w:t>
            </w:r>
          </w:p>
        </w:tc>
      </w:tr>
      <w:tr>
        <w:trPr>
          <w:trHeight w:val="412" w:hRule="atLeast"/>
        </w:trPr>
        <w:tc>
          <w:tcPr>
            <w:tcW w:w="806" w:type="dxa"/>
          </w:tcPr>
          <w:p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"/>
              <w:ind w:left="15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DLEX</w:t>
            </w:r>
          </w:p>
        </w:tc>
        <w:tc>
          <w:tcPr>
            <w:tcW w:w="1444" w:type="dxa"/>
          </w:tcPr>
          <w:p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5.845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284" w:right="273"/>
              <w:jc w:val="center"/>
              <w:rPr>
                <w:sz w:val="24"/>
              </w:rPr>
            </w:pPr>
            <w:r>
              <w:rPr>
                <w:sz w:val="24"/>
              </w:rPr>
              <w:t>3.74</w:t>
            </w:r>
          </w:p>
        </w:tc>
        <w:tc>
          <w:tcPr>
            <w:tcW w:w="1036" w:type="dxa"/>
          </w:tcPr>
          <w:p>
            <w:pPr>
              <w:pStyle w:val="TableParagraph"/>
              <w:spacing w:line="270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1094" w:type="dxa"/>
          </w:tcPr>
          <w:p>
            <w:pPr>
              <w:pStyle w:val="TableParagraph"/>
              <w:spacing w:line="27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541" w:type="dxa"/>
          </w:tcPr>
          <w:p>
            <w:pPr>
              <w:pStyle w:val="TableParagraph"/>
              <w:spacing w:line="270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Cointegrated</w:t>
            </w:r>
          </w:p>
        </w:tc>
      </w:tr>
      <w:tr>
        <w:trPr>
          <w:trHeight w:val="415" w:hRule="atLeast"/>
        </w:trPr>
        <w:tc>
          <w:tcPr>
            <w:tcW w:w="806" w:type="dxa"/>
          </w:tcPr>
          <w:p>
            <w:pPr>
              <w:pStyle w:val="TableParagraph"/>
              <w:spacing w:line="273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8" w:type="dxa"/>
          </w:tcPr>
          <w:p>
            <w:pPr>
              <w:pStyle w:val="TableParagraph"/>
              <w:spacing w:before="15"/>
              <w:ind w:left="15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DLIM</w:t>
            </w:r>
          </w:p>
        </w:tc>
        <w:tc>
          <w:tcPr>
            <w:tcW w:w="1444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12.564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/>
              <w:ind w:left="284" w:right="273"/>
              <w:jc w:val="center"/>
              <w:rPr>
                <w:sz w:val="24"/>
              </w:rPr>
            </w:pPr>
            <w:r>
              <w:rPr>
                <w:sz w:val="24"/>
              </w:rPr>
              <w:t>4.29</w:t>
            </w:r>
          </w:p>
        </w:tc>
        <w:tc>
          <w:tcPr>
            <w:tcW w:w="1036" w:type="dxa"/>
          </w:tcPr>
          <w:p>
            <w:pPr>
              <w:pStyle w:val="TableParagraph"/>
              <w:spacing w:line="273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5.61</w:t>
            </w:r>
          </w:p>
        </w:tc>
        <w:tc>
          <w:tcPr>
            <w:tcW w:w="1094" w:type="dxa"/>
          </w:tcPr>
          <w:p>
            <w:pPr>
              <w:pStyle w:val="TableParagraph"/>
              <w:spacing w:line="273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541" w:type="dxa"/>
          </w:tcPr>
          <w:p>
            <w:pPr>
              <w:pStyle w:val="TableParagraph"/>
              <w:spacing w:line="273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Cointegrated</w:t>
            </w:r>
          </w:p>
        </w:tc>
      </w:tr>
      <w:tr>
        <w:trPr>
          <w:trHeight w:val="414" w:hRule="atLeast"/>
        </w:trPr>
        <w:tc>
          <w:tcPr>
            <w:tcW w:w="806" w:type="dxa"/>
          </w:tcPr>
          <w:p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"/>
              <w:ind w:left="15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DLFDI</w:t>
            </w:r>
          </w:p>
        </w:tc>
        <w:tc>
          <w:tcPr>
            <w:tcW w:w="1444" w:type="dxa"/>
          </w:tcPr>
          <w:p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6.965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284" w:right="273"/>
              <w:jc w:val="center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  <w:tc>
          <w:tcPr>
            <w:tcW w:w="1036" w:type="dxa"/>
          </w:tcPr>
          <w:p>
            <w:pPr>
              <w:pStyle w:val="TableParagraph"/>
              <w:spacing w:line="270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3.61</w:t>
            </w:r>
          </w:p>
        </w:tc>
        <w:tc>
          <w:tcPr>
            <w:tcW w:w="1094" w:type="dxa"/>
          </w:tcPr>
          <w:p>
            <w:pPr>
              <w:pStyle w:val="TableParagraph"/>
              <w:spacing w:line="27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541" w:type="dxa"/>
          </w:tcPr>
          <w:p>
            <w:pPr>
              <w:pStyle w:val="TableParagraph"/>
              <w:spacing w:line="270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Cointegrated</w:t>
            </w:r>
          </w:p>
        </w:tc>
      </w:tr>
      <w:tr>
        <w:trPr>
          <w:trHeight w:val="417" w:hRule="atLeast"/>
        </w:trPr>
        <w:tc>
          <w:tcPr>
            <w:tcW w:w="806" w:type="dxa"/>
          </w:tcPr>
          <w:p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48" w:type="dxa"/>
          </w:tcPr>
          <w:p>
            <w:pPr>
              <w:pStyle w:val="TableParagraph"/>
              <w:spacing w:line="271" w:lineRule="exact"/>
              <w:ind w:left="15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DLCPI</w:t>
            </w:r>
          </w:p>
        </w:tc>
        <w:tc>
          <w:tcPr>
            <w:tcW w:w="1444" w:type="dxa"/>
          </w:tcPr>
          <w:p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11.246</w:t>
            </w:r>
          </w:p>
        </w:tc>
        <w:tc>
          <w:tcPr>
            <w:tcW w:w="1276" w:type="dxa"/>
          </w:tcPr>
          <w:p>
            <w:pPr>
              <w:pStyle w:val="TableParagraph"/>
              <w:spacing w:line="270" w:lineRule="exact"/>
              <w:ind w:left="284" w:right="273"/>
              <w:jc w:val="center"/>
              <w:rPr>
                <w:sz w:val="24"/>
              </w:rPr>
            </w:pPr>
            <w:r>
              <w:rPr>
                <w:sz w:val="24"/>
              </w:rPr>
              <w:t>3.41</w:t>
            </w:r>
          </w:p>
        </w:tc>
        <w:tc>
          <w:tcPr>
            <w:tcW w:w="1036" w:type="dxa"/>
          </w:tcPr>
          <w:p>
            <w:pPr>
              <w:pStyle w:val="TableParagraph"/>
              <w:spacing w:line="270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4.68</w:t>
            </w:r>
          </w:p>
        </w:tc>
        <w:tc>
          <w:tcPr>
            <w:tcW w:w="1094" w:type="dxa"/>
          </w:tcPr>
          <w:p>
            <w:pPr>
              <w:pStyle w:val="TableParagraph"/>
              <w:spacing w:line="27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541" w:type="dxa"/>
          </w:tcPr>
          <w:p>
            <w:pPr>
              <w:pStyle w:val="TableParagraph"/>
              <w:spacing w:line="270" w:lineRule="exact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Cointegrated</w:t>
            </w:r>
          </w:p>
        </w:tc>
      </w:tr>
    </w:tbl>
    <w:p>
      <w:pPr>
        <w:pStyle w:val="BodyText"/>
        <w:ind w:left="871"/>
      </w:pPr>
      <w:r>
        <w:rPr/>
        <w:pict>
          <v:shape style="position:absolute;margin-left:116.940002pt;margin-top:75.833122pt;width:194.45pt;height:196.9pt;mso-position-horizontal-relative:page;mso-position-vertical-relative:paragraph;z-index:-25340928" coordorigin="2339,1517" coordsize="3889,3938" path="m3369,5237l3367,5207,3362,5176,3353,5144,3340,5111,3324,5078,3304,5044,3281,5010,3255,4975,3224,4940,3191,4904,2711,4425,2708,4423,2701,4420,2697,4420,2693,4421,2689,4422,2680,4427,2669,4435,2657,4447,2649,4458,2644,4468,2642,4471,2641,4476,2642,4479,2644,4486,2647,4490,3127,4970,3152,4996,3174,5021,3194,5045,3210,5069,3225,5092,3236,5115,3246,5137,3253,5158,3257,5178,3259,5198,3258,5217,3255,5235,3250,5253,3242,5269,3231,5284,3218,5299,3204,5311,3189,5321,3172,5329,3155,5334,3137,5337,3118,5338,3098,5336,3077,5331,3056,5325,3033,5316,3010,5303,2986,5289,2961,5271,2936,5251,2910,5228,2883,5202,2409,4728,2405,4725,2398,4723,2395,4722,2391,4723,2387,4724,2377,4729,2366,4737,2354,4750,2346,4761,2343,4766,2340,4774,2339,4778,2339,4782,2342,4789,2344,4792,2831,5279,2867,5313,2902,5343,2937,5370,2971,5393,3004,5412,3037,5428,3068,5440,3098,5448,3128,5453,3157,5454,3184,5452,3211,5446,3236,5438,3260,5425,3282,5410,3303,5391,3323,5369,3340,5345,3352,5320,3361,5293,3367,5265,3369,5237xm3958,4703l3956,4691,3954,4684,3946,4669,3940,4661,3932,4653,3209,3931,3207,3929,3200,3926,3195,3926,3187,3927,3182,3929,3167,3941,3155,3953,3143,3968,3141,3973,3139,3982,3140,3985,3143,3993,3145,3995,3571,4422,3770,4619,3770,4619,3696,4580,3543,4501,3482,4472,3385,4423,3081,4271,2993,4227,2972,4217,2951,4209,2940,4206,2931,4205,2923,4205,2914,4206,2901,4213,2893,4218,2847,4264,2845,4274,2846,4286,2848,4296,2853,4306,2861,4317,2872,4329,3591,5049,3597,5054,3605,5057,3608,5057,3612,5056,3616,5055,3626,5050,3631,5047,3636,5042,3649,5030,3654,5024,3657,5019,3662,5009,3663,5005,3664,5001,3664,4997,3662,4993,3661,4990,3659,4987,3141,4468,3005,4336,3006,4335,3076,4374,3150,4412,3344,4510,3567,4620,3804,4738,3818,4744,3842,4755,3857,4760,3869,4763,3879,4764,3890,4766,3899,4765,3906,4762,3913,4760,3920,4755,3952,4723,3954,4719,3958,4709,3958,4703xm4162,4503l4162,4500,4159,4493,4157,4489,4154,4486,3402,3735,3399,3732,3391,3729,3388,3729,3384,3730,3376,3733,3370,3736,3360,3744,3348,3756,3340,3767,3335,3777,3333,3780,3332,3785,3332,3789,3335,3796,3337,3799,4092,4554,4095,4557,4102,4559,4106,4560,4109,4558,4114,4557,4124,4552,4135,4544,4147,4532,4155,4521,4160,4511,4161,4507,4162,4503xm4485,4178l4483,4168,4481,4163,4477,4158,4434,4090,3899,3255,3889,3243,3884,3240,3880,3239,3875,3238,3870,3239,3864,3242,3853,3251,3831,3273,3823,3283,3821,3288,3820,3297,3820,3300,3824,3308,3873,3383,4349,4109,4349,4109,4283,4066,3553,3592,3544,3587,3540,3585,3536,3584,3524,3585,3520,3586,3511,3593,3489,3615,3474,3633,3472,3639,3474,3649,3476,3654,3482,3659,3488,3665,3507,3678,3575,3722,4391,4243,4398,4248,4401,4248,4404,4250,4407,4251,4414,4251,4417,4251,4420,4249,4427,4247,4430,4245,4443,4235,4471,4208,4480,4197,4482,4192,4485,4182,4485,4178xm4997,3669l4996,3662,4991,3653,4987,3647,4971,3629,4964,3622,4956,3614,4937,3597,4923,3589,4916,3588,4912,3588,4909,3590,4715,3784,4435,3505,4601,3340,4602,3338,4602,3331,4601,3327,4598,3319,4594,3314,4578,3296,4563,3281,4545,3265,4539,3261,4531,3257,4526,3255,4519,3255,4517,3256,4352,3421,4107,3177,4299,2984,4300,2982,4300,2975,4299,2971,4295,2963,4291,2957,4286,2951,4275,2939,4260,2923,4247,2912,4236,2903,4226,2898,4223,2897,4215,2897,4213,2898,3974,3137,3972,3146,3973,3156,3975,3166,3980,3176,3988,3186,3998,3198,4694,3893,4705,3904,4716,3911,4725,3916,4734,3918,4746,3920,4754,3917,4996,3676,4997,3673,4997,3669xm5431,3235l5430,3231,5429,3228,5427,3225,5424,3222,5421,3219,5418,3215,5413,3211,5406,3206,5369,3183,5185,3073,5167,3063,5135,3044,5118,3034,5085,3017,5070,3009,5056,3002,5042,2996,5028,2991,5015,2987,5002,2983,4990,2980,4981,2979,4978,2978,4967,2977,4956,2977,4946,2977,4935,2979,4940,2962,4942,2945,4944,2928,4945,2910,4944,2893,4942,2875,4938,2857,4933,2839,4926,2821,4918,2803,4909,2784,4897,2765,4884,2746,4869,2727,4852,2708,4848,2704,4848,2916,4846,2930,4843,2945,4837,2959,4830,2973,4820,2987,4809,2999,4745,3063,4483,2800,4537,2745,4546,2736,4555,2728,4563,2722,4570,2716,4579,2709,4588,2704,4597,2701,4619,2695,4641,2693,4663,2696,4685,2703,4708,2714,4730,2729,4753,2747,4776,2768,4789,2782,4802,2797,4813,2811,4823,2826,4831,2841,4838,2856,4843,2871,4846,2886,4848,2901,4848,2916,4848,2704,4838,2693,4834,2689,4813,2669,4793,2652,4773,2636,4752,2622,4732,2610,4712,2600,4691,2592,4671,2585,4651,2580,4631,2578,4611,2577,4592,2578,4573,2582,4554,2587,4536,2594,4517,2604,4510,2609,4501,2615,4492,2622,4485,2628,4477,2635,4469,2643,4460,2652,4408,2703,4356,2755,4351,2760,4348,2769,4349,2780,4352,2789,4357,2799,4364,2810,4375,2821,5100,3546,5103,3549,5107,3550,5110,3552,5113,3552,5117,3550,5122,3550,5126,3547,5132,3545,5136,3541,5142,3537,5155,3524,5159,3518,5163,3513,5166,3508,5168,3504,5168,3499,5169,3496,5170,3492,5168,3489,5167,3485,5164,3482,4931,3248,4829,3146,4851,3125,4872,3103,4884,3093,4896,3085,4908,3079,4921,3075,4934,3074,4948,3073,4963,3075,4978,3077,4993,3082,5010,3087,5026,3094,5043,3102,5061,3112,5079,3122,5098,3133,5117,3144,5289,3248,5346,3283,5352,3287,5357,3290,5362,3291,5366,3293,5370,3294,5375,3293,5380,3293,5384,3291,5389,3287,5394,3284,5400,3279,5414,3265,5419,3258,5423,3253,5427,3248,5429,3244,5431,3235xm5698,2903l5696,2878,5691,2852,5683,2825,5672,2798,5659,2770,5642,2743,5622,2715,5600,2688,5574,2660,5551,2638,5528,2619,5505,2603,5483,2589,5462,2578,5441,2569,5420,2561,5399,2555,5379,2551,5359,2549,5339,2548,5320,2547,5301,2548,5282,2550,5246,2554,5192,2562,5157,2567,5140,2568,5123,2568,5106,2567,5089,2565,5073,2562,5056,2557,5039,2551,5023,2542,5007,2532,4990,2519,4974,2504,4963,2492,4953,2481,4945,2469,4937,2457,4930,2444,4924,2432,4920,2420,4917,2408,4915,2396,4915,2384,4916,2372,4918,2359,4922,2348,4928,2337,4936,2326,4945,2316,4957,2305,4968,2297,4980,2290,4993,2284,5006,2281,5019,2278,5031,2275,5043,2274,5065,2272,5095,2271,5102,2269,5107,2265,5107,2259,5105,2252,5094,2238,5084,2226,5057,2198,5046,2189,5034,2180,5027,2176,5014,2171,5008,2170,4998,2170,4984,2171,4973,2173,4963,2175,4941,2180,4930,2184,4919,2188,4909,2193,4898,2199,4888,2205,4878,2212,4870,2219,4861,2227,4846,2243,4834,2261,4824,2279,4816,2299,4810,2320,4807,2341,4806,2363,4808,2386,4813,2409,4820,2433,4829,2457,4842,2481,4857,2506,4874,2530,4895,2555,4918,2579,4941,2602,4964,2621,4987,2638,5009,2651,5031,2662,5052,2672,5073,2680,5093,2686,5113,2690,5133,2693,5153,2695,5172,2695,5191,2694,5210,2693,5246,2688,5317,2678,5335,2676,5352,2675,5368,2675,5385,2675,5401,2678,5418,2681,5435,2686,5451,2692,5468,2700,5484,2711,5501,2724,5517,2739,5532,2755,5545,2770,5556,2785,5565,2801,5573,2816,5579,2831,5584,2846,5587,2861,5588,2875,5588,2890,5586,2903,5582,2917,5577,2930,5571,2942,5562,2954,5553,2964,5538,2977,5524,2988,5509,2996,5493,3002,5477,3008,5462,3012,5448,3015,5434,3017,5421,3018,5409,3019,5397,3019,5374,3018,5365,3020,5360,3025,5359,3028,5359,3034,5360,3038,5365,3047,5369,3053,5387,3072,5405,3090,5413,3098,5421,3104,5428,3109,5436,3116,5445,3119,5453,3121,5460,3123,5471,3124,5496,3122,5508,3121,5520,3118,5533,3115,5546,3112,5559,3107,5573,3101,5586,3095,5600,3087,5613,3078,5626,3068,5638,3056,5654,3038,5668,3019,5680,2998,5689,2976,5695,2952,5698,2928,5698,2903xm5942,2723l5942,2719,5940,2712,5937,2709,5934,2706,5182,1954,5179,1952,5172,1949,5168,1949,5164,1950,5156,1953,5151,1956,5140,1964,5128,1976,5124,1982,5120,1986,5115,1996,5114,2000,5113,2004,5113,2008,5115,2015,5117,2019,5872,2774,5876,2776,5883,2779,5886,2779,5890,2778,5894,2777,5904,2772,5915,2764,5927,2751,5935,2741,5938,2735,5940,2731,5942,2723xm6227,2438l6227,2435,6224,2428,6222,2424,5542,1745,5681,1606,5683,1603,5683,1600,5682,1592,5679,1588,5677,1584,5673,1578,5657,1559,5649,1552,5641,1544,5622,1527,5616,1523,5607,1518,5603,1517,5596,1517,5593,1518,5251,1860,5250,1863,5250,1866,5250,1870,5251,1873,5256,1883,5260,1889,5265,1894,5271,1901,5277,1908,5292,1924,5299,1930,5306,1935,5311,1940,5317,1944,5326,1948,5329,1949,5336,1950,5339,1948,5478,1809,6157,2489,6161,2491,6168,2494,6171,2494,6175,2493,6179,2492,6189,2487,6200,2479,6212,2466,6217,2461,6220,2456,6225,2446,6226,2442,6227,243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-47.816887pt;width:169.7pt;height:153.8pt;mso-position-horizontal-relative:page;mso-position-vertical-relative:paragraph;z-index:-25340416" coordorigin="5626,-956" coordsize="3394,3076" path="m6603,2063l6602,2059,6600,2052,6597,2049,6306,1758,6268,1686,6080,1325,6004,1181,5993,1160,5983,1148,5979,1146,5969,1143,5964,1145,5957,1149,5944,1160,5928,1176,5923,1182,5916,1191,5914,1196,5912,1204,5912,1207,5917,1220,5921,1225,6079,1518,6115,1583,6178,1691,6177,1691,6002,1592,5929,1552,5783,1474,5705,1432,5696,1428,5692,1427,5684,1429,5680,1430,5675,1433,5670,1436,5658,1446,5642,1462,5632,1474,5628,1480,5626,1485,5628,1495,5631,1499,5637,1504,5643,1509,5664,1521,5736,1559,6098,1747,6242,1823,6532,2114,6536,2116,6542,2119,6546,2119,6550,2118,6554,2117,6564,2112,6569,2108,6575,2104,6587,2092,6592,2086,6595,2081,6600,2071,6601,2067,6603,2063xm7274,1331l7274,1293,7268,1255,7258,1215,7242,1174,7223,1132,7199,1089,7170,1044,7161,1032,7161,1303,7157,1330,7148,1354,7133,1378,7115,1400,7093,1419,7070,1433,7045,1443,7020,1447,6994,1449,6967,1446,6939,1439,6909,1428,6880,1414,6849,1397,6818,1376,6786,1352,6753,1326,6720,1297,6687,1266,6652,1233,6622,1201,6594,1170,6567,1138,6541,1107,6518,1075,6499,1044,6482,1013,6469,983,6458,953,6451,924,6447,896,6447,869,6451,843,6460,818,6474,795,6493,773,6515,754,6537,740,6562,730,6587,726,6614,725,6641,728,6669,735,6698,745,6728,759,6759,776,6790,796,6821,819,6854,845,6886,873,6919,904,6952,936,6983,967,7012,999,7039,1031,7064,1063,7088,1095,7108,1127,7125,1157,7139,1188,7150,1218,7157,1247,7161,1276,7161,1303,7161,1032,7137,999,7100,953,7059,907,7013,860,6966,815,6921,774,6876,737,6860,725,6832,704,6790,677,6749,654,6709,635,6670,621,6633,612,6596,607,6562,608,6528,612,6496,622,6465,636,6436,656,6408,680,6383,709,6363,739,6348,772,6339,806,6335,842,6336,879,6341,917,6351,957,6366,998,6386,1040,6409,1083,6438,1127,6470,1172,6507,1217,6547,1263,6591,1308,6639,1355,6685,1396,6731,1433,6775,1466,6817,1495,6859,1518,6899,1537,6938,1551,6975,1561,7011,1566,7046,1566,7080,1561,7113,1552,7144,1538,7173,1518,7201,1493,7227,1464,7237,1449,7247,1433,7261,1401,7270,1366,7274,1331xm7572,1093l7572,1090,7569,1082,7567,1079,7239,751,7409,581,7410,578,7410,571,7409,567,7404,558,7400,552,7385,534,7369,518,7361,511,7355,506,7349,501,7344,498,7336,494,7332,493,7328,493,7325,494,7323,495,7153,665,6887,400,7068,219,7069,217,7069,214,7068,206,7063,198,7059,192,7043,173,7035,165,7027,157,7008,140,6993,132,6989,131,6982,131,6980,131,6753,358,6750,367,6752,378,6754,387,6759,397,6767,407,6777,419,7502,1144,7505,1146,7513,1149,7516,1149,7520,1148,7524,1147,7534,1142,7539,1139,7545,1134,7557,1121,7565,1111,7570,1101,7571,1097,7572,1093xm8101,565l8100,561,8098,554,8095,551,8092,548,7340,-204,7337,-207,7330,-209,7327,-209,7322,-209,7318,-207,7309,-202,7298,-194,7286,-182,7278,-172,7273,-162,7272,-158,7271,-154,7271,-150,7274,-143,7276,-139,8031,616,8034,618,8041,621,8044,621,8048,620,8053,619,8063,614,8073,605,8086,593,8090,587,8094,582,8099,573,8099,568,8101,565xm8456,137l8456,121,8454,104,8451,87,8448,70,8442,53,8436,35,8428,17,8419,0,8409,-19,8397,-38,8383,-56,8369,-74,8352,-92,8346,-99,8346,103,8345,117,8343,131,8340,143,8335,155,8328,167,8320,179,8310,190,8216,284,7941,9,8018,-68,8024,-73,8034,-82,8049,-94,8063,-103,8078,-110,8093,-114,8108,-116,8124,-117,8139,-116,8155,-112,8171,-107,8188,-100,8204,-91,8221,-80,8238,-68,8255,-53,8273,-37,8288,-20,8301,-4,8313,12,8323,28,8331,44,8337,59,8341,74,8344,88,8346,103,8346,-99,8335,-111,8328,-117,8315,-130,8295,-147,8275,-162,8254,-176,8234,-188,8214,-198,8195,-207,8190,-209,8176,-214,8158,-219,8139,-222,8122,-224,8105,-224,8089,-222,8073,-219,8059,-215,8046,-209,8048,-222,8048,-236,8048,-250,8046,-265,8043,-279,8039,-294,8034,-308,8028,-324,8021,-338,8013,-352,8004,-367,7993,-382,7982,-396,7971,-411,7964,-419,7964,-225,7964,-211,7962,-198,7958,-185,7952,-172,7943,-159,7932,-147,7859,-73,7606,-326,7673,-393,7686,-405,7700,-416,7713,-423,7726,-429,7739,-432,7751,-434,7765,-434,7777,-432,7791,-429,7805,-423,7818,-417,7832,-409,7846,-399,7860,-388,7874,-376,7888,-362,7900,-349,7912,-336,7923,-323,7933,-309,7941,-294,7949,-280,7955,-266,7959,-252,7962,-238,7964,-225,7964,-419,7958,-425,7950,-434,7945,-439,7921,-461,7898,-481,7875,-498,7852,-513,7829,-525,7806,-535,7784,-542,7762,-547,7740,-549,7719,-548,7698,-545,7677,-539,7656,-530,7635,-517,7614,-501,7592,-481,7481,-370,7476,-365,7473,-356,7474,-345,7477,-336,7482,-326,7489,-315,7500,-304,8195,392,8206,402,8217,410,8227,414,8236,416,8247,418,8256,416,8387,284,8389,283,8402,269,8413,255,8423,241,8431,227,8438,213,8444,199,8449,184,8452,169,8454,153,8456,137xm9020,-348l9019,-353,9017,-358,9014,-364,9009,-369,9003,-374,8995,-379,8984,-387,8889,-447,8609,-624,8609,-513,8440,-344,8179,-749,8135,-816,8135,-817,8135,-817,8609,-513,8609,-624,8304,-817,8097,-948,8091,-951,8086,-954,8081,-955,8076,-956,8072,-956,8062,-953,8056,-950,8050,-945,8044,-941,8038,-934,8030,-926,8022,-918,8016,-912,8012,-907,8008,-901,8005,-896,8004,-891,8002,-886,8001,-882,8003,-877,8004,-873,8007,-868,8010,-862,8053,-794,8370,-292,8571,25,8578,36,8584,44,8589,50,8594,55,8600,58,8604,60,8609,61,8614,60,8620,56,8625,52,8632,47,8646,32,8651,26,8655,21,8659,16,8661,12,8661,7,8662,3,8662,-1,8660,-5,8659,-9,8657,-13,8654,-17,8617,-74,8506,-245,8605,-344,8709,-447,8940,-299,8945,-297,8949,-295,8953,-293,8956,-292,8960,-292,8963,-293,8968,-294,8972,-296,8978,-300,8983,-304,9005,-326,9010,-333,9014,-338,9018,-343,9020,-348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</w:rPr>
        <w:t>Source:</w:t>
      </w:r>
      <w:r>
        <w:rPr>
          <w:i/>
          <w:spacing w:val="-2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Author,</w:t>
      </w:r>
      <w:r>
        <w:rPr>
          <w:spacing w:val="-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bounds are obtained from</w:t>
      </w:r>
      <w:r>
        <w:rPr>
          <w:spacing w:val="-1"/>
        </w:rPr>
        <w:t> </w:t>
      </w:r>
      <w:r>
        <w:rPr/>
        <w:t>Pesaran</w:t>
      </w:r>
      <w:r>
        <w:rPr>
          <w:spacing w:val="-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-1"/>
        </w:rPr>
        <w:t> </w:t>
      </w:r>
      <w:r>
        <w:rPr/>
        <w:t>(2001)</w:t>
      </w:r>
    </w:p>
    <w:p>
      <w:pPr>
        <w:spacing w:after="0"/>
        <w:sectPr>
          <w:pgSz w:w="12240" w:h="15840"/>
          <w:pgMar w:header="0" w:footer="1015" w:top="148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t>Before proceeding to the analysis of the ARDL error correction mechanism (ECM) of the</w:t>
      </w:r>
      <w:r>
        <w:rPr>
          <w:spacing w:val="1"/>
        </w:rPr>
        <w:t> </w:t>
      </w:r>
      <w:r>
        <w:rPr/>
        <w:t>equations (see Appendices 2-5), the optimal ARDL order is obtained.</w:t>
      </w:r>
      <w:r>
        <w:rPr>
          <w:spacing w:val="1"/>
        </w:rPr>
        <w:t> </w:t>
      </w:r>
      <w:r>
        <w:rPr/>
        <w:t>The analysis in</w:t>
      </w:r>
      <w:r>
        <w:rPr>
          <w:spacing w:val="1"/>
        </w:rPr>
        <w:t> </w:t>
      </w:r>
      <w:r>
        <w:rPr/>
        <w:t>obtaining</w:t>
      </w:r>
      <w:r>
        <w:rPr>
          <w:spacing w:val="-3"/>
        </w:rPr>
        <w:t> </w:t>
      </w:r>
      <w:r>
        <w:rPr/>
        <w:t>the maximum lag</w:t>
      </w:r>
      <w:r>
        <w:rPr>
          <w:spacing w:val="-3"/>
        </w:rPr>
        <w:t> </w:t>
      </w:r>
      <w:r>
        <w:rPr/>
        <w:t>length is provided in sub-section 5.3.1.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16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16" w:id="57"/>
      <w:r>
        <w:rPr/>
        <w:t>Optimal</w:t>
      </w:r>
      <w:r>
        <w:rPr>
          <w:spacing w:val="-2"/>
        </w:rPr>
        <w:t> </w:t>
      </w:r>
      <w:r>
        <w:rPr/>
        <w:t>Lag</w:t>
      </w:r>
      <w:r>
        <w:rPr>
          <w:spacing w:val="-2"/>
        </w:rPr>
        <w:t> </w:t>
      </w:r>
      <w:r>
        <w:rPr/>
        <w:t>Length</w:t>
      </w:r>
      <w:r>
        <w:rPr>
          <w:spacing w:val="-1"/>
        </w:rPr>
        <w:t> </w:t>
      </w:r>
      <w:r>
        <w:rPr/>
        <w:t>Selection</w:t>
      </w:r>
      <w:r>
        <w:rPr>
          <w:spacing w:val="-2"/>
        </w:rPr>
        <w:t> </w:t>
      </w:r>
      <w:bookmarkEnd w:id="57"/>
      <w:r>
        <w:rPr/>
        <w:t>Criteria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7977088">
            <wp:simplePos x="0" y="0"/>
            <wp:positionH relativeFrom="page">
              <wp:posOffset>1485138</wp:posOffset>
            </wp:positionH>
            <wp:positionV relativeFrom="paragraph">
              <wp:posOffset>129071</wp:posOffset>
            </wp:positionV>
            <wp:extent cx="5102225" cy="5044439"/>
            <wp:effectExtent l="0" t="0" r="0" b="0"/>
            <wp:wrapNone/>
            <wp:docPr id="20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first step to the ARDL approach is to determine the optimal lag length of the series</w:t>
      </w:r>
      <w:r>
        <w:rPr>
          <w:vertAlign w:val="superscript"/>
        </w:rPr>
        <w:t>36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optimal lag length for each of the equations are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the five main criteria,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Akaike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Criterion</w:t>
      </w:r>
      <w:r>
        <w:rPr>
          <w:spacing w:val="1"/>
          <w:vertAlign w:val="baseline"/>
        </w:rPr>
        <w:t> </w:t>
      </w:r>
      <w:r>
        <w:rPr>
          <w:vertAlign w:val="baseline"/>
        </w:rPr>
        <w:t>(AIC)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Schwartz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Criterion</w:t>
      </w:r>
      <w:r>
        <w:rPr>
          <w:spacing w:val="60"/>
          <w:vertAlign w:val="baseline"/>
        </w:rPr>
        <w:t> </w:t>
      </w:r>
      <w:r>
        <w:rPr>
          <w:vertAlign w:val="baseline"/>
        </w:rPr>
        <w:t>(SC),</w:t>
      </w:r>
      <w:r>
        <w:rPr>
          <w:spacing w:val="1"/>
          <w:vertAlign w:val="baseline"/>
        </w:rPr>
        <w:t> </w:t>
      </w:r>
      <w:r>
        <w:rPr>
          <w:vertAlign w:val="baseline"/>
        </w:rPr>
        <w:t>Hannan Quin Test (HQ), Likelihood Ratio Tests (LR) and Final Prediction Error (FPE).</w:t>
      </w:r>
      <w:r>
        <w:rPr>
          <w:spacing w:val="1"/>
          <w:vertAlign w:val="baseline"/>
        </w:rPr>
        <w:t> </w:t>
      </w:r>
      <w:r>
        <w:rPr>
          <w:vertAlign w:val="baseline"/>
        </w:rPr>
        <w:t>Even though a preferred lag length is appropriate if more of the five criteria 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support for it, but according the Pesaran et al., (1997), both AIC and SC criteria selection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have similar small sample performance but the ARDL Schwartz Information Criterion</w:t>
      </w:r>
      <w:r>
        <w:rPr>
          <w:spacing w:val="1"/>
          <w:vertAlign w:val="baseline"/>
        </w:rPr>
        <w:t> </w:t>
      </w:r>
      <w:r>
        <w:rPr>
          <w:vertAlign w:val="baseline"/>
        </w:rPr>
        <w:t>(ARDL-SC) performs slightly better than the other.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 the SC is 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 in model selection criterion while AIC is not.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specification, the optimal</w:t>
      </w:r>
      <w:r>
        <w:rPr>
          <w:spacing w:val="1"/>
          <w:vertAlign w:val="baseline"/>
        </w:rPr>
        <w:t> </w:t>
      </w:r>
      <w:r>
        <w:rPr>
          <w:vertAlign w:val="baseline"/>
        </w:rPr>
        <w:t>lags as decided upon by the SC are provided in the specified ARDL model of each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1"/>
          <w:numId w:val="16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15" w:id="58"/>
      <w:r>
        <w:rPr/>
        <w:t>The</w:t>
      </w:r>
      <w:r>
        <w:rPr>
          <w:spacing w:val="-3"/>
        </w:rPr>
        <w:t> </w:t>
      </w:r>
      <w:r>
        <w:rPr/>
        <w:t>Long</w:t>
      </w:r>
      <w:r>
        <w:rPr>
          <w:spacing w:val="-1"/>
        </w:rPr>
        <w:t> </w:t>
      </w:r>
      <w:r>
        <w:rPr/>
        <w:t>Run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Short</w:t>
      </w:r>
      <w:r>
        <w:rPr>
          <w:spacing w:val="-2"/>
        </w:rPr>
        <w:t> </w:t>
      </w:r>
      <w:r>
        <w:rPr/>
        <w:t>Run</w:t>
      </w:r>
      <w:r>
        <w:rPr>
          <w:spacing w:val="-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bookmarkEnd w:id="58"/>
      <w:r>
        <w:rPr/>
        <w:t>Model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 w:before="1"/>
        <w:ind w:left="811" w:right="1001"/>
        <w:jc w:val="both"/>
      </w:pPr>
      <w:r>
        <w:rPr/>
        <w:t>The solutions of the model are presented in this section.</w:t>
      </w:r>
      <w:r>
        <w:rPr>
          <w:spacing w:val="1"/>
        </w:rPr>
        <w:t> </w:t>
      </w:r>
      <w:r>
        <w:rPr/>
        <w:t>The long run static solution is</w:t>
      </w:r>
      <w:r>
        <w:rPr>
          <w:spacing w:val="1"/>
        </w:rPr>
        <w:t> </w:t>
      </w:r>
      <w:r>
        <w:rPr/>
        <w:t>presented in sub section 5.4.1, while the error correction models are provided in sub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5.4.2.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120"/>
        <w:ind w:left="811" w:right="993" w:firstLine="0"/>
        <w:jc w:val="left"/>
        <w:rPr>
          <w:sz w:val="20"/>
        </w:rPr>
      </w:pPr>
      <w:r>
        <w:rPr/>
        <w:pict>
          <v:rect style="position:absolute;margin-left:106.580002pt;margin-top:.459968pt;width:144.020pt;height:.71997pt;mso-position-horizontal-relative:page;mso-position-vertical-relative:paragraph;z-index:-2533888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36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rationale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method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paves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way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estimating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ARDL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model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having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suitable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length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 fundamental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robustness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results.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2"/>
          <w:numId w:val="16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14" w:id="59"/>
      <w:r>
        <w:rPr/>
        <w:t>The</w:t>
      </w:r>
      <w:r>
        <w:rPr>
          <w:spacing w:val="-2"/>
        </w:rPr>
        <w:t> </w:t>
      </w:r>
      <w:r>
        <w:rPr/>
        <w:t>Long Run</w:t>
      </w:r>
      <w:r>
        <w:rPr>
          <w:spacing w:val="-2"/>
        </w:rPr>
        <w:t> </w:t>
      </w:r>
      <w:r>
        <w:rPr/>
        <w:t>Static</w:t>
      </w:r>
      <w:r>
        <w:rPr>
          <w:spacing w:val="-1"/>
        </w:rPr>
        <w:t> </w:t>
      </w:r>
      <w:bookmarkEnd w:id="59"/>
      <w:r>
        <w:rPr/>
        <w:t>Solutions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7"/>
        <w:jc w:val="both"/>
      </w:pPr>
      <w:r>
        <w:rPr/>
        <w:t>This sub-section provides the long run solution of the model. These estimates present the</w:t>
      </w:r>
      <w:r>
        <w:rPr>
          <w:spacing w:val="1"/>
        </w:rPr>
        <w:t> </w:t>
      </w:r>
      <w:r>
        <w:rPr/>
        <w:t>solution to the error correction term for estimating the dynamic short run solution to the</w:t>
      </w:r>
      <w:r>
        <w:rPr>
          <w:spacing w:val="1"/>
        </w:rPr>
        <w:t> </w:t>
      </w:r>
      <w:r>
        <w:rPr/>
        <w:t>model.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 of long-run</w:t>
      </w:r>
      <w:r>
        <w:rPr>
          <w:spacing w:val="-1"/>
        </w:rPr>
        <w:t> </w:t>
      </w:r>
      <w:r>
        <w:rPr/>
        <w:t>representations of the analysis are</w:t>
      </w:r>
      <w:r>
        <w:rPr>
          <w:spacing w:val="-3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 5.4.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4"/>
        <w:jc w:val="both"/>
      </w:pPr>
      <w:r>
        <w:rPr/>
        <w:drawing>
          <wp:anchor distT="0" distB="0" distL="0" distR="0" allowOverlap="1" layoutInCell="1" locked="0" behindDoc="1" simplePos="0" relativeHeight="477978112">
            <wp:simplePos x="0" y="0"/>
            <wp:positionH relativeFrom="page">
              <wp:posOffset>1485138</wp:posOffset>
            </wp:positionH>
            <wp:positionV relativeFrom="paragraph">
              <wp:posOffset>299759</wp:posOffset>
            </wp:positionV>
            <wp:extent cx="5102225" cy="5044439"/>
            <wp:effectExtent l="0" t="0" r="0" b="0"/>
            <wp:wrapNone/>
            <wp:docPr id="20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5.4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long-run,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macroeconomic variables such as growth in GDP, money supply have significant effects</w:t>
      </w:r>
      <w:r>
        <w:rPr>
          <w:spacing w:val="1"/>
        </w:rPr>
        <w:t> </w:t>
      </w:r>
      <w:r>
        <w:rPr/>
        <w:t>on the Balance of Payments and its components.</w:t>
      </w:r>
      <w:r>
        <w:rPr>
          <w:spacing w:val="1"/>
        </w:rPr>
        <w:t> </w:t>
      </w:r>
      <w:r>
        <w:rPr/>
        <w:t>It is generally expected that, in the long</w:t>
      </w:r>
      <w:r>
        <w:rPr>
          <w:spacing w:val="1"/>
        </w:rPr>
        <w:t> </w:t>
      </w:r>
      <w:r>
        <w:rPr/>
        <w:t>run, the overall BoP and its components, CAB, KAB and the FAB would have a negative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appreciation,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competitiveness.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relationships are stronger in the overall BoP and the CAB than with the KAB and the</w:t>
      </w:r>
      <w:r>
        <w:rPr>
          <w:spacing w:val="1"/>
        </w:rPr>
        <w:t> </w:t>
      </w:r>
      <w:r>
        <w:rPr/>
        <w:t>FAB.</w:t>
      </w:r>
    </w:p>
    <w:p>
      <w:pPr>
        <w:pStyle w:val="BodyText"/>
        <w:spacing w:line="360" w:lineRule="auto" w:before="200"/>
        <w:ind w:left="811" w:right="994"/>
        <w:jc w:val="both"/>
      </w:pPr>
      <w:r>
        <w:rPr/>
        <w:t>The results show that exchange rate has a coefficient of 0.343 in the BoP equation.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connotes that the relationship between exchange rate and the overall balance of payments</w:t>
      </w:r>
      <w:r>
        <w:rPr>
          <w:spacing w:val="1"/>
        </w:rPr>
        <w:t> </w:t>
      </w:r>
      <w:r>
        <w:rPr/>
        <w:t>is inelastic.</w:t>
      </w:r>
      <w:r>
        <w:rPr>
          <w:spacing w:val="1"/>
        </w:rPr>
        <w:t> </w:t>
      </w:r>
      <w:r>
        <w:rPr/>
        <w:t>The finding depicts that the overall BoP responds much lower to every</w:t>
      </w:r>
      <w:r>
        <w:rPr>
          <w:spacing w:val="1"/>
        </w:rPr>
        <w:t> </w:t>
      </w:r>
      <w:r>
        <w:rPr/>
        <w:t>percentage increases in the real effective exchange rate.</w:t>
      </w:r>
      <w:r>
        <w:rPr>
          <w:spacing w:val="1"/>
        </w:rPr>
        <w:t> </w:t>
      </w:r>
      <w:r>
        <w:rPr/>
        <w:t>A further discussion of the result</w:t>
      </w:r>
      <w:r>
        <w:rPr>
          <w:spacing w:val="-57"/>
        </w:rPr>
        <w:t> </w:t>
      </w:r>
      <w:r>
        <w:rPr/>
        <w:t>demonstrates that in the long run a 10.0 percent appreciation in the real exchange rate</w:t>
      </w:r>
      <w:r>
        <w:rPr>
          <w:spacing w:val="1"/>
        </w:rPr>
        <w:t> </w:t>
      </w:r>
      <w:r>
        <w:rPr/>
        <w:t>would translate into a 3.43 percent deterioration in the balance of payments position.</w:t>
      </w:r>
      <w:r>
        <w:rPr>
          <w:spacing w:val="1"/>
        </w:rPr>
        <w:t> </w:t>
      </w:r>
      <w:r>
        <w:rPr/>
        <w:t>Similarly, coefficients of</w:t>
      </w:r>
      <w:r>
        <w:rPr>
          <w:spacing w:val="1"/>
        </w:rPr>
        <w:t> </w:t>
      </w:r>
      <w:r>
        <w:rPr/>
        <w:t>the financial account balance and the capital account balance</w:t>
      </w:r>
      <w:r>
        <w:rPr>
          <w:spacing w:val="1"/>
        </w:rPr>
        <w:t> </w:t>
      </w:r>
      <w:r>
        <w:rPr/>
        <w:t>show similar response like that of the overall balance of payments but both coefficients</w:t>
      </w:r>
      <w:r>
        <w:rPr>
          <w:spacing w:val="1"/>
        </w:rPr>
        <w:t> </w:t>
      </w:r>
      <w:r>
        <w:rPr/>
        <w:t>were, however,</w:t>
      </w:r>
      <w:r>
        <w:rPr>
          <w:spacing w:val="1"/>
        </w:rPr>
        <w:t> </w:t>
      </w:r>
      <w:r>
        <w:rPr/>
        <w:t>negligible for any policy precision for the long run.</w:t>
      </w:r>
      <w:r>
        <w:rPr>
          <w:spacing w:val="61"/>
        </w:rPr>
        <w:t> </w:t>
      </w:r>
      <w:r>
        <w:rPr/>
        <w:t>In contrast, the</w:t>
      </w:r>
      <w:r>
        <w:rPr>
          <w:spacing w:val="1"/>
        </w:rPr>
        <w:t> </w:t>
      </w:r>
      <w:r>
        <w:rPr/>
        <w:t>current account balance‘s reaction to exchange rate behaviour indicates that as exchange</w:t>
      </w:r>
      <w:r>
        <w:rPr>
          <w:spacing w:val="1"/>
        </w:rPr>
        <w:t> </w:t>
      </w:r>
      <w:r>
        <w:rPr/>
        <w:t>rate appreciates the overall current account balance worsens and its response is elastic.</w:t>
      </w:r>
      <w:r>
        <w:rPr>
          <w:spacing w:val="1"/>
        </w:rPr>
        <w:t> </w:t>
      </w:r>
      <w:r>
        <w:rPr/>
        <w:t>This implies that for every percentage appreciation</w:t>
      </w:r>
      <w:r>
        <w:rPr>
          <w:spacing w:val="1"/>
        </w:rPr>
        <w:t> </w:t>
      </w:r>
      <w:r>
        <w:rPr/>
        <w:t>of the exchange rate, the current</w:t>
      </w:r>
      <w:r>
        <w:rPr>
          <w:spacing w:val="1"/>
        </w:rPr>
        <w:t> </w:t>
      </w:r>
      <w:r>
        <w:rPr/>
        <w:t>account balance position worsens by over 1.33 percent.</w:t>
      </w:r>
      <w:r>
        <w:rPr>
          <w:spacing w:val="1"/>
        </w:rPr>
        <w:t> </w:t>
      </w:r>
      <w:r>
        <w:rPr/>
        <w:t>This shows that there is no one to</w:t>
      </w:r>
      <w:r>
        <w:rPr>
          <w:spacing w:val="-57"/>
        </w:rPr>
        <w:t> </w:t>
      </w:r>
      <w:r>
        <w:rPr/>
        <w:t>one</w:t>
      </w:r>
      <w:r>
        <w:rPr>
          <w:spacing w:val="-2"/>
        </w:rPr>
        <w:t> </w:t>
      </w:r>
      <w:r>
        <w:rPr/>
        <w:t>response in the behaviour of</w:t>
      </w:r>
      <w:r>
        <w:rPr>
          <w:spacing w:val="-1"/>
        </w:rPr>
        <w:t> </w:t>
      </w:r>
      <w:r>
        <w:rPr/>
        <w:t>the two macroeconomic</w:t>
      </w:r>
      <w:r>
        <w:rPr>
          <w:spacing w:val="-1"/>
        </w:rPr>
        <w:t> </w:t>
      </w:r>
      <w:r>
        <w:rPr/>
        <w:t>variables.</w:t>
      </w:r>
    </w:p>
    <w:p>
      <w:pPr>
        <w:pStyle w:val="BodyText"/>
        <w:spacing w:line="360" w:lineRule="auto" w:before="201"/>
        <w:ind w:left="811" w:right="991"/>
        <w:jc w:val="both"/>
      </w:pPr>
      <w:r>
        <w:rPr/>
        <w:t>Gross domestic income was, however, expected to have a negative relationship with the</w:t>
      </w:r>
      <w:r>
        <w:rPr>
          <w:spacing w:val="1"/>
        </w:rPr>
        <w:t> </w:t>
      </w:r>
      <w:r>
        <w:rPr/>
        <w:t>overall BoP.</w:t>
      </w:r>
      <w:r>
        <w:rPr>
          <w:spacing w:val="1"/>
        </w:rPr>
        <w:t> </w:t>
      </w:r>
      <w:r>
        <w:rPr/>
        <w:t>The economic implication is that when income increases, consumers may</w:t>
      </w:r>
      <w:r>
        <w:rPr>
          <w:spacing w:val="1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desire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demand</w:t>
      </w:r>
      <w:r>
        <w:rPr>
          <w:spacing w:val="10"/>
        </w:rPr>
        <w:t> </w:t>
      </w:r>
      <w:r>
        <w:rPr/>
        <w:t>more</w:t>
      </w:r>
      <w:r>
        <w:rPr>
          <w:spacing w:val="8"/>
        </w:rPr>
        <w:t> </w:t>
      </w:r>
      <w:r>
        <w:rPr/>
        <w:t>foreign</w:t>
      </w:r>
      <w:r>
        <w:rPr>
          <w:spacing w:val="12"/>
        </w:rPr>
        <w:t> </w:t>
      </w:r>
      <w:r>
        <w:rPr/>
        <w:t>goods</w:t>
      </w:r>
      <w:r>
        <w:rPr>
          <w:spacing w:val="10"/>
        </w:rPr>
        <w:t> </w:t>
      </w:r>
      <w:r>
        <w:rPr/>
        <w:t>especially</w:t>
      </w:r>
      <w:r>
        <w:rPr>
          <w:spacing w:val="4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situation</w:t>
      </w:r>
      <w:r>
        <w:rPr>
          <w:spacing w:val="9"/>
        </w:rPr>
        <w:t> </w:t>
      </w:r>
      <w:r>
        <w:rPr/>
        <w:t>where</w:t>
      </w:r>
      <w:r>
        <w:rPr>
          <w:spacing w:val="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1"/>
        <w:jc w:val="both"/>
      </w:pPr>
      <w:r>
        <w:rPr/>
        <w:drawing>
          <wp:anchor distT="0" distB="0" distL="0" distR="0" allowOverlap="1" layoutInCell="1" locked="0" behindDoc="1" simplePos="0" relativeHeight="477978624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20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domestic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incapable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/>
        <w:t>This action if not contained will lead to an increase in imports in the long</w:t>
      </w:r>
      <w:r>
        <w:rPr>
          <w:spacing w:val="1"/>
        </w:rPr>
        <w:t> </w:t>
      </w:r>
      <w:r>
        <w:rPr/>
        <w:t>run.</w:t>
      </w:r>
      <w:r>
        <w:rPr>
          <w:spacing w:val="1"/>
        </w:rPr>
        <w:t> </w:t>
      </w:r>
      <w:r>
        <w:rPr/>
        <w:t>On the other hand, growth in foreign GDP statistically increases demand for 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export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 in both domestic and foreign GDPs will lead to an improvement in the</w:t>
      </w:r>
      <w:r>
        <w:rPr>
          <w:spacing w:val="1"/>
        </w:rPr>
        <w:t> </w:t>
      </w:r>
      <w:r>
        <w:rPr/>
        <w:t>overall BoP.</w:t>
      </w:r>
      <w:r>
        <w:rPr>
          <w:spacing w:val="1"/>
        </w:rPr>
        <w:t> </w:t>
      </w:r>
      <w:r>
        <w:rPr/>
        <w:t>These findings support the conventional theory of consumption, which says</w:t>
      </w:r>
      <w:r>
        <w:rPr>
          <w:spacing w:val="1"/>
        </w:rPr>
        <w:t> </w:t>
      </w:r>
      <w:r>
        <w:rPr/>
        <w:t>in part, consumption increases as income and other noneconomic factors increase.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 are consistent with the findings by Baharumshah </w:t>
      </w:r>
      <w:r>
        <w:rPr>
          <w:i/>
        </w:rPr>
        <w:t>et. al</w:t>
      </w:r>
      <w:r>
        <w:rPr/>
        <w:t>.,2004 and Kandil, 2009;</w:t>
      </w:r>
      <w:r>
        <w:rPr>
          <w:spacing w:val="1"/>
        </w:rPr>
        <w:t> </w:t>
      </w:r>
      <w:r>
        <w:rPr/>
        <w:t>that</w:t>
      </w:r>
      <w:r>
        <w:rPr>
          <w:spacing w:val="22"/>
        </w:rPr>
        <w:t> </w:t>
      </w:r>
      <w:r>
        <w:rPr/>
        <w:t>growth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foreign</w:t>
      </w:r>
      <w:r>
        <w:rPr>
          <w:spacing w:val="22"/>
        </w:rPr>
        <w:t> </w:t>
      </w:r>
      <w:r>
        <w:rPr/>
        <w:t>economic</w:t>
      </w:r>
      <w:r>
        <w:rPr>
          <w:spacing w:val="22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will</w:t>
      </w:r>
      <w:r>
        <w:rPr>
          <w:spacing w:val="23"/>
        </w:rPr>
        <w:t> </w:t>
      </w:r>
      <w:r>
        <w:rPr/>
        <w:t>spill</w:t>
      </w:r>
      <w:r>
        <w:rPr>
          <w:spacing w:val="23"/>
        </w:rPr>
        <w:t> </w:t>
      </w:r>
      <w:r>
        <w:rPr/>
        <w:t>over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economies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whom</w:t>
      </w:r>
      <w:r>
        <w:rPr>
          <w:spacing w:val="22"/>
        </w:rPr>
        <w:t> </w:t>
      </w:r>
      <w:r>
        <w:rPr/>
        <w:t>they</w:t>
      </w:r>
      <w:r>
        <w:rPr>
          <w:spacing w:val="-57"/>
        </w:rPr>
        <w:t> </w:t>
      </w:r>
      <w:r>
        <w:rPr/>
        <w:t>are in economic agreements.</w:t>
      </w:r>
      <w:r>
        <w:rPr>
          <w:spacing w:val="1"/>
        </w:rPr>
        <w:t> </w:t>
      </w:r>
      <w:r>
        <w:rPr/>
        <w:t>This is confirmed for the case of Sierra Leone and the EU</w:t>
      </w:r>
      <w:r>
        <w:rPr>
          <w:spacing w:val="1"/>
        </w:rPr>
        <w:t> </w:t>
      </w:r>
      <w:r>
        <w:rPr/>
        <w:t>markets with long</w:t>
      </w:r>
      <w:r>
        <w:rPr>
          <w:spacing w:val="-3"/>
        </w:rPr>
        <w:t> </w:t>
      </w:r>
      <w:r>
        <w:rPr/>
        <w:t>standing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relationships.</w:t>
      </w:r>
    </w:p>
    <w:p>
      <w:pPr>
        <w:pStyle w:val="BodyText"/>
        <w:spacing w:line="360" w:lineRule="auto" w:before="202"/>
        <w:ind w:left="811" w:right="994"/>
        <w:jc w:val="both"/>
      </w:pPr>
      <w:r>
        <w:rPr/>
        <w:t>In the analysis, dummy variable as a proxy for the effect of the war on the economy was</w:t>
      </w:r>
      <w:r>
        <w:rPr>
          <w:spacing w:val="1"/>
        </w:rPr>
        <w:t> </w:t>
      </w:r>
      <w:r>
        <w:rPr/>
        <w:t>used.</w:t>
      </w:r>
      <w:r>
        <w:rPr>
          <w:spacing w:val="60"/>
        </w:rPr>
        <w:t> </w:t>
      </w:r>
      <w:r>
        <w:rPr/>
        <w:t>It was expected that the war would have had an instantaneous negative effects on</w:t>
      </w:r>
      <w:r>
        <w:rPr>
          <w:spacing w:val="1"/>
        </w:rPr>
        <w:t> </w:t>
      </w:r>
      <w:r>
        <w:rPr/>
        <w:t>the country‘s economy in terms of its outputs, exports, imports and investment inflows in</w:t>
      </w:r>
      <w:r>
        <w:rPr>
          <w:spacing w:val="1"/>
        </w:rPr>
        <w:t> </w:t>
      </w:r>
      <w:r>
        <w:rPr/>
        <w:t>general. But, from the results, the effects of the war on the country‘s balance of payments,</w:t>
      </w:r>
      <w:r>
        <w:rPr>
          <w:spacing w:val="-57"/>
        </w:rPr>
        <w:t> </w:t>
      </w:r>
      <w:r>
        <w:rPr/>
        <w:t>and its components were negligible at least in the short run.</w:t>
      </w:r>
      <w:r>
        <w:rPr>
          <w:spacing w:val="1"/>
        </w:rPr>
        <w:t> </w:t>
      </w:r>
      <w:r>
        <w:rPr/>
        <w:t>The long run results also</w:t>
      </w:r>
      <w:r>
        <w:rPr>
          <w:spacing w:val="1"/>
        </w:rPr>
        <w:t> </w:t>
      </w:r>
      <w:r>
        <w:rPr/>
        <w:t>depict insignificant effects.</w:t>
      </w:r>
      <w:r>
        <w:rPr>
          <w:spacing w:val="61"/>
        </w:rPr>
        <w:t> </w:t>
      </w:r>
      <w:r>
        <w:rPr/>
        <w:t>Major reason attributed to this was that the war started in</w:t>
      </w:r>
      <w:r>
        <w:rPr>
          <w:spacing w:val="1"/>
        </w:rPr>
        <w:t> </w:t>
      </w:r>
      <w:r>
        <w:rPr/>
        <w:t>areas that were naturally not endowed with resources that the government so depended</w:t>
      </w:r>
      <w:r>
        <w:rPr>
          <w:spacing w:val="1"/>
        </w:rPr>
        <w:t> </w:t>
      </w:r>
      <w:r>
        <w:rPr/>
        <w:t>upon for major economic management.   Also, resources tapped from those areas could</w:t>
      </w:r>
      <w:r>
        <w:rPr>
          <w:spacing w:val="1"/>
        </w:rPr>
        <w:t> </w:t>
      </w:r>
      <w:r>
        <w:rPr/>
        <w:t>not be immediately used to finance the war.</w:t>
      </w:r>
      <w:r>
        <w:rPr>
          <w:spacing w:val="1"/>
        </w:rPr>
        <w:t> </w:t>
      </w:r>
      <w:r>
        <w:rPr/>
        <w:t>Due to the poor border management, these</w:t>
      </w:r>
      <w:r>
        <w:rPr>
          <w:spacing w:val="1"/>
        </w:rPr>
        <w:t> </w:t>
      </w:r>
      <w:r>
        <w:rPr/>
        <w:t>areas were used as a gateway to access the country.</w:t>
      </w:r>
      <w:r>
        <w:rPr>
          <w:spacing w:val="1"/>
        </w:rPr>
        <w:t> </w:t>
      </w:r>
      <w:r>
        <w:rPr/>
        <w:t>While the war was being pursued,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actively</w:t>
      </w:r>
      <w:r>
        <w:rPr>
          <w:spacing w:val="1"/>
        </w:rPr>
        <w:t> </w:t>
      </w:r>
      <w:r>
        <w:rPr/>
        <w:t>productive.</w:t>
      </w:r>
      <w:r>
        <w:rPr>
          <w:spacing w:val="1"/>
        </w:rPr>
        <w:t> </w:t>
      </w:r>
      <w:r>
        <w:rPr/>
        <w:t>Hence the economy continued to register favourable economic outlooks.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economy started experiencing economic downturn when the war engulfed all the mining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agricultural areas,</w:t>
      </w:r>
      <w:r>
        <w:rPr>
          <w:spacing w:val="-1"/>
        </w:rPr>
        <w:t> </w:t>
      </w:r>
      <w:r>
        <w:rPr/>
        <w:t>which was</w:t>
      </w:r>
      <w:r>
        <w:rPr>
          <w:spacing w:val="-1"/>
        </w:rPr>
        <w:t> </w:t>
      </w:r>
      <w:r>
        <w:rPr/>
        <w:t>almost five</w:t>
      </w:r>
      <w:r>
        <w:rPr>
          <w:spacing w:val="4"/>
        </w:rPr>
        <w:t> </w:t>
      </w:r>
      <w:r>
        <w:rPr/>
        <w:t>years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civil strife.</w:t>
      </w:r>
    </w:p>
    <w:p>
      <w:pPr>
        <w:pStyle w:val="BodyText"/>
        <w:spacing w:line="360" w:lineRule="auto" w:before="201"/>
        <w:ind w:left="811" w:right="996"/>
        <w:jc w:val="both"/>
      </w:pPr>
      <w:r>
        <w:rPr/>
        <w:t>It is observed from the analysis that the effect of the war should not be analysed in</w:t>
      </w:r>
      <w:r>
        <w:rPr>
          <w:spacing w:val="1"/>
        </w:rPr>
        <w:t> </w:t>
      </w:r>
      <w:r>
        <w:rPr/>
        <w:t>isolation.</w:t>
      </w:r>
      <w:r>
        <w:rPr>
          <w:spacing w:val="1"/>
        </w:rPr>
        <w:t> </w:t>
      </w:r>
      <w:r>
        <w:rPr/>
        <w:t>Its effects may not work directly on the economy but work through other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agents to affect the</w:t>
      </w:r>
      <w:r>
        <w:rPr>
          <w:spacing w:val="-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economy</w:t>
      </w:r>
      <w:r>
        <w:rPr>
          <w:spacing w:val="-3"/>
        </w:rPr>
        <w:t> </w:t>
      </w:r>
      <w:r>
        <w:rPr/>
        <w:t>after considerable time</w:t>
      </w:r>
      <w:r>
        <w:rPr>
          <w:spacing w:val="-1"/>
        </w:rPr>
        <w:t> </w:t>
      </w:r>
      <w:r>
        <w:rPr/>
        <w:t>period.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spacing w:after="42"/>
      </w:pPr>
      <w:r>
        <w:rPr/>
        <w:drawing>
          <wp:anchor distT="0" distB="0" distL="0" distR="0" allowOverlap="1" layoutInCell="1" locked="0" behindDoc="1" simplePos="0" relativeHeight="477979136">
            <wp:simplePos x="0" y="0"/>
            <wp:positionH relativeFrom="page">
              <wp:posOffset>1485138</wp:posOffset>
            </wp:positionH>
            <wp:positionV relativeFrom="paragraph">
              <wp:posOffset>1642530</wp:posOffset>
            </wp:positionV>
            <wp:extent cx="5102225" cy="5044439"/>
            <wp:effectExtent l="0" t="0" r="0" b="0"/>
            <wp:wrapNone/>
            <wp:docPr id="20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5.4:</w:t>
      </w:r>
      <w:r>
        <w:rPr>
          <w:spacing w:val="57"/>
        </w:rPr>
        <w:t> </w:t>
      </w:r>
      <w:r>
        <w:rPr/>
        <w:t>Long</w:t>
      </w:r>
      <w:r>
        <w:rPr>
          <w:spacing w:val="-1"/>
        </w:rPr>
        <w:t> </w:t>
      </w:r>
      <w:r>
        <w:rPr/>
        <w:t>Run</w:t>
      </w:r>
      <w:r>
        <w:rPr>
          <w:spacing w:val="-3"/>
        </w:rPr>
        <w:t> </w:t>
      </w:r>
      <w:r>
        <w:rPr/>
        <w:t>Elasticities</w:t>
      </w:r>
      <w:r>
        <w:rPr>
          <w:spacing w:val="-1"/>
        </w:rPr>
        <w:t> </w:t>
      </w:r>
      <w:r>
        <w:rPr/>
        <w:t>Estimates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3022"/>
        <w:gridCol w:w="1687"/>
        <w:gridCol w:w="1766"/>
        <w:gridCol w:w="1771"/>
      </w:tblGrid>
      <w:tr>
        <w:trPr>
          <w:trHeight w:val="753" w:hRule="atLeast"/>
        </w:trPr>
        <w:tc>
          <w:tcPr>
            <w:tcW w:w="638" w:type="dxa"/>
          </w:tcPr>
          <w:p>
            <w:pPr>
              <w:pStyle w:val="TableParagraph"/>
              <w:spacing w:line="273" w:lineRule="exact"/>
              <w:ind w:left="89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022" w:type="dxa"/>
          </w:tcPr>
          <w:p>
            <w:pPr>
              <w:pStyle w:val="TableParagraph"/>
              <w:spacing w:line="273" w:lineRule="exact"/>
              <w:ind w:left="415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Dependent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Variables</w:t>
            </w:r>
          </w:p>
        </w:tc>
        <w:tc>
          <w:tcPr>
            <w:tcW w:w="1687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766" w:type="dxa"/>
          </w:tcPr>
          <w:p>
            <w:pPr>
              <w:pStyle w:val="TableParagraph"/>
              <w:spacing w:line="275" w:lineRule="exact"/>
              <w:ind w:left="303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1771" w:type="dxa"/>
          </w:tcPr>
          <w:p>
            <w:pPr>
              <w:pStyle w:val="TableParagraph"/>
              <w:spacing w:line="242" w:lineRule="auto"/>
              <w:ind w:left="587" w:right="376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344" w:hRule="atLeast"/>
        </w:trPr>
        <w:tc>
          <w:tcPr>
            <w:tcW w:w="63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22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415" w:right="400"/>
              <w:jc w:val="center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LBoP</w:t>
            </w:r>
          </w:p>
        </w:tc>
        <w:tc>
          <w:tcPr>
            <w:tcW w:w="1687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176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12.353</w:t>
            </w:r>
          </w:p>
        </w:tc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3.734***</w:t>
            </w:r>
          </w:p>
        </w:tc>
      </w:tr>
      <w:tr>
        <w:trPr>
          <w:trHeight w:val="424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6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LREER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303" w:right="173"/>
              <w:jc w:val="center"/>
              <w:rPr>
                <w:sz w:val="24"/>
              </w:rPr>
            </w:pPr>
            <w:r>
              <w:rPr>
                <w:sz w:val="24"/>
              </w:rPr>
              <w:t>0.343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496"/>
              <w:rPr>
                <w:sz w:val="24"/>
              </w:rPr>
            </w:pPr>
            <w:r>
              <w:rPr>
                <w:sz w:val="24"/>
              </w:rPr>
              <w:t>0.516**</w:t>
            </w:r>
          </w:p>
        </w:tc>
      </w:tr>
      <w:tr>
        <w:trPr>
          <w:trHeight w:val="424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d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03" w:right="173"/>
              <w:jc w:val="center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96"/>
              <w:rPr>
                <w:sz w:val="24"/>
              </w:rPr>
            </w:pPr>
            <w:r>
              <w:rPr>
                <w:sz w:val="24"/>
              </w:rPr>
              <w:t>0.099**</w:t>
            </w:r>
          </w:p>
        </w:tc>
      </w:tr>
      <w:tr>
        <w:trPr>
          <w:trHeight w:val="752" w:hRule="atLeast"/>
        </w:trPr>
        <w:tc>
          <w:tcPr>
            <w:tcW w:w="6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>
            <w:pPr>
              <w:pStyle w:val="TableParagraph"/>
              <w:spacing w:before="134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f</w:t>
            </w:r>
          </w:p>
        </w:tc>
        <w:tc>
          <w:tcPr>
            <w:tcW w:w="1766" w:type="dxa"/>
            <w:tcBorders>
              <w:top w:val="nil"/>
            </w:tcBorders>
          </w:tcPr>
          <w:p>
            <w:pPr>
              <w:pStyle w:val="TableParagraph"/>
              <w:spacing w:before="41"/>
              <w:ind w:left="303" w:right="173"/>
              <w:jc w:val="center"/>
              <w:rPr>
                <w:sz w:val="24"/>
              </w:rPr>
            </w:pPr>
            <w:r>
              <w:rPr>
                <w:sz w:val="24"/>
              </w:rPr>
              <w:t>0.619</w:t>
            </w:r>
          </w:p>
        </w:tc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0.191***</w:t>
            </w:r>
          </w:p>
        </w:tc>
      </w:tr>
      <w:tr>
        <w:trPr>
          <w:trHeight w:val="345" w:hRule="atLeast"/>
        </w:trPr>
        <w:tc>
          <w:tcPr>
            <w:tcW w:w="63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22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415" w:right="401"/>
              <w:jc w:val="center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LCAB</w:t>
            </w:r>
          </w:p>
        </w:tc>
        <w:tc>
          <w:tcPr>
            <w:tcW w:w="1687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176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5.508</w:t>
            </w:r>
          </w:p>
        </w:tc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4.035</w:t>
            </w:r>
          </w:p>
        </w:tc>
      </w:tr>
      <w:tr>
        <w:trPr>
          <w:trHeight w:val="424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5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LREER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1.334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470"/>
              <w:rPr>
                <w:sz w:val="24"/>
              </w:rPr>
            </w:pPr>
            <w:r>
              <w:rPr>
                <w:sz w:val="24"/>
              </w:rPr>
              <w:t>0.649**</w:t>
            </w:r>
          </w:p>
        </w:tc>
      </w:tr>
      <w:tr>
        <w:trPr>
          <w:trHeight w:val="406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LMS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0.575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0.122***</w:t>
            </w:r>
          </w:p>
        </w:tc>
      </w:tr>
      <w:tr>
        <w:trPr>
          <w:trHeight w:val="688" w:hRule="atLeast"/>
        </w:trPr>
        <w:tc>
          <w:tcPr>
            <w:tcW w:w="6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>
            <w:pPr>
              <w:pStyle w:val="TableParagraph"/>
              <w:spacing w:before="69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LWPI</w:t>
            </w:r>
          </w:p>
        </w:tc>
        <w:tc>
          <w:tcPr>
            <w:tcW w:w="176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303" w:right="221"/>
              <w:jc w:val="center"/>
              <w:rPr>
                <w:sz w:val="24"/>
              </w:rPr>
            </w:pPr>
            <w:r>
              <w:rPr>
                <w:sz w:val="24"/>
              </w:rPr>
              <w:t>1.222</w:t>
            </w:r>
          </w:p>
        </w:tc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before="6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0.286***</w:t>
            </w:r>
          </w:p>
        </w:tc>
      </w:tr>
      <w:tr>
        <w:trPr>
          <w:trHeight w:val="353" w:hRule="atLeast"/>
        </w:trPr>
        <w:tc>
          <w:tcPr>
            <w:tcW w:w="63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22" w:type="dxa"/>
            <w:tcBorders>
              <w:bottom w:val="nil"/>
            </w:tcBorders>
          </w:tcPr>
          <w:p>
            <w:pPr>
              <w:pStyle w:val="TableParagraph"/>
              <w:spacing w:before="12"/>
              <w:ind w:left="415" w:right="397"/>
              <w:jc w:val="center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LFAB</w:t>
            </w:r>
          </w:p>
        </w:tc>
        <w:tc>
          <w:tcPr>
            <w:tcW w:w="1687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176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5.172</w:t>
            </w:r>
          </w:p>
        </w:tc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0.831***</w:t>
            </w:r>
          </w:p>
        </w:tc>
      </w:tr>
      <w:tr>
        <w:trPr>
          <w:trHeight w:val="415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LREER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410"/>
              <w:rPr>
                <w:sz w:val="24"/>
              </w:rPr>
            </w:pPr>
            <w:r>
              <w:rPr>
                <w:sz w:val="24"/>
              </w:rPr>
              <w:t>0.032**</w:t>
            </w:r>
          </w:p>
        </w:tc>
      </w:tr>
      <w:tr>
        <w:trPr>
          <w:trHeight w:val="415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129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TBR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10"/>
              <w:rPr>
                <w:sz w:val="24"/>
              </w:rPr>
            </w:pPr>
            <w:r>
              <w:rPr>
                <w:sz w:val="24"/>
              </w:rPr>
              <w:t>0.004**</w:t>
            </w:r>
          </w:p>
        </w:tc>
      </w:tr>
      <w:tr>
        <w:trPr>
          <w:trHeight w:val="404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3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GGDP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10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691" w:hRule="atLeast"/>
        </w:trPr>
        <w:tc>
          <w:tcPr>
            <w:tcW w:w="6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LOPEN</w:t>
            </w:r>
          </w:p>
        </w:tc>
        <w:tc>
          <w:tcPr>
            <w:tcW w:w="176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0.858</w:t>
            </w:r>
          </w:p>
        </w:tc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10"/>
              <w:rPr>
                <w:sz w:val="24"/>
              </w:rPr>
            </w:pPr>
            <w:r>
              <w:rPr>
                <w:sz w:val="24"/>
              </w:rPr>
              <w:t>0.113***</w:t>
            </w:r>
          </w:p>
        </w:tc>
      </w:tr>
      <w:tr>
        <w:trPr>
          <w:trHeight w:val="354" w:hRule="atLeast"/>
        </w:trPr>
        <w:tc>
          <w:tcPr>
            <w:tcW w:w="638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22" w:type="dxa"/>
            <w:tcBorders>
              <w:bottom w:val="nil"/>
            </w:tcBorders>
          </w:tcPr>
          <w:p>
            <w:pPr>
              <w:pStyle w:val="TableParagraph"/>
              <w:spacing w:before="13"/>
              <w:ind w:left="415" w:right="400"/>
              <w:jc w:val="center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LKAB</w:t>
            </w:r>
          </w:p>
        </w:tc>
        <w:tc>
          <w:tcPr>
            <w:tcW w:w="1687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1766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256" w:right="293"/>
              <w:jc w:val="center"/>
              <w:rPr>
                <w:sz w:val="24"/>
              </w:rPr>
            </w:pPr>
            <w:r>
              <w:rPr>
                <w:sz w:val="24"/>
              </w:rPr>
              <w:t>14.627</w:t>
            </w:r>
          </w:p>
        </w:tc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410"/>
              <w:rPr>
                <w:sz w:val="24"/>
              </w:rPr>
            </w:pPr>
            <w:r>
              <w:rPr>
                <w:sz w:val="24"/>
              </w:rPr>
              <w:t>1.827***</w:t>
            </w:r>
          </w:p>
        </w:tc>
      </w:tr>
      <w:tr>
        <w:trPr>
          <w:trHeight w:val="414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LREER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0.017***</w:t>
            </w:r>
          </w:p>
        </w:tc>
      </w:tr>
      <w:tr>
        <w:trPr>
          <w:trHeight w:val="414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129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TBR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470"/>
              <w:rPr>
                <w:sz w:val="24"/>
              </w:rPr>
            </w:pPr>
            <w:r>
              <w:rPr>
                <w:sz w:val="24"/>
              </w:rPr>
              <w:t>0.009*</w:t>
            </w:r>
          </w:p>
        </w:tc>
      </w:tr>
      <w:tr>
        <w:trPr>
          <w:trHeight w:val="405" w:hRule="atLeast"/>
        </w:trPr>
        <w:tc>
          <w:tcPr>
            <w:tcW w:w="6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3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GGDP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470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</w:tr>
      <w:tr>
        <w:trPr>
          <w:trHeight w:val="691" w:hRule="atLeast"/>
        </w:trPr>
        <w:tc>
          <w:tcPr>
            <w:tcW w:w="6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>
            <w:pPr>
              <w:pStyle w:val="TableParagraph"/>
              <w:spacing w:before="72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LOPEN</w:t>
            </w:r>
          </w:p>
        </w:tc>
        <w:tc>
          <w:tcPr>
            <w:tcW w:w="176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0.323</w:t>
            </w:r>
          </w:p>
        </w:tc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470"/>
              <w:rPr>
                <w:sz w:val="24"/>
              </w:rPr>
            </w:pPr>
            <w:r>
              <w:rPr>
                <w:sz w:val="24"/>
              </w:rPr>
              <w:t>0.251</w:t>
            </w:r>
          </w:p>
        </w:tc>
      </w:tr>
    </w:tbl>
    <w:p>
      <w:pPr>
        <w:spacing w:before="0"/>
        <w:ind w:left="811" w:right="0" w:firstLine="0"/>
        <w:jc w:val="left"/>
        <w:rPr>
          <w:sz w:val="22"/>
        </w:rPr>
      </w:pPr>
      <w:r>
        <w:rPr>
          <w:i/>
          <w:sz w:val="22"/>
        </w:rPr>
        <w:t>Source:</w:t>
      </w:r>
      <w:r>
        <w:rPr>
          <w:i/>
          <w:spacing w:val="1"/>
          <w:sz w:val="22"/>
        </w:rPr>
        <w:t> </w:t>
      </w:r>
      <w:r>
        <w:rPr>
          <w:sz w:val="22"/>
        </w:rPr>
        <w:t>Computed 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Author,</w:t>
      </w:r>
      <w:r>
        <w:rPr>
          <w:spacing w:val="-3"/>
          <w:sz w:val="22"/>
        </w:rPr>
        <w:t> </w:t>
      </w:r>
      <w:r>
        <w:rPr>
          <w:sz w:val="22"/>
        </w:rPr>
        <w:t>2014.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8"/>
        <w:jc w:val="both"/>
      </w:pPr>
      <w:r>
        <w:rPr/>
        <w:drawing>
          <wp:anchor distT="0" distB="0" distL="0" distR="0" allowOverlap="1" layoutInCell="1" locked="0" behindDoc="1" simplePos="0" relativeHeight="477979648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2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long run relationships between exchange rate and the sub-components of the BoP as</w:t>
      </w:r>
      <w:r>
        <w:rPr>
          <w:spacing w:val="1"/>
        </w:rPr>
        <w:t> </w:t>
      </w:r>
      <w:r>
        <w:rPr/>
        <w:t>reported in Table 5.4 depict that appreciation in the real exchange rate has its expected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sub-components</w:t>
      </w:r>
      <w:r>
        <w:rPr>
          <w:spacing w:val="1"/>
        </w:rPr>
        <w:t> </w:t>
      </w:r>
      <w:r>
        <w:rPr/>
        <w:t>(exports,</w:t>
      </w:r>
      <w:r>
        <w:rPr>
          <w:spacing w:val="1"/>
        </w:rPr>
        <w:t> </w:t>
      </w:r>
      <w:r>
        <w:rPr/>
        <w:t>imports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investment).</w:t>
      </w:r>
      <w:r>
        <w:rPr>
          <w:spacing w:val="61"/>
        </w:rPr>
        <w:t> </w:t>
      </w:r>
      <w:r>
        <w:rPr/>
        <w:t>The interpretations are that any devaluation in the REER will encourage</w:t>
      </w:r>
      <w:r>
        <w:rPr>
          <w:spacing w:val="1"/>
        </w:rPr>
        <w:t> </w:t>
      </w:r>
      <w:r>
        <w:rPr/>
        <w:t>both exports and foreign direct investment inflows, while imports will deteriorate in the</w:t>
      </w:r>
      <w:r>
        <w:rPr>
          <w:spacing w:val="1"/>
        </w:rPr>
        <w:t> </w:t>
      </w:r>
      <w:r>
        <w:rPr/>
        <w:t>long run.   The influence of exchange rate depreciation on the trade balance depends on</w:t>
      </w:r>
      <w:r>
        <w:rPr>
          <w:spacing w:val="1"/>
        </w:rPr>
        <w:t> </w:t>
      </w:r>
      <w:r>
        <w:rPr/>
        <w:t>the elasticities obtained for exports and imports to real exchange rate depreciation as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5.5.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spacing w:after="42"/>
      </w:pPr>
      <w:r>
        <w:rPr/>
        <w:pict>
          <v:shape style="position:absolute;margin-left:281.300018pt;margin-top:129.333130pt;width:237.4pt;height:230.5pt;mso-position-horizontal-relative:page;mso-position-vertical-relative:paragraph;z-index:-25335296" coordorigin="5626,2587" coordsize="4748,4610" path="m6603,7139l6602,7136,6600,7129,6597,7126,6306,6835,6268,6763,6080,6402,6004,6257,5993,6237,5983,6225,5979,6222,5969,6220,5964,6222,5957,6226,5944,6237,5928,6252,5923,6259,5916,6268,5914,6273,5912,6281,5912,6284,5917,6297,5921,6302,6079,6595,6115,6659,6178,6767,6177,6768,6002,6668,5929,6629,5783,6551,5705,6508,5696,6505,5692,6504,5684,6505,5680,6507,5675,6509,5670,6513,5658,6523,5642,6539,5632,6551,5628,6557,5626,6562,5628,6572,5631,6576,5637,6581,5643,6586,5664,6598,5736,6636,6098,6824,6242,6900,6532,7190,6536,7193,6542,7196,6546,7196,6550,7195,6554,7194,6564,7189,6569,7185,6575,7181,6587,7168,6592,7163,6595,7158,6600,7148,6601,7143,6603,7139xm7274,6407l7274,6370,7268,6332,7258,6292,7242,6251,7223,6209,7199,6165,7170,6121,7161,6109,7161,6380,7157,6406,7148,6431,7133,6455,7115,6477,7093,6496,7070,6510,7045,6520,7020,6524,6994,6525,6967,6523,6939,6516,6909,6505,6880,6491,6849,6473,6818,6453,6786,6429,6753,6403,6720,6374,6687,6343,6652,6309,6622,6278,6594,6247,6567,6215,6541,6183,6518,6152,6499,6121,6482,6090,6469,6059,6458,6030,6451,6001,6447,5973,6447,5946,6451,5919,6460,5895,6474,5871,6493,5850,6515,5831,6537,5817,6562,5807,6587,5802,6614,5802,6641,5805,6669,5811,6698,5822,6728,5836,6759,5853,6790,5873,6821,5896,6854,5922,6886,5950,6919,5980,6952,6012,6983,6044,7012,6076,7039,6108,7064,6140,7088,6172,7108,6203,7125,6234,7139,6264,7150,6295,7157,6324,7161,6352,7161,6380,7161,6109,7137,6076,7100,6030,7059,5984,7013,5937,6966,5891,6921,5850,6876,5814,6860,5802,6832,5781,6790,5753,6749,5730,6709,5712,6670,5698,6633,5689,6596,5684,6562,5685,6528,5689,6496,5698,6465,5713,6436,5732,6408,5757,6383,5786,6363,5816,6348,5849,6339,5883,6335,5919,6336,5956,6341,5994,6351,6034,6366,6075,6386,6117,6409,6160,6438,6204,6470,6249,6507,6294,6547,6339,6591,6385,6639,6431,6685,6473,6731,6510,6775,6543,6817,6572,6859,6595,6899,6614,6938,6628,6975,6638,7011,6643,7046,6642,7080,6638,7113,6629,7144,6614,7173,6595,7201,6570,7227,6541,7237,6525,7247,6510,7261,6478,7270,6443,7274,6407xm7572,6170l7572,6166,7569,6159,7567,6156,7239,5828,7409,5658,7410,5655,7410,5648,7409,5644,7404,5635,7400,5629,7385,5611,7369,5595,7361,5588,7355,5583,7349,5578,7344,5575,7336,5571,7332,5570,7328,5570,7325,5570,7323,5571,7153,5742,6887,5477,7068,5296,7069,5294,7069,5291,7068,5283,7063,5274,7059,5268,7043,5250,7035,5242,7027,5234,7008,5217,6993,5208,6989,5208,6982,5207,6980,5208,6753,5435,6750,5444,6752,5454,6754,5464,6759,5474,6767,5484,6777,5495,7502,6221,7505,6223,7513,6226,7516,6226,7520,6225,7524,6224,7534,6219,7539,6215,7545,6211,7557,6198,7565,6188,7570,6178,7571,6174,7572,6170xm8101,5641l8100,5638,8098,5631,8095,5628,8092,5625,7340,4873,7337,4870,7330,4868,7327,4867,7322,4868,7318,4869,7309,4874,7298,4882,7286,4895,7278,4905,7273,4915,7272,4919,7271,4923,7271,4927,7274,4934,7276,4938,8031,5692,8034,5695,8041,5698,8044,5698,8048,5696,8053,5696,8063,5690,8073,5682,8086,5670,8090,5664,8094,5659,8099,5650,8099,5645,8101,5641xm8456,5214l8456,5197,8454,5181,8451,5164,8448,5147,8442,5129,8436,5112,8428,5094,8419,5076,8409,5058,8397,5039,8383,5021,8369,5003,8352,4985,8346,4977,8346,5180,8345,5194,8343,5207,8340,5220,8335,5232,8328,5244,8320,5256,8310,5267,8216,5361,7941,5086,8018,5009,8024,5003,8034,4995,8049,4983,8063,4974,8078,4967,8093,4963,8108,4961,8124,4960,8139,4961,8155,4965,8171,4970,8188,4977,8204,4986,8221,4996,8238,5009,8255,5024,8273,5040,8288,5057,8301,5073,8313,5089,8323,5105,8331,5120,8337,5136,8341,5151,8344,5165,8346,5180,8346,4977,8335,4966,8328,4960,8315,4947,8295,4930,8275,4915,8254,4901,8234,4889,8214,4878,8195,4870,8190,4868,8176,4863,8158,4858,8139,4855,8122,4853,8105,4853,8089,4854,8073,4858,8059,4862,8046,4868,8048,4855,8048,4841,8048,4827,8046,4812,8043,4798,8039,4783,8034,4768,8028,4753,8021,4739,8013,4724,8004,4710,7993,4695,7982,4680,7971,4666,7964,4658,7964,4852,7964,4866,7962,4879,7958,4892,7952,4905,7943,4917,7932,4930,7859,5003,7606,4751,7673,4684,7686,4671,7700,4661,7713,4653,7726,4648,7739,4645,7751,4643,7765,4643,7777,4644,7791,4648,7805,4653,7818,4660,7832,4668,7846,4678,7860,4689,7874,4701,7888,4714,7900,4727,7912,4741,7923,4754,7933,4768,7941,4783,7949,4797,7955,4811,7959,4824,7962,4838,7964,4852,7964,4658,7958,4652,7950,4643,7945,4638,7921,4616,7898,4596,7875,4579,7852,4564,7829,4552,7806,4542,7784,4534,7762,4530,7740,4528,7719,4529,7698,4532,7677,4538,7656,4547,7635,4560,7614,4576,7592,4596,7481,4707,7476,4712,7473,4721,7474,4732,7477,4741,7482,4751,7489,4762,7500,4773,8195,5469,8206,5479,8217,5487,8227,5491,8236,5493,8247,5495,8256,5492,8387,5361,8389,5360,8402,5346,8413,5332,8423,5318,8431,5304,8438,5290,8444,5276,8449,5261,8452,5245,8454,5230,8456,5214xm9020,4728l9019,4724,9017,4719,9014,4713,9009,4708,9003,4703,8995,4697,8984,4690,8889,4629,8609,4453,8609,4564,8440,4733,8179,4328,8135,4261,8135,4260,8135,4260,8609,4564,8609,4453,8304,4260,8097,4129,8091,4126,8086,4123,8081,4121,8076,4120,8072,4121,8062,4124,8056,4127,8050,4132,8044,4136,8038,4143,8030,4151,8022,4158,8016,4164,8012,4170,8008,4175,8005,4181,8004,4186,8002,4191,8001,4195,8003,4199,8004,4204,8007,4209,8010,4214,8053,4283,8370,4785,8571,5102,8578,5113,8584,5121,8589,5126,8594,5132,8600,5135,8604,5137,8609,5138,8614,5136,8620,5133,8625,5129,8632,5123,8646,5109,8651,5103,8655,5098,8659,5093,8661,5088,8661,5083,8662,5079,8662,5076,8660,5071,8659,5068,8657,5064,8654,5059,8617,5003,8506,4832,8605,4733,8709,4629,8940,4778,8945,4780,8949,4782,8953,4783,8956,4785,8960,4785,8963,4783,8968,4783,8972,4781,8978,4777,8983,4773,9005,4751,9010,4744,9014,4739,9018,4734,9020,4728xm9323,4313l9321,4275,9314,4235,9302,4194,9285,4152,9263,4108,9236,4062,9213,4029,9213,4277,9212,4304,9207,4330,9198,4355,9186,4380,9168,4404,9147,4427,9080,4494,8473,3887,8539,3821,8565,3798,8590,3781,8617,3768,8644,3761,8672,3758,8700,3759,8729,3763,8759,3770,8790,3781,8821,3796,8852,3813,8884,3834,8916,3858,8948,3884,8980,3912,9012,3942,9049,3981,9083,4019,9113,4055,9138,4090,9160,4124,9178,4157,9193,4189,9203,4219,9210,4249,9213,4277,9213,4029,9204,4016,9166,3969,9124,3920,9076,3870,9032,3828,8988,3790,8947,3758,8945,3756,8902,3727,8860,3702,8819,3681,8778,3665,8738,3652,8700,3645,8662,3642,8625,3644,8590,3650,8555,3662,8522,3679,8489,3702,8457,3731,8341,3847,8338,3856,8339,3867,8342,3876,8347,3886,8354,3896,8365,3908,9060,4603,9072,4614,9082,4621,9092,4626,9101,4628,9112,4630,9121,4627,9230,4518,9252,4494,9258,4487,9282,4454,9300,4420,9313,4386,9320,4350,9323,4313xm9940,3808l9939,3803,9937,3798,9934,3793,9929,3788,9923,3783,9916,3777,9905,3770,9810,3709,9529,3533,9529,3644,9360,3813,9099,3408,9055,3340,9055,3340,9529,3644,9529,3533,9224,3340,9017,3209,9011,3206,9006,3203,8996,3200,8992,3201,8987,3202,8982,3204,8976,3207,8971,3212,8965,3216,8958,3223,8950,3231,8936,3244,8928,3255,8925,3261,8924,3266,8922,3271,8922,3275,8923,3279,8924,3284,8927,3289,8930,3294,9017,3431,9289,3863,9318,3909,9491,4182,9498,4193,9504,4201,9509,4206,9514,4212,9520,4215,9529,4218,9534,4216,9540,4213,9545,4209,9552,4203,9566,4189,9571,4183,9575,4178,9579,4173,9581,4168,9581,4163,9582,4159,9582,4155,9580,4151,9579,4148,9577,4144,9574,4139,9426,3912,9525,3813,9629,3709,9860,3857,9865,3860,9869,3862,9873,3863,9876,3864,9880,3865,9883,3863,9888,3863,9892,3861,9898,3856,9903,3853,9925,3831,9930,3824,9934,3819,9938,3814,9940,3808xm10374,3365l10372,3352,10369,3345,10362,3330,10356,3322,10348,3315,9625,2592,9622,2590,9615,2587,9611,2587,9602,2588,9598,2590,9593,2594,9582,2602,9570,2614,9559,2629,9556,2634,9555,2643,9556,2647,9557,2650,9558,2654,9560,2657,10011,3107,10186,3280,10186,3280,10037,3203,9959,3162,9898,3133,9801,3084,9573,2970,9421,2894,9397,2883,9378,2874,9366,2870,9356,2867,9347,2867,9338,2867,9330,2867,9316,2874,9309,2879,9263,2925,9260,2935,9261,2947,9264,2957,9269,2967,9277,2978,9287,2990,10010,3713,10013,3715,10016,3716,10020,3718,10024,3718,10028,3717,10032,3717,10042,3711,10052,3704,10065,3691,10073,3680,10076,3675,10078,3671,10078,3666,10080,3662,10080,3659,10078,3654,10077,3651,10075,3648,9533,3107,9421,2997,9422,2997,9468,3022,9565,3073,9686,3134,10057,3318,10204,3392,10233,3406,10272,3422,10285,3425,10295,3426,10305,3427,10314,3426,10321,3423,10329,3421,10336,3416,10367,3384,10370,3380,10373,3370,10374,3365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5.5:</w:t>
      </w:r>
      <w:r>
        <w:rPr>
          <w:spacing w:val="-2"/>
        </w:rPr>
        <w:t> </w:t>
      </w:r>
      <w:r>
        <w:rPr/>
        <w:t>Long</w:t>
      </w:r>
      <w:r>
        <w:rPr>
          <w:spacing w:val="-1"/>
        </w:rPr>
        <w:t> </w:t>
      </w:r>
      <w:r>
        <w:rPr/>
        <w:t>Run</w:t>
      </w:r>
      <w:r>
        <w:rPr>
          <w:spacing w:val="-3"/>
        </w:rPr>
        <w:t> </w:t>
      </w:r>
      <w:r>
        <w:rPr/>
        <w:t>Elasticities</w:t>
      </w:r>
      <w:r>
        <w:rPr>
          <w:spacing w:val="-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sub-components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BoP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321"/>
        <w:gridCol w:w="2359"/>
        <w:gridCol w:w="1799"/>
        <w:gridCol w:w="1768"/>
      </w:tblGrid>
      <w:tr>
        <w:trPr>
          <w:trHeight w:val="753" w:hRule="atLeast"/>
        </w:trPr>
        <w:tc>
          <w:tcPr>
            <w:tcW w:w="636" w:type="dxa"/>
          </w:tcPr>
          <w:p>
            <w:pPr>
              <w:pStyle w:val="TableParagraph"/>
              <w:spacing w:line="273" w:lineRule="exact"/>
              <w:ind w:left="8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321" w:type="dxa"/>
          </w:tcPr>
          <w:p>
            <w:pPr>
              <w:pStyle w:val="TableParagraph"/>
              <w:spacing w:line="273" w:lineRule="exact"/>
              <w:ind w:left="110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Dependent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Variable</w:t>
            </w:r>
          </w:p>
        </w:tc>
        <w:tc>
          <w:tcPr>
            <w:tcW w:w="235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799" w:type="dxa"/>
          </w:tcPr>
          <w:p>
            <w:pPr>
              <w:pStyle w:val="TableParagraph"/>
              <w:spacing w:line="275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1768" w:type="dxa"/>
          </w:tcPr>
          <w:p>
            <w:pPr>
              <w:pStyle w:val="TableParagraph"/>
              <w:spacing w:line="242" w:lineRule="auto"/>
              <w:ind w:left="585" w:right="372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353" w:hRule="atLeast"/>
        </w:trPr>
        <w:tc>
          <w:tcPr>
            <w:tcW w:w="63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before="13"/>
              <w:ind w:left="79" w:right="103"/>
              <w:jc w:val="center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LEX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179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-11.713</w:t>
            </w:r>
          </w:p>
        </w:tc>
        <w:tc>
          <w:tcPr>
            <w:tcW w:w="176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330" w:right="315"/>
              <w:jc w:val="center"/>
              <w:rPr>
                <w:sz w:val="24"/>
              </w:rPr>
            </w:pPr>
            <w:r>
              <w:rPr>
                <w:sz w:val="24"/>
              </w:rPr>
              <w:t>2.591***</w:t>
            </w:r>
          </w:p>
        </w:tc>
      </w:tr>
      <w:tr>
        <w:trPr>
          <w:trHeight w:val="416" w:hRule="atLeast"/>
        </w:trPr>
        <w:tc>
          <w:tcPr>
            <w:tcW w:w="6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7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LREER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590" w:right="580"/>
              <w:jc w:val="center"/>
              <w:rPr>
                <w:sz w:val="24"/>
              </w:rPr>
            </w:pPr>
            <w:r>
              <w:rPr>
                <w:sz w:val="24"/>
              </w:rPr>
              <w:t>0.780</w:t>
            </w:r>
          </w:p>
        </w:tc>
        <w:tc>
          <w:tcPr>
            <w:tcW w:w="1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30" w:right="315"/>
              <w:jc w:val="center"/>
              <w:rPr>
                <w:sz w:val="24"/>
              </w:rPr>
            </w:pPr>
            <w:r>
              <w:rPr>
                <w:sz w:val="24"/>
              </w:rPr>
              <w:t>0.225***</w:t>
            </w:r>
          </w:p>
        </w:tc>
      </w:tr>
      <w:tr>
        <w:trPr>
          <w:trHeight w:val="424" w:hRule="atLeast"/>
        </w:trPr>
        <w:tc>
          <w:tcPr>
            <w:tcW w:w="6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d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590" w:right="580"/>
              <w:jc w:val="center"/>
              <w:rPr>
                <w:sz w:val="24"/>
              </w:rPr>
            </w:pPr>
            <w:r>
              <w:rPr>
                <w:sz w:val="24"/>
              </w:rPr>
              <w:t>3.195</w:t>
            </w:r>
          </w:p>
        </w:tc>
        <w:tc>
          <w:tcPr>
            <w:tcW w:w="1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30" w:right="248"/>
              <w:jc w:val="center"/>
              <w:rPr>
                <w:sz w:val="24"/>
              </w:rPr>
            </w:pPr>
            <w:r>
              <w:rPr>
                <w:sz w:val="24"/>
              </w:rPr>
              <w:t>0.343***</w:t>
            </w:r>
          </w:p>
        </w:tc>
      </w:tr>
      <w:tr>
        <w:trPr>
          <w:trHeight w:val="416" w:hRule="atLeast"/>
        </w:trPr>
        <w:tc>
          <w:tcPr>
            <w:tcW w:w="6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LMS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590" w:right="580"/>
              <w:jc w:val="center"/>
              <w:rPr>
                <w:sz w:val="24"/>
              </w:rPr>
            </w:pPr>
            <w:r>
              <w:rPr>
                <w:sz w:val="24"/>
              </w:rPr>
              <w:t>0.608</w:t>
            </w:r>
          </w:p>
        </w:tc>
        <w:tc>
          <w:tcPr>
            <w:tcW w:w="1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330" w:right="248"/>
              <w:jc w:val="center"/>
              <w:rPr>
                <w:sz w:val="24"/>
              </w:rPr>
            </w:pPr>
            <w:r>
              <w:rPr>
                <w:sz w:val="24"/>
              </w:rPr>
              <w:t>0.049***</w:t>
            </w:r>
          </w:p>
        </w:tc>
      </w:tr>
      <w:tr>
        <w:trPr>
          <w:trHeight w:val="712" w:hRule="atLeast"/>
        </w:trPr>
        <w:tc>
          <w:tcPr>
            <w:tcW w:w="63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TableParagraph"/>
              <w:spacing w:before="94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LWPI</w:t>
            </w:r>
          </w:p>
        </w:tc>
        <w:tc>
          <w:tcPr>
            <w:tcW w:w="1799" w:type="dxa"/>
            <w:tcBorders>
              <w:top w:val="nil"/>
            </w:tcBorders>
          </w:tcPr>
          <w:p>
            <w:pPr>
              <w:pStyle w:val="TableParagraph"/>
              <w:spacing w:before="39"/>
              <w:ind w:left="590" w:right="580"/>
              <w:jc w:val="center"/>
              <w:rPr>
                <w:sz w:val="24"/>
              </w:rPr>
            </w:pPr>
            <w:r>
              <w:rPr>
                <w:sz w:val="24"/>
              </w:rPr>
              <w:t>0.217</w:t>
            </w:r>
          </w:p>
        </w:tc>
        <w:tc>
          <w:tcPr>
            <w:tcW w:w="1768" w:type="dxa"/>
            <w:tcBorders>
              <w:top w:val="nil"/>
            </w:tcBorders>
          </w:tcPr>
          <w:p>
            <w:pPr>
              <w:pStyle w:val="TableParagraph"/>
              <w:spacing w:before="39"/>
              <w:ind w:left="330" w:right="365"/>
              <w:jc w:val="center"/>
              <w:rPr>
                <w:sz w:val="24"/>
              </w:rPr>
            </w:pPr>
            <w:r>
              <w:rPr>
                <w:sz w:val="24"/>
              </w:rPr>
              <w:t>0.108**</w:t>
            </w:r>
          </w:p>
        </w:tc>
      </w:tr>
      <w:tr>
        <w:trPr>
          <w:trHeight w:val="353" w:hRule="atLeast"/>
        </w:trPr>
        <w:tc>
          <w:tcPr>
            <w:tcW w:w="63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before="13"/>
              <w:ind w:left="87" w:right="103"/>
              <w:jc w:val="center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LIM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179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-41.024</w:t>
            </w:r>
          </w:p>
        </w:tc>
        <w:tc>
          <w:tcPr>
            <w:tcW w:w="176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330" w:right="315"/>
              <w:jc w:val="center"/>
              <w:rPr>
                <w:sz w:val="24"/>
              </w:rPr>
            </w:pPr>
            <w:r>
              <w:rPr>
                <w:sz w:val="24"/>
              </w:rPr>
              <w:t>9.027***</w:t>
            </w:r>
          </w:p>
        </w:tc>
      </w:tr>
      <w:tr>
        <w:trPr>
          <w:trHeight w:val="416" w:hRule="atLeast"/>
        </w:trPr>
        <w:tc>
          <w:tcPr>
            <w:tcW w:w="6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7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LREER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648"/>
              <w:rPr>
                <w:sz w:val="24"/>
              </w:rPr>
            </w:pPr>
            <w:r>
              <w:rPr>
                <w:sz w:val="24"/>
              </w:rPr>
              <w:t>-0.541</w:t>
            </w:r>
          </w:p>
        </w:tc>
        <w:tc>
          <w:tcPr>
            <w:tcW w:w="1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330" w:right="315"/>
              <w:jc w:val="center"/>
              <w:rPr>
                <w:sz w:val="24"/>
              </w:rPr>
            </w:pPr>
            <w:r>
              <w:rPr>
                <w:sz w:val="24"/>
              </w:rPr>
              <w:t>0.181***</w:t>
            </w:r>
          </w:p>
        </w:tc>
      </w:tr>
      <w:tr>
        <w:trPr>
          <w:trHeight w:val="424" w:hRule="atLeast"/>
        </w:trPr>
        <w:tc>
          <w:tcPr>
            <w:tcW w:w="6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d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590" w:right="580"/>
              <w:jc w:val="center"/>
              <w:rPr>
                <w:sz w:val="24"/>
              </w:rPr>
            </w:pPr>
            <w:r>
              <w:rPr>
                <w:sz w:val="24"/>
              </w:rPr>
              <w:t>0.849</w:t>
            </w:r>
          </w:p>
        </w:tc>
        <w:tc>
          <w:tcPr>
            <w:tcW w:w="1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30" w:right="365"/>
              <w:jc w:val="center"/>
              <w:rPr>
                <w:sz w:val="24"/>
              </w:rPr>
            </w:pPr>
            <w:r>
              <w:rPr>
                <w:sz w:val="24"/>
              </w:rPr>
              <w:t>0.415**</w:t>
            </w:r>
          </w:p>
        </w:tc>
      </w:tr>
      <w:tr>
        <w:trPr>
          <w:trHeight w:val="436" w:hRule="atLeast"/>
        </w:trPr>
        <w:tc>
          <w:tcPr>
            <w:tcW w:w="6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f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590" w:right="580"/>
              <w:jc w:val="center"/>
              <w:rPr>
                <w:sz w:val="24"/>
              </w:rPr>
            </w:pPr>
            <w:r>
              <w:rPr>
                <w:sz w:val="24"/>
              </w:rPr>
              <w:t>0.863</w:t>
            </w:r>
          </w:p>
        </w:tc>
        <w:tc>
          <w:tcPr>
            <w:tcW w:w="1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330" w:right="248"/>
              <w:jc w:val="center"/>
              <w:rPr>
                <w:sz w:val="24"/>
              </w:rPr>
            </w:pPr>
            <w:r>
              <w:rPr>
                <w:sz w:val="24"/>
              </w:rPr>
              <w:t>0.175***</w:t>
            </w:r>
          </w:p>
        </w:tc>
      </w:tr>
      <w:tr>
        <w:trPr>
          <w:trHeight w:val="733" w:hRule="atLeast"/>
        </w:trPr>
        <w:tc>
          <w:tcPr>
            <w:tcW w:w="63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TableParagraph"/>
              <w:spacing w:before="114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LMS</w:t>
            </w:r>
          </w:p>
        </w:tc>
        <w:tc>
          <w:tcPr>
            <w:tcW w:w="1799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590" w:right="580"/>
              <w:jc w:val="center"/>
              <w:rPr>
                <w:sz w:val="24"/>
              </w:rPr>
            </w:pPr>
            <w:r>
              <w:rPr>
                <w:sz w:val="24"/>
              </w:rPr>
              <w:t>0.444</w:t>
            </w:r>
          </w:p>
        </w:tc>
        <w:tc>
          <w:tcPr>
            <w:tcW w:w="1768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330" w:right="248"/>
              <w:jc w:val="center"/>
              <w:rPr>
                <w:sz w:val="24"/>
              </w:rPr>
            </w:pPr>
            <w:r>
              <w:rPr>
                <w:sz w:val="24"/>
              </w:rPr>
              <w:t>0.098***</w:t>
            </w:r>
          </w:p>
        </w:tc>
      </w:tr>
      <w:tr>
        <w:trPr>
          <w:trHeight w:val="353" w:hRule="atLeast"/>
        </w:trPr>
        <w:tc>
          <w:tcPr>
            <w:tcW w:w="63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before="12"/>
              <w:ind w:left="100" w:right="103"/>
              <w:jc w:val="center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LFDI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179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609" w:right="561"/>
              <w:jc w:val="center"/>
              <w:rPr>
                <w:sz w:val="24"/>
              </w:rPr>
            </w:pPr>
            <w:r>
              <w:rPr>
                <w:sz w:val="24"/>
              </w:rPr>
              <w:t>4.224</w:t>
            </w:r>
          </w:p>
        </w:tc>
        <w:tc>
          <w:tcPr>
            <w:tcW w:w="176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330" w:right="315"/>
              <w:jc w:val="center"/>
              <w:rPr>
                <w:sz w:val="24"/>
              </w:rPr>
            </w:pPr>
            <w:r>
              <w:rPr>
                <w:sz w:val="24"/>
              </w:rPr>
              <w:t>1.027***</w:t>
            </w:r>
          </w:p>
        </w:tc>
      </w:tr>
      <w:tr>
        <w:trPr>
          <w:trHeight w:val="415" w:hRule="atLeast"/>
        </w:trPr>
        <w:tc>
          <w:tcPr>
            <w:tcW w:w="6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LREER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609" w:right="561"/>
              <w:jc w:val="center"/>
              <w:rPr>
                <w:sz w:val="24"/>
              </w:rPr>
            </w:pPr>
            <w:r>
              <w:rPr>
                <w:sz w:val="24"/>
              </w:rPr>
              <w:t>0.422</w:t>
            </w:r>
          </w:p>
        </w:tc>
        <w:tc>
          <w:tcPr>
            <w:tcW w:w="1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330" w:right="365"/>
              <w:jc w:val="center"/>
              <w:rPr>
                <w:sz w:val="24"/>
              </w:rPr>
            </w:pPr>
            <w:r>
              <w:rPr>
                <w:sz w:val="24"/>
              </w:rPr>
              <w:t>0.128**</w:t>
            </w:r>
          </w:p>
        </w:tc>
      </w:tr>
      <w:tr>
        <w:trPr>
          <w:trHeight w:val="405" w:hRule="atLeast"/>
        </w:trPr>
        <w:tc>
          <w:tcPr>
            <w:tcW w:w="6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LOPENESS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609" w:right="561"/>
              <w:jc w:val="center"/>
              <w:rPr>
                <w:sz w:val="24"/>
              </w:rPr>
            </w:pPr>
            <w:r>
              <w:rPr>
                <w:sz w:val="24"/>
              </w:rPr>
              <w:t>1.169</w:t>
            </w:r>
          </w:p>
        </w:tc>
        <w:tc>
          <w:tcPr>
            <w:tcW w:w="17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330" w:right="315"/>
              <w:jc w:val="center"/>
              <w:rPr>
                <w:sz w:val="24"/>
              </w:rPr>
            </w:pPr>
            <w:r>
              <w:rPr>
                <w:sz w:val="24"/>
              </w:rPr>
              <w:t>0.116***</w:t>
            </w:r>
          </w:p>
        </w:tc>
      </w:tr>
      <w:tr>
        <w:trPr>
          <w:trHeight w:val="1083" w:hRule="atLeast"/>
        </w:trPr>
        <w:tc>
          <w:tcPr>
            <w:tcW w:w="63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TableParagraph"/>
              <w:spacing w:before="85"/>
              <w:ind w:left="129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TBR</w:t>
            </w:r>
          </w:p>
        </w:tc>
        <w:tc>
          <w:tcPr>
            <w:tcW w:w="1799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528"/>
              <w:rPr>
                <w:sz w:val="24"/>
              </w:rPr>
            </w:pPr>
            <w:r>
              <w:rPr>
                <w:sz w:val="24"/>
              </w:rPr>
              <w:t>-0.014</w:t>
            </w:r>
          </w:p>
        </w:tc>
        <w:tc>
          <w:tcPr>
            <w:tcW w:w="1768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291" w:right="368"/>
              <w:jc w:val="center"/>
              <w:rPr>
                <w:sz w:val="24"/>
              </w:rPr>
            </w:pPr>
            <w:r>
              <w:rPr>
                <w:sz w:val="24"/>
              </w:rPr>
              <w:t>-0.004***</w:t>
            </w:r>
          </w:p>
        </w:tc>
      </w:tr>
    </w:tbl>
    <w:p>
      <w:pPr>
        <w:pStyle w:val="BodyText"/>
        <w:ind w:left="811"/>
      </w:pPr>
      <w:r>
        <w:rPr/>
        <w:pict>
          <v:shape style="position:absolute;margin-left:116.940002pt;margin-top:-44.636894pt;width:168pt;height:164.2pt;mso-position-horizontal-relative:page;mso-position-vertical-relative:paragraph;z-index:-25336320" coordorigin="2339,-893" coordsize="3360,3284" path="m3369,2174l3367,2144,3362,2113,3353,2081,3340,2049,3324,2015,3304,1981,3281,1947,3255,1912,3224,1877,3191,1842,2711,1362,2708,1360,2701,1357,2697,1357,2693,1358,2689,1359,2680,1364,2669,1372,2657,1385,2649,1395,2644,1405,2642,1409,2641,1413,2642,1416,2644,1423,2647,1427,3127,1907,3152,1933,3174,1958,3194,1982,3210,2006,3225,2030,3236,2052,3246,2074,3253,2095,3257,2116,3259,2135,3258,2154,3255,2172,3250,2190,3242,2206,3231,2221,3218,2236,3204,2249,3189,2259,3172,2266,3155,2271,3137,2274,3118,2275,3098,2273,3077,2269,3056,2262,3033,2253,3010,2241,2986,2226,2961,2208,2936,2188,2910,2165,2883,2139,2409,1665,2405,1662,2398,1660,2395,1660,2391,1660,2387,1661,2377,1667,2366,1675,2354,1687,2346,1698,2343,1703,2340,1711,2339,1716,2339,1719,2342,1726,2344,1729,2831,2217,2867,2251,2902,2281,2937,2307,2971,2330,3004,2350,3037,2365,3068,2377,3098,2385,3128,2390,3157,2391,3184,2389,3211,2383,3236,2375,3260,2363,3282,2347,3303,2329,3323,2306,3340,2282,3352,2257,3361,2230,3367,2203,3369,2174xm3958,1641l3956,1628,3954,1621,3946,1606,3940,1598,3932,1591,3209,868,3207,866,3200,863,3195,863,3187,864,3182,866,3167,878,3155,890,3143,905,3141,910,3139,919,3140,923,3143,930,3145,933,3571,1359,3770,1556,3770,1556,3696,1517,3543,1439,3482,1409,3385,1360,3081,1208,2993,1164,2972,1154,2951,1146,2940,1144,2931,1143,2923,1143,2914,1144,2901,1150,2893,1155,2847,1201,2845,1211,2846,1223,2848,1233,2853,1243,2861,1254,2872,1266,3591,1986,3597,1991,3605,1994,3608,1994,3612,1993,3616,1992,3626,1987,3631,1984,3636,1980,3649,1967,3654,1961,3657,1956,3662,1947,3663,1942,3664,1938,3664,1935,3662,1930,3661,1927,3659,1924,3141,1406,3005,1273,3006,1273,3076,1311,3150,1349,3344,1447,3567,1557,3804,1675,3818,1682,3842,1692,3857,1697,3869,1701,3879,1702,3890,1703,3899,1702,3906,1699,3913,1697,3920,1692,3952,1661,3954,1657,3958,1646,3958,1641xm4162,1440l4162,1437,4159,1430,4157,1427,4154,1424,3402,672,3399,669,3391,667,3388,666,3384,667,3376,670,3370,673,3360,682,3348,694,3340,704,3335,714,3333,718,3332,722,3332,726,3335,733,3337,737,4092,1491,4095,1494,4102,1497,4106,1497,4109,1495,4114,1495,4124,1490,4135,1481,4147,1469,4155,1458,4160,1449,4161,1444,4162,1440xm4485,1115l4483,1105,4481,1100,4477,1095,4434,1027,3899,192,3889,180,3884,177,3880,176,3875,175,3870,176,3864,179,3853,189,3831,210,3823,220,3821,225,3820,234,3820,237,3824,245,3873,321,4349,1046,4349,1046,4283,1003,3553,529,3544,524,3540,522,3536,521,3524,522,3520,524,3511,531,3489,552,3474,571,3472,576,3474,587,3476,591,3482,596,3488,602,3507,615,3575,659,4391,1180,4398,1185,4401,1186,4404,1187,4407,1188,4414,1189,4417,1188,4420,1186,4427,1184,4430,1182,4443,1173,4471,1145,4480,1134,4482,1129,4485,1119,4485,1115xm4997,607l4996,599,4991,590,4987,584,4971,566,4964,559,4956,551,4937,534,4923,526,4916,525,4912,525,4909,527,4715,722,4435,442,4601,277,4602,275,4602,268,4601,264,4598,256,4594,251,4578,233,4563,218,4545,202,4539,198,4531,194,4526,192,4519,192,4517,193,4352,359,4107,114,4299,-78,4300,-81,4300,-88,4299,-91,4295,-100,4291,-106,4286,-112,4275,-124,4260,-139,4247,-151,4236,-159,4226,-164,4223,-166,4215,-166,4213,-165,3974,74,3972,83,3973,94,3975,103,3980,113,3988,123,3998,135,4694,830,4705,841,4716,848,4725,853,4734,855,4746,857,4754,854,4996,613,4997,610,4997,607xm5431,172l5430,169,5429,165,5427,162,5424,159,5421,156,5418,153,5413,148,5406,143,5369,120,5185,11,5167,0,5135,-19,5118,-29,5085,-46,5070,-54,5056,-61,5042,-67,5028,-72,5015,-76,5002,-80,4990,-82,4981,-84,4978,-85,4967,-86,4956,-86,4946,-85,4935,-84,4940,-101,4942,-118,4944,-135,4945,-152,4944,-170,4942,-187,4938,-205,4933,-224,4926,-242,4918,-260,4909,-279,4897,-298,4884,-316,4869,-335,4852,-355,4848,-359,4848,-147,4846,-132,4843,-118,4837,-104,4830,-90,4820,-76,4809,-63,4745,0,4483,-263,4537,-318,4546,-326,4555,-334,4563,-341,4570,-347,4579,-354,4588,-359,4597,-362,4619,-368,4641,-369,4663,-367,4685,-360,4708,-348,4730,-334,4753,-316,4776,-295,4789,-281,4802,-266,4813,-252,4823,-237,4831,-221,4838,-206,4843,-191,4846,-177,4848,-161,4848,-147,4848,-359,4838,-369,4834,-374,4813,-394,4793,-411,4773,-427,4752,-441,4732,-453,4712,-463,4691,-471,4671,-478,4651,-483,4631,-485,4611,-486,4592,-485,4573,-481,4554,-476,4536,-468,4517,-459,4510,-454,4501,-448,4492,-441,4485,-435,4477,-428,4469,-420,4460,-411,4408,-360,4356,-308,4351,-302,4348,-294,4349,-283,4352,-273,4357,-264,4364,-253,4375,-242,5100,484,5103,486,5107,487,5110,489,5113,489,5117,488,5122,487,5126,485,5132,482,5136,478,5142,474,5155,461,5159,455,5163,450,5166,445,5168,441,5168,436,5169,433,5170,429,5168,426,5167,422,5164,419,4931,185,4829,84,4851,62,4872,40,4884,30,4896,22,4908,17,4921,13,4934,11,4948,11,4963,12,4978,15,4993,19,5010,25,5026,31,5043,40,5061,49,5079,59,5098,70,5117,81,5289,185,5346,220,5352,224,5357,227,5362,229,5366,231,5370,231,5375,230,5380,230,5384,228,5389,224,5394,221,5400,216,5414,202,5419,196,5423,190,5427,185,5429,181,5431,172xm5698,-159l5696,-185,5691,-211,5683,-238,5672,-265,5659,-293,5642,-320,5622,-347,5600,-375,5574,-403,5551,-424,5528,-444,5505,-460,5483,-474,5462,-485,5441,-494,5420,-502,5399,-508,5379,-512,5359,-514,5339,-515,5320,-516,5301,-514,5282,-513,5246,-509,5192,-500,5157,-496,5140,-495,5123,-495,5106,-496,5089,-498,5073,-501,5056,-506,5039,-512,5023,-520,5007,-531,4990,-544,4974,-559,4963,-570,4953,-582,4945,-594,4937,-606,4930,-618,4924,-631,4920,-643,4917,-655,4915,-667,4915,-679,4916,-691,4918,-704,4922,-715,4928,-726,4936,-737,4945,-747,4957,-757,4968,-766,4980,-773,4993,-778,5006,-782,5019,-785,5031,-787,5043,-789,5065,-791,5095,-792,5102,-793,5107,-798,5107,-804,5105,-810,5094,-825,5084,-837,5057,-865,5046,-874,5034,-883,5027,-887,5014,-892,5008,-893,4998,-893,4984,-892,4973,-890,4963,-888,4941,-883,4930,-879,4919,-875,4909,-870,4898,-864,4888,-858,4878,-851,4870,-844,4861,-836,4846,-819,4834,-802,4824,-783,4816,-764,4810,-743,4807,-721,4806,-699,4808,-677,4813,-654,4820,-630,4829,-606,4842,-582,4857,-557,4874,-532,4895,-508,4918,-483,4941,-461,4964,-442,4987,-425,5009,-412,5031,-400,5052,-391,5073,-383,5093,-377,5113,-373,5133,-370,5153,-368,5172,-368,5191,-369,5210,-370,5246,-374,5317,-385,5335,-387,5352,-388,5368,-388,5385,-387,5401,-385,5418,-382,5435,-377,5451,-371,5468,-362,5484,-352,5501,-339,5517,-324,5532,-308,5545,-293,5556,-277,5565,-262,5573,-246,5579,-231,5584,-217,5587,-202,5588,-187,5588,-173,5586,-160,5582,-146,5577,-133,5571,-121,5562,-109,5553,-98,5538,-86,5524,-75,5509,-66,5493,-60,5477,-55,5462,-51,5448,-48,5434,-46,5421,-45,5409,-44,5397,-44,5374,-44,5365,-43,5360,-37,5359,-35,5359,-29,5360,-25,5365,-16,5369,-10,5387,10,5405,27,5413,35,5421,41,5428,46,5436,53,5445,56,5453,58,5460,61,5471,61,5496,60,5508,58,5520,56,5533,53,5546,49,5559,44,5573,39,5586,32,5600,24,5613,15,5626,5,5638,-7,5654,-25,5668,-44,5680,-65,5689,-87,5695,-110,5698,-134,5698,-15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55.630005pt;margin-top:-77.306892pt;width:55.75pt;height:63.15pt;mso-position-horizontal-relative:page;mso-position-vertical-relative:paragraph;z-index:-25335808" coordorigin="5113,-1546" coordsize="1115,1263" path="m5942,-340l5942,-343,5940,-350,5937,-354,5934,-357,5182,-1109,5179,-1111,5172,-1114,5168,-1114,5164,-1113,5156,-1110,5151,-1107,5140,-1099,5128,-1087,5124,-1081,5120,-1077,5115,-1067,5114,-1063,5113,-1058,5113,-1055,5115,-1048,5117,-1044,5872,-289,5876,-286,5883,-284,5886,-284,5890,-285,5894,-286,5904,-291,5915,-299,5927,-312,5935,-322,5938,-328,5940,-332,5942,-340xm6227,-625l6227,-628,6224,-635,6222,-639,5542,-1318,5681,-1457,5683,-1459,5683,-1463,5682,-1470,5679,-1475,5677,-1479,5673,-1485,5657,-1503,5649,-1511,5641,-1519,5622,-1536,5616,-1540,5607,-1545,5603,-1546,5596,-1546,5593,-1545,5251,-1203,5250,-1200,5250,-1197,5250,-1193,5251,-1189,5256,-1180,5260,-1174,5265,-1169,5271,-1162,5277,-1155,5292,-1139,5299,-1133,5306,-1128,5311,-1123,5317,-1119,5326,-1115,5329,-1113,5336,-1113,5339,-1115,5478,-1253,6157,-574,6161,-571,6168,-569,6171,-568,6175,-570,6179,-571,6189,-576,6200,-584,6212,-596,6217,-602,6220,-607,6225,-617,6226,-621,6227,-625xe" filled="true" fillcolor="#ffc000" stroked="false">
            <v:path arrowok="t"/>
            <v:fill opacity="32896f" type="solid"/>
            <w10:wrap type="none"/>
          </v:shape>
        </w:pict>
      </w:r>
      <w:r>
        <w:rPr/>
        <w:t>Note:</w:t>
      </w:r>
      <w:r>
        <w:rPr>
          <w:spacing w:val="-2"/>
        </w:rPr>
        <w:t> </w:t>
      </w:r>
      <w:r>
        <w:rPr/>
        <w:t>***,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1%,</w:t>
      </w:r>
      <w:r>
        <w:rPr>
          <w:spacing w:val="1"/>
        </w:rPr>
        <w:t> </w:t>
      </w:r>
      <w:r>
        <w:rPr/>
        <w:t>5%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10%,</w:t>
      </w:r>
      <w:r>
        <w:rPr>
          <w:spacing w:val="-1"/>
        </w:rPr>
        <w:t> </w:t>
      </w:r>
      <w:r>
        <w:rPr/>
        <w:t>respectively.</w:t>
      </w:r>
    </w:p>
    <w:p>
      <w:pPr>
        <w:spacing w:before="133"/>
        <w:ind w:left="811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r>
        <w:rPr>
          <w:sz w:val="24"/>
        </w:rPr>
        <w:t>Computed by</w:t>
      </w:r>
      <w:r>
        <w:rPr>
          <w:spacing w:val="-5"/>
          <w:sz w:val="24"/>
        </w:rPr>
        <w:t> </w:t>
      </w:r>
      <w:r>
        <w:rPr>
          <w:sz w:val="24"/>
        </w:rPr>
        <w:t>the Author, 2014.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81696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2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estimated long-run results in Table 5.4 show that in the long run exchange rate and</w:t>
      </w:r>
      <w:r>
        <w:rPr>
          <w:spacing w:val="1"/>
        </w:rPr>
        <w:t> </w:t>
      </w:r>
      <w:r>
        <w:rPr/>
        <w:t>other macroeconomic variables such as growth in GDP, money supply have significant</w:t>
      </w:r>
      <w:r>
        <w:rPr>
          <w:spacing w:val="1"/>
        </w:rPr>
        <w:t> </w:t>
      </w:r>
      <w:r>
        <w:rPr/>
        <w:t>effect on the balance of payments and its components.</w:t>
      </w:r>
      <w:r>
        <w:rPr>
          <w:spacing w:val="1"/>
        </w:rPr>
        <w:t> </w:t>
      </w:r>
      <w:r>
        <w:rPr/>
        <w:t>Specifically, due to the nature of</w:t>
      </w:r>
      <w:r>
        <w:rPr>
          <w:spacing w:val="1"/>
        </w:rPr>
        <w:t> </w:t>
      </w:r>
      <w:r>
        <w:rPr/>
        <w:t>the country‘s economy which is largely import dependent and as such the influence of</w:t>
      </w:r>
      <w:r>
        <w:rPr>
          <w:spacing w:val="1"/>
        </w:rPr>
        <w:t> </w:t>
      </w:r>
      <w:r>
        <w:rPr/>
        <w:t>exchange rate on</w:t>
      </w:r>
      <w:r>
        <w:rPr>
          <w:spacing w:val="1"/>
        </w:rPr>
        <w:t> </w:t>
      </w:r>
      <w:r>
        <w:rPr/>
        <w:t>the balance of payments in generally and</w:t>
      </w:r>
      <w:r>
        <w:rPr>
          <w:spacing w:val="60"/>
        </w:rPr>
        <w:t> </w:t>
      </w:r>
      <w:r>
        <w:rPr/>
        <w:t>on each of its components,</w:t>
      </w:r>
      <w:r>
        <w:rPr>
          <w:spacing w:val="1"/>
        </w:rPr>
        <w:t> </w:t>
      </w:r>
      <w:r>
        <w:rPr/>
        <w:t>vary</w:t>
      </w:r>
      <w:r>
        <w:rPr>
          <w:spacing w:val="-5"/>
        </w:rPr>
        <w:t> </w:t>
      </w:r>
      <w:r>
        <w:rPr/>
        <w:t>quite</w:t>
      </w:r>
      <w:r>
        <w:rPr>
          <w:spacing w:val="-1"/>
        </w:rPr>
        <w:t> </w:t>
      </w:r>
      <w:r>
        <w:rPr/>
        <w:t>significantly.</w:t>
      </w:r>
    </w:p>
    <w:p>
      <w:pPr>
        <w:pStyle w:val="BodyText"/>
        <w:spacing w:line="360" w:lineRule="auto" w:before="200"/>
        <w:ind w:left="811" w:right="995" w:firstLine="60"/>
        <w:jc w:val="both"/>
      </w:pPr>
      <w:r>
        <w:rPr/>
        <w:t>The influence exchange rate has on the overall balance of payments may be both direct</w:t>
      </w:r>
      <w:r>
        <w:rPr>
          <w:spacing w:val="1"/>
        </w:rPr>
        <w:t> </w:t>
      </w:r>
      <w:r>
        <w:rPr/>
        <w:t>and or indirect.</w:t>
      </w:r>
      <w:r>
        <w:rPr>
          <w:spacing w:val="1"/>
        </w:rPr>
        <w:t> </w:t>
      </w:r>
      <w:r>
        <w:rPr/>
        <w:t>The coefficient, 0.343 of exchange rate connotes that the relationship</w:t>
      </w:r>
      <w:r>
        <w:rPr>
          <w:spacing w:val="1"/>
        </w:rPr>
        <w:t> </w:t>
      </w:r>
      <w:r>
        <w:rPr/>
        <w:t>between exchange rate and that of balance of payments is inelastic.   The implication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deterioration in the local currency.     This demonstrates that a 1 percent depreciation in</w:t>
      </w:r>
      <w:r>
        <w:rPr>
          <w:spacing w:val="1"/>
        </w:rPr>
        <w:t> </w:t>
      </w:r>
      <w:r>
        <w:rPr/>
        <w:t>the real exchange rate would lead to a 0.34 percentage improvement in the balance of</w:t>
      </w:r>
      <w:r>
        <w:rPr>
          <w:spacing w:val="1"/>
        </w:rPr>
        <w:t> </w:t>
      </w:r>
      <w:r>
        <w:rPr/>
        <w:t>payments.</w:t>
      </w:r>
      <w:r>
        <w:rPr>
          <w:spacing w:val="1"/>
        </w:rPr>
        <w:t> </w:t>
      </w:r>
      <w:r>
        <w:rPr/>
        <w:t>Growths in both domestic and foreign gross domestic incomes (GDPs) also</w:t>
      </w:r>
      <w:r>
        <w:rPr>
          <w:spacing w:val="1"/>
        </w:rPr>
        <w:t> </w:t>
      </w:r>
      <w:r>
        <w:rPr/>
        <w:t>surmise positive and significant effects on the balance of payments in Sierra Leone in the</w:t>
      </w:r>
      <w:r>
        <w:rPr>
          <w:spacing w:val="1"/>
        </w:rPr>
        <w:t> </w:t>
      </w:r>
      <w:r>
        <w:rPr/>
        <w:t>long-run.</w:t>
      </w:r>
      <w:r>
        <w:rPr>
          <w:spacing w:val="1"/>
        </w:rPr>
        <w:t> </w:t>
      </w:r>
      <w:r>
        <w:rPr/>
        <w:t>As it could be observed from the results, foreign GDP tends to exert a greater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country‘s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 payments than 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GDP.</w:t>
      </w:r>
    </w:p>
    <w:p>
      <w:pPr>
        <w:pStyle w:val="BodyText"/>
        <w:spacing w:line="360" w:lineRule="auto" w:before="200"/>
        <w:ind w:left="811" w:right="996"/>
        <w:jc w:val="both"/>
      </w:pPr>
      <w:r>
        <w:rPr/>
        <w:t>Similarly, on the current account balance, exchange rate, money supply and the world</w:t>
      </w:r>
      <w:r>
        <w:rPr>
          <w:spacing w:val="1"/>
        </w:rPr>
        <w:t> </w:t>
      </w:r>
      <w:r>
        <w:rPr/>
        <w:t>price index are the major determinants.</w:t>
      </w:r>
      <w:r>
        <w:rPr>
          <w:spacing w:val="1"/>
        </w:rPr>
        <w:t> </w:t>
      </w:r>
      <w:r>
        <w:rPr/>
        <w:t>As Table 5.4 depicts, the coefficient of exchange</w:t>
      </w:r>
      <w:r>
        <w:rPr>
          <w:spacing w:val="1"/>
        </w:rPr>
        <w:t> </w:t>
      </w:r>
      <w:r>
        <w:rPr/>
        <w:t>of 1.33 indicates an elastic response of the current account balance to exchange rate</w:t>
      </w:r>
      <w:r>
        <w:rPr>
          <w:spacing w:val="1"/>
        </w:rPr>
        <w:t> </w:t>
      </w:r>
      <w:r>
        <w:rPr/>
        <w:t>depreciation.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influence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current</w:t>
      </w:r>
      <w:r>
        <w:rPr>
          <w:spacing w:val="-57"/>
        </w:rPr>
        <w:t> </w:t>
      </w:r>
      <w:r>
        <w:rPr/>
        <w:t>account balance through the trade balance which constitutes a greater proportion of the</w:t>
      </w:r>
      <w:r>
        <w:rPr>
          <w:spacing w:val="1"/>
        </w:rPr>
        <w:t> </w:t>
      </w:r>
      <w:r>
        <w:rPr/>
        <w:t>current account balance.</w:t>
      </w:r>
      <w:r>
        <w:rPr>
          <w:spacing w:val="1"/>
        </w:rPr>
        <w:t> </w:t>
      </w:r>
      <w:r>
        <w:rPr/>
        <w:t>Equally, an increase in world price index makes the country‘s</w:t>
      </w:r>
      <w:r>
        <w:rPr>
          <w:spacing w:val="1"/>
        </w:rPr>
        <w:t> </w:t>
      </w:r>
      <w:r>
        <w:rPr/>
        <w:t>exports relatively cheaper in the international market, provided the domestic price does</w:t>
      </w:r>
      <w:r>
        <w:rPr>
          <w:spacing w:val="1"/>
        </w:rPr>
        <w:t> </w:t>
      </w:r>
      <w:r>
        <w:rPr/>
        <w:t>not increase immediately due to the world price increase.</w:t>
      </w:r>
      <w:r>
        <w:rPr>
          <w:spacing w:val="1"/>
        </w:rPr>
        <w:t> </w:t>
      </w:r>
      <w:r>
        <w:rPr/>
        <w:t>This, therefore, induces an</w:t>
      </w:r>
      <w:r>
        <w:rPr>
          <w:spacing w:val="1"/>
        </w:rPr>
        <w:t> </w:t>
      </w:r>
      <w:r>
        <w:rPr/>
        <w:t>increase in foreign demand for the country‘s exports.</w:t>
      </w:r>
      <w:r>
        <w:rPr>
          <w:spacing w:val="1"/>
        </w:rPr>
        <w:t> </w:t>
      </w:r>
      <w:r>
        <w:rPr/>
        <w:t>The influence of domestic money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ambiguous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in the long-run.</w:t>
      </w:r>
    </w:p>
    <w:p>
      <w:pPr>
        <w:pStyle w:val="BodyText"/>
        <w:spacing w:line="360" w:lineRule="auto" w:before="202"/>
        <w:ind w:left="811" w:right="998"/>
        <w:jc w:val="both"/>
      </w:pPr>
      <w:r>
        <w:rPr/>
        <w:t>As evidenced from the balance of payments identity, both the current account balance and</w:t>
      </w:r>
      <w:r>
        <w:rPr>
          <w:spacing w:val="-57"/>
        </w:rPr>
        <w:t> </w:t>
      </w:r>
      <w:r>
        <w:rPr/>
        <w:t>the financial account balance offset each other.</w:t>
      </w:r>
      <w:r>
        <w:rPr>
          <w:spacing w:val="1"/>
        </w:rPr>
        <w:t> </w:t>
      </w:r>
      <w:r>
        <w:rPr/>
        <w:t>This implies that a surplus in one account</w:t>
      </w:r>
      <w:r>
        <w:rPr>
          <w:spacing w:val="-57"/>
        </w:rPr>
        <w:t> </w:t>
      </w:r>
      <w:r>
        <w:rPr/>
        <w:t>would</w:t>
      </w:r>
      <w:r>
        <w:rPr>
          <w:spacing w:val="9"/>
        </w:rPr>
        <w:t> </w:t>
      </w:r>
      <w:r>
        <w:rPr/>
        <w:t>approximately</w:t>
      </w:r>
      <w:r>
        <w:rPr>
          <w:spacing w:val="4"/>
        </w:rPr>
        <w:t> </w:t>
      </w:r>
      <w:r>
        <w:rPr/>
        <w:t>be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same</w:t>
      </w:r>
      <w:r>
        <w:rPr>
          <w:spacing w:val="8"/>
        </w:rPr>
        <w:t> </w:t>
      </w:r>
      <w:r>
        <w:rPr/>
        <w:t>amount</w:t>
      </w:r>
      <w:r>
        <w:rPr>
          <w:spacing w:val="11"/>
        </w:rPr>
        <w:t> </w:t>
      </w:r>
      <w:r>
        <w:rPr/>
        <w:t>indicating</w:t>
      </w:r>
      <w:r>
        <w:rPr>
          <w:spacing w:val="6"/>
        </w:rPr>
        <w:t> </w:t>
      </w:r>
      <w:r>
        <w:rPr/>
        <w:t>a</w:t>
      </w:r>
      <w:r>
        <w:rPr>
          <w:spacing w:val="9"/>
        </w:rPr>
        <w:t> </w:t>
      </w:r>
      <w:r>
        <w:rPr/>
        <w:t>deficit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other</w:t>
      </w:r>
      <w:r>
        <w:rPr>
          <w:spacing w:val="8"/>
        </w:rPr>
        <w:t> </w:t>
      </w:r>
      <w:r>
        <w:rPr/>
        <w:t>account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4"/>
        <w:jc w:val="both"/>
      </w:pPr>
      <w:r>
        <w:rPr/>
        <w:drawing>
          <wp:anchor distT="0" distB="0" distL="0" distR="0" allowOverlap="1" layoutInCell="1" locked="0" behindDoc="1" simplePos="0" relativeHeight="477982208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2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balance.</w:t>
      </w:r>
      <w:r>
        <w:rPr>
          <w:spacing w:val="1"/>
        </w:rPr>
        <w:t> </w:t>
      </w:r>
      <w:r>
        <w:rPr/>
        <w:t>The impact of exchange rate on the financial account is, still, not explicit in the</w:t>
      </w:r>
      <w:r>
        <w:rPr>
          <w:spacing w:val="1"/>
        </w:rPr>
        <w:t> </w:t>
      </w:r>
      <w:r>
        <w:rPr/>
        <w:t>long-run.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elasticity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fundamentals such as trade openness and the growth rate of the country‘s gross domestic</w:t>
      </w:r>
      <w:r>
        <w:rPr>
          <w:spacing w:val="1"/>
        </w:rPr>
        <w:t> </w:t>
      </w:r>
      <w:r>
        <w:rPr/>
        <w:t>income have both positively influenced the financial account balance.</w:t>
      </w:r>
      <w:r>
        <w:rPr>
          <w:spacing w:val="1"/>
        </w:rPr>
        <w:t> </w:t>
      </w:r>
      <w:r>
        <w:rPr/>
        <w:t>This manipulation</w:t>
      </w:r>
      <w:r>
        <w:rPr>
          <w:spacing w:val="1"/>
        </w:rPr>
        <w:t> </w:t>
      </w:r>
      <w:r>
        <w:rPr/>
        <w:t>takes place mostly through investment inflows.</w:t>
      </w:r>
      <w:r>
        <w:rPr>
          <w:spacing w:val="1"/>
        </w:rPr>
        <w:t> </w:t>
      </w:r>
      <w:r>
        <w:rPr/>
        <w:t>A depreciation of the domestic currency</w:t>
      </w:r>
      <w:r>
        <w:rPr>
          <w:spacing w:val="1"/>
        </w:rPr>
        <w:t> </w:t>
      </w:r>
      <w:r>
        <w:rPr/>
        <w:t>attracts foreign inflows of capital in the form of investment.</w:t>
      </w:r>
      <w:r>
        <w:rPr>
          <w:spacing w:val="1"/>
        </w:rPr>
        <w:t> </w:t>
      </w:r>
      <w:r>
        <w:rPr/>
        <w:t>It makes among others, the</w:t>
      </w:r>
      <w:r>
        <w:rPr>
          <w:spacing w:val="1"/>
        </w:rPr>
        <w:t> </w:t>
      </w:r>
      <w:r>
        <w:rPr/>
        <w:t>cost of hiring labour in domestic currency cheaper relative to their counterparts in other</w:t>
      </w:r>
      <w:r>
        <w:rPr>
          <w:spacing w:val="1"/>
        </w:rPr>
        <w:t> </w:t>
      </w:r>
      <w:r>
        <w:rPr/>
        <w:t>economies; and also, raw materials would become economically cheaper to acquire with</w:t>
      </w:r>
      <w:r>
        <w:rPr>
          <w:spacing w:val="1"/>
        </w:rPr>
        <w:t> </w:t>
      </w:r>
      <w:r>
        <w:rPr/>
        <w:t>foreign currency.</w:t>
      </w:r>
      <w:r>
        <w:rPr>
          <w:spacing w:val="1"/>
        </w:rPr>
        <w:t> </w:t>
      </w:r>
      <w:r>
        <w:rPr/>
        <w:t>This makes investment profitable for foreign investors in terms of the</w:t>
      </w:r>
      <w:r>
        <w:rPr>
          <w:spacing w:val="1"/>
        </w:rPr>
        <w:t> </w:t>
      </w:r>
      <w:r>
        <w:rPr/>
        <w:t>local currency than their domestic competitors.</w:t>
      </w:r>
      <w:r>
        <w:rPr>
          <w:spacing w:val="1"/>
        </w:rPr>
        <w:t> </w:t>
      </w:r>
      <w:r>
        <w:rPr/>
        <w:t>Foreign investors may have the tendency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outperform their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counterparts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investments.</w:t>
      </w:r>
    </w:p>
    <w:p>
      <w:pPr>
        <w:pStyle w:val="BodyText"/>
        <w:spacing w:line="360" w:lineRule="auto" w:before="201"/>
        <w:ind w:left="811" w:right="992"/>
        <w:jc w:val="both"/>
      </w:pPr>
      <w:r>
        <w:rPr/>
        <w:t>The issue of exchange rate behaviour on the current account balance is evidenced more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long-run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elasticities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0.78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0.54,</w:t>
      </w:r>
      <w:r>
        <w:rPr>
          <w:spacing w:val="1"/>
        </w:rPr>
        <w:t> </w:t>
      </w:r>
      <w:r>
        <w:rPr/>
        <w:t>respectively on exports and imports, imply that real exchange rate movements influence</w:t>
      </w:r>
      <w:r>
        <w:rPr>
          <w:spacing w:val="1"/>
        </w:rPr>
        <w:t> </w:t>
      </w:r>
      <w:r>
        <w:rPr/>
        <w:t>the country‘s exports more than imports in the long-run.</w:t>
      </w:r>
      <w:r>
        <w:rPr>
          <w:spacing w:val="1"/>
        </w:rPr>
        <w:t> </w:t>
      </w:r>
      <w:r>
        <w:rPr/>
        <w:t>This is, however, not what is</w:t>
      </w:r>
      <w:r>
        <w:rPr>
          <w:spacing w:val="1"/>
        </w:rPr>
        <w:t> </w:t>
      </w:r>
      <w:r>
        <w:rPr/>
        <w:t>reported in the studies by Bhattari and Armah (2005) for Ghana and Bahamain-oskooee</w:t>
      </w:r>
      <w:r>
        <w:rPr>
          <w:spacing w:val="1"/>
        </w:rPr>
        <w:t> </w:t>
      </w:r>
      <w:r>
        <w:rPr/>
        <w:t>and Satawatananon (2010) for Thailand.</w:t>
      </w:r>
      <w:r>
        <w:rPr>
          <w:spacing w:val="1"/>
        </w:rPr>
        <w:t> </w:t>
      </w:r>
      <w:r>
        <w:rPr/>
        <w:t>The results of the analysis showed that other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incomes</w:t>
      </w:r>
      <w:r>
        <w:rPr>
          <w:spacing w:val="1"/>
        </w:rPr>
        <w:t> </w:t>
      </w:r>
      <w:r>
        <w:rPr/>
        <w:t>collaborated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influencing both exports and imports.</w:t>
      </w:r>
      <w:r>
        <w:rPr>
          <w:spacing w:val="1"/>
        </w:rPr>
        <w:t> </w:t>
      </w:r>
      <w:r>
        <w:rPr/>
        <w:t>Growth in foreign income influences imports more</w:t>
      </w:r>
      <w:r>
        <w:rPr>
          <w:spacing w:val="-57"/>
        </w:rPr>
        <w:t> </w:t>
      </w:r>
      <w:r>
        <w:rPr/>
        <w:t>than that</w:t>
      </w:r>
      <w:r>
        <w:rPr>
          <w:spacing w:val="-1"/>
        </w:rPr>
        <w:t> </w:t>
      </w:r>
      <w:r>
        <w:rPr/>
        <w:t>of exports.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2"/>
          <w:numId w:val="16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13" w:id="60"/>
      <w:r>
        <w:rPr/>
        <w:t>Short</w:t>
      </w:r>
      <w:r>
        <w:rPr>
          <w:spacing w:val="-2"/>
        </w:rPr>
        <w:t> </w:t>
      </w:r>
      <w:r>
        <w:rPr/>
        <w:t>Run</w:t>
      </w:r>
      <w:r>
        <w:rPr>
          <w:spacing w:val="-2"/>
        </w:rPr>
        <w:t> </w:t>
      </w:r>
      <w:r>
        <w:rPr/>
        <w:t>Dynamic</w:t>
      </w:r>
      <w:r>
        <w:rPr>
          <w:spacing w:val="-1"/>
        </w:rPr>
        <w:t> </w:t>
      </w:r>
      <w:bookmarkEnd w:id="60"/>
      <w:r>
        <w:rPr/>
        <w:t>Solutions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drawing>
          <wp:anchor distT="0" distB="0" distL="0" distR="0" allowOverlap="1" layoutInCell="1" locked="0" behindDoc="1" simplePos="0" relativeHeight="477982720">
            <wp:simplePos x="0" y="0"/>
            <wp:positionH relativeFrom="page">
              <wp:posOffset>1485138</wp:posOffset>
            </wp:positionH>
            <wp:positionV relativeFrom="paragraph">
              <wp:posOffset>1241591</wp:posOffset>
            </wp:positionV>
            <wp:extent cx="5102225" cy="5044439"/>
            <wp:effectExtent l="0" t="0" r="0" b="0"/>
            <wp:wrapNone/>
            <wp:docPr id="2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sub-section provides the short run solutions of the model. These estimates provide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representations for the ARDL model are reported for each of the estimated equations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sub section.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3"/>
          <w:numId w:val="16"/>
        </w:numPr>
        <w:tabs>
          <w:tab w:pos="1711" w:val="left" w:leader="none"/>
          <w:tab w:pos="1712" w:val="left" w:leader="none"/>
        </w:tabs>
        <w:spacing w:line="240" w:lineRule="auto" w:before="1" w:after="0"/>
        <w:ind w:left="1711" w:right="0" w:hanging="901"/>
        <w:jc w:val="left"/>
      </w:pPr>
      <w:bookmarkStart w:name="_TOC_250012" w:id="61"/>
      <w:r>
        <w:rPr/>
        <w:t>Dynamic</w:t>
      </w:r>
      <w:r>
        <w:rPr>
          <w:spacing w:val="-2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bookmarkEnd w:id="61"/>
      <w:r>
        <w:rPr/>
        <w:t>of Payments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811" w:right="990"/>
      </w:pPr>
      <w:r>
        <w:rPr/>
        <w:t>An</w:t>
      </w:r>
      <w:r>
        <w:rPr>
          <w:spacing w:val="34"/>
        </w:rPr>
        <w:t> </w:t>
      </w:r>
      <w:r>
        <w:rPr/>
        <w:t>examination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estimated</w:t>
      </w:r>
      <w:r>
        <w:rPr>
          <w:spacing w:val="34"/>
        </w:rPr>
        <w:t> </w:t>
      </w:r>
      <w:r>
        <w:rPr/>
        <w:t>result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balance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payments</w:t>
      </w:r>
      <w:r>
        <w:rPr>
          <w:spacing w:val="36"/>
        </w:rPr>
        <w:t> </w:t>
      </w:r>
      <w:r>
        <w:rPr/>
        <w:t>equation</w:t>
      </w:r>
      <w:r>
        <w:rPr>
          <w:spacing w:val="34"/>
        </w:rPr>
        <w:t> </w:t>
      </w:r>
      <w:r>
        <w:rPr/>
        <w:t>shown</w:t>
      </w:r>
      <w:r>
        <w:rPr>
          <w:spacing w:val="34"/>
        </w:rPr>
        <w:t> </w:t>
      </w:r>
      <w:r>
        <w:rPr/>
        <w:t>in</w:t>
      </w:r>
      <w:r>
        <w:rPr>
          <w:spacing w:val="-57"/>
        </w:rPr>
        <w:t> </w:t>
      </w:r>
      <w:r>
        <w:rPr/>
        <w:t>Table</w:t>
      </w:r>
      <w:r>
        <w:rPr>
          <w:spacing w:val="12"/>
        </w:rPr>
        <w:t> </w:t>
      </w:r>
      <w:r>
        <w:rPr/>
        <w:t>5.6</w:t>
      </w:r>
      <w:r>
        <w:rPr>
          <w:spacing w:val="14"/>
        </w:rPr>
        <w:t> </w:t>
      </w:r>
      <w:r>
        <w:rPr/>
        <w:t>indicates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overall</w:t>
      </w:r>
      <w:r>
        <w:rPr>
          <w:spacing w:val="14"/>
        </w:rPr>
        <w:t> </w:t>
      </w:r>
      <w:r>
        <w:rPr/>
        <w:t>fit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satisfactory</w:t>
      </w:r>
      <w:r>
        <w:rPr>
          <w:spacing w:val="11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value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adjusted</w:t>
      </w:r>
      <w:r>
        <w:rPr>
          <w:spacing w:val="13"/>
        </w:rPr>
        <w:t> </w:t>
      </w:r>
      <w:r>
        <w:rPr/>
        <w:t>R-square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0.748.</w:t>
      </w:r>
      <w:r>
        <w:rPr>
          <w:spacing w:val="28"/>
        </w:rPr>
        <w:t> </w:t>
      </w:r>
      <w:r>
        <w:rPr/>
        <w:t>This</w:t>
      </w:r>
      <w:r>
        <w:rPr>
          <w:spacing w:val="13"/>
        </w:rPr>
        <w:t> </w:t>
      </w:r>
      <w:r>
        <w:rPr/>
        <w:t>point</w:t>
      </w:r>
      <w:r>
        <w:rPr>
          <w:spacing w:val="14"/>
        </w:rPr>
        <w:t> </w:t>
      </w:r>
      <w:r>
        <w:rPr/>
        <w:t>out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independent</w:t>
      </w:r>
      <w:r>
        <w:rPr>
          <w:spacing w:val="13"/>
        </w:rPr>
        <w:t> </w:t>
      </w:r>
      <w:r>
        <w:rPr/>
        <w:t>variables</w:t>
      </w:r>
      <w:r>
        <w:rPr>
          <w:spacing w:val="13"/>
        </w:rPr>
        <w:t> </w:t>
      </w:r>
      <w:r>
        <w:rPr/>
        <w:t>used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model</w:t>
      </w:r>
      <w:r>
        <w:rPr>
          <w:spacing w:val="14"/>
        </w:rPr>
        <w:t> </w:t>
      </w:r>
      <w:r>
        <w:rPr/>
        <w:t>jointly</w:t>
      </w:r>
      <w:r>
        <w:rPr>
          <w:spacing w:val="5"/>
        </w:rPr>
        <w:t> </w:t>
      </w:r>
      <w:r>
        <w:rPr/>
        <w:t>accounted</w:t>
      </w:r>
      <w:r>
        <w:rPr>
          <w:spacing w:val="-57"/>
        </w:rPr>
        <w:t> </w:t>
      </w:r>
      <w:r>
        <w:rPr/>
        <w:t>for over 70 percent of the total variation in balance of payments position in Sierra Leone.</w:t>
      </w:r>
      <w:r>
        <w:rPr>
          <w:spacing w:val="1"/>
        </w:rPr>
        <w:t> </w:t>
      </w:r>
      <w:r>
        <w:rPr/>
        <w:t>Apart</w:t>
      </w:r>
      <w:r>
        <w:rPr>
          <w:spacing w:val="4"/>
        </w:rPr>
        <w:t> </w:t>
      </w:r>
      <w:r>
        <w:rPr/>
        <w:t>from</w:t>
      </w:r>
      <w:r>
        <w:rPr>
          <w:spacing w:val="6"/>
        </w:rPr>
        <w:t> </w:t>
      </w:r>
      <w:r>
        <w:rPr/>
        <w:t>both</w:t>
      </w:r>
      <w:r>
        <w:rPr>
          <w:spacing w:val="6"/>
        </w:rPr>
        <w:t> </w:t>
      </w:r>
      <w:r>
        <w:rPr/>
        <w:t>current</w:t>
      </w:r>
      <w:r>
        <w:rPr>
          <w:spacing w:val="8"/>
        </w:rPr>
        <w:t> </w:t>
      </w:r>
      <w:r>
        <w:rPr/>
        <w:t>domestic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foreign</w:t>
      </w:r>
      <w:r>
        <w:rPr>
          <w:spacing w:val="5"/>
        </w:rPr>
        <w:t> </w:t>
      </w:r>
      <w:r>
        <w:rPr/>
        <w:t>GDPs,</w:t>
      </w:r>
      <w:r>
        <w:rPr>
          <w:spacing w:val="6"/>
        </w:rPr>
        <w:t> </w:t>
      </w:r>
      <w:r>
        <w:rPr/>
        <w:t>all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other</w:t>
      </w:r>
      <w:r>
        <w:rPr>
          <w:spacing w:val="4"/>
        </w:rPr>
        <w:t> </w:t>
      </w:r>
      <w:r>
        <w:rPr/>
        <w:t>variables</w:t>
      </w:r>
      <w:r>
        <w:rPr>
          <w:spacing w:val="12"/>
        </w:rPr>
        <w:t> </w:t>
      </w:r>
      <w:r>
        <w:rPr/>
        <w:t>including</w:t>
      </w:r>
      <w:r>
        <w:rPr>
          <w:spacing w:val="4"/>
        </w:rPr>
        <w:t> </w:t>
      </w:r>
      <w:r>
        <w:rPr/>
        <w:t>one</w:t>
      </w:r>
      <w:r>
        <w:rPr>
          <w:spacing w:val="-57"/>
        </w:rPr>
        <w:t> </w:t>
      </w:r>
      <w:r>
        <w:rPr/>
        <w:t>period</w:t>
      </w:r>
      <w:r>
        <w:rPr>
          <w:spacing w:val="15"/>
        </w:rPr>
        <w:t> </w:t>
      </w:r>
      <w:r>
        <w:rPr/>
        <w:t>lag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foreign</w:t>
      </w:r>
      <w:r>
        <w:rPr>
          <w:spacing w:val="18"/>
        </w:rPr>
        <w:t> </w:t>
      </w:r>
      <w:r>
        <w:rPr/>
        <w:t>GDP,</w:t>
      </w:r>
      <w:r>
        <w:rPr>
          <w:spacing w:val="18"/>
        </w:rPr>
        <w:t> </w:t>
      </w:r>
      <w:r>
        <w:rPr/>
        <w:t>lag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BoP,</w:t>
      </w:r>
      <w:r>
        <w:rPr>
          <w:spacing w:val="33"/>
        </w:rPr>
        <w:t> </w:t>
      </w:r>
      <w:r>
        <w:rPr/>
        <w:t>previous</w:t>
      </w:r>
      <w:r>
        <w:rPr>
          <w:spacing w:val="16"/>
        </w:rPr>
        <w:t> </w:t>
      </w:r>
      <w:r>
        <w:rPr/>
        <w:t>period‘s</w:t>
      </w:r>
      <w:r>
        <w:rPr>
          <w:spacing w:val="17"/>
        </w:rPr>
        <w:t> </w:t>
      </w:r>
      <w:r>
        <w:rPr/>
        <w:t>exchange</w:t>
      </w:r>
      <w:r>
        <w:rPr>
          <w:spacing w:val="14"/>
        </w:rPr>
        <w:t> </w:t>
      </w:r>
      <w:r>
        <w:rPr/>
        <w:t>rate</w:t>
      </w:r>
      <w:r>
        <w:rPr>
          <w:spacing w:val="18"/>
        </w:rPr>
        <w:t> </w:t>
      </w:r>
      <w:r>
        <w:rPr/>
        <w:t>behaviour</w:t>
      </w:r>
      <w:r>
        <w:rPr>
          <w:spacing w:val="15"/>
        </w:rPr>
        <w:t> </w:t>
      </w:r>
      <w:r>
        <w:rPr/>
        <w:t>have</w:t>
      </w:r>
      <w:r>
        <w:rPr>
          <w:spacing w:val="-57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explaining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overall</w:t>
      </w:r>
      <w:r>
        <w:rPr>
          <w:spacing w:val="49"/>
        </w:rPr>
        <w:t> </w:t>
      </w:r>
      <w:r>
        <w:rPr/>
        <w:t>BoP</w:t>
      </w:r>
      <w:r>
        <w:rPr>
          <w:spacing w:val="48"/>
        </w:rPr>
        <w:t> </w:t>
      </w:r>
      <w:r>
        <w:rPr/>
        <w:t>position.</w:t>
      </w:r>
      <w:r>
        <w:rPr>
          <w:spacing w:val="50"/>
        </w:rPr>
        <w:t> </w:t>
      </w:r>
      <w:r>
        <w:rPr/>
        <w:t>The</w:t>
      </w:r>
      <w:r>
        <w:rPr>
          <w:spacing w:val="45"/>
        </w:rPr>
        <w:t> </w:t>
      </w:r>
      <w:r>
        <w:rPr/>
        <w:t>elasticity</w:t>
      </w:r>
      <w:r>
        <w:rPr>
          <w:spacing w:val="42"/>
        </w:rPr>
        <w:t> </w:t>
      </w:r>
      <w:r>
        <w:rPr/>
        <w:t>shows</w:t>
      </w:r>
      <w:r>
        <w:rPr>
          <w:spacing w:val="47"/>
        </w:rPr>
        <w:t> </w:t>
      </w:r>
      <w:r>
        <w:rPr/>
        <w:t>that</w:t>
      </w:r>
      <w:r>
        <w:rPr>
          <w:spacing w:val="49"/>
        </w:rPr>
        <w:t> </w:t>
      </w:r>
      <w:r>
        <w:rPr/>
        <w:t>BoP</w:t>
      </w:r>
      <w:r>
        <w:rPr>
          <w:spacing w:val="48"/>
        </w:rPr>
        <w:t> </w:t>
      </w:r>
      <w:r>
        <w:rPr/>
        <w:t>improves</w:t>
      </w:r>
      <w:r>
        <w:rPr>
          <w:spacing w:val="50"/>
        </w:rPr>
        <w:t> </w:t>
      </w:r>
      <w:r>
        <w:rPr/>
        <w:t>by</w:t>
      </w:r>
      <w:r>
        <w:rPr>
          <w:spacing w:val="42"/>
        </w:rPr>
        <w:t> </w:t>
      </w:r>
      <w:r>
        <w:rPr/>
        <w:t>less</w:t>
      </w:r>
      <w:r>
        <w:rPr>
          <w:spacing w:val="52"/>
        </w:rPr>
        <w:t> </w:t>
      </w:r>
      <w:r>
        <w:rPr/>
        <w:t>than</w:t>
      </w:r>
      <w:r>
        <w:rPr>
          <w:spacing w:val="48"/>
        </w:rPr>
        <w:t> </w:t>
      </w:r>
      <w:r>
        <w:rPr/>
        <w:t>5</w:t>
      </w:r>
      <w:r>
        <w:rPr>
          <w:spacing w:val="48"/>
        </w:rPr>
        <w:t> </w:t>
      </w:r>
      <w:r>
        <w:rPr/>
        <w:t>percent</w:t>
      </w:r>
      <w:r>
        <w:rPr>
          <w:spacing w:val="-57"/>
        </w:rPr>
        <w:t> </w:t>
      </w:r>
      <w:r>
        <w:rPr/>
        <w:t>(about</w:t>
      </w:r>
      <w:r>
        <w:rPr>
          <w:spacing w:val="-1"/>
        </w:rPr>
        <w:t> </w:t>
      </w:r>
      <w:r>
        <w:rPr/>
        <w:t>2%)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10</w:t>
      </w:r>
      <w:r>
        <w:rPr>
          <w:spacing w:val="2"/>
        </w:rPr>
        <w:t> </w:t>
      </w:r>
      <w:r>
        <w:rPr/>
        <w:t>percent depreciation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rate.</w:t>
      </w:r>
    </w:p>
    <w:p>
      <w:pPr>
        <w:pStyle w:val="BodyText"/>
        <w:spacing w:line="360" w:lineRule="auto" w:before="201"/>
        <w:ind w:left="811" w:right="993"/>
        <w:jc w:val="both"/>
      </w:pP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(ECM)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statistically significant, showing that the model has an adequate self adjusting mechanism</w:t>
      </w:r>
      <w:r>
        <w:rPr>
          <w:spacing w:val="1"/>
        </w:rPr>
        <w:t> </w:t>
      </w:r>
      <w:r>
        <w:rPr/>
        <w:t>to adjust the short-run dynamics of the variables with their long-run values.</w:t>
      </w:r>
      <w:r>
        <w:rPr>
          <w:spacing w:val="1"/>
        </w:rPr>
        <w:t> </w:t>
      </w:r>
      <w:r>
        <w:rPr/>
        <w:t>A highly</w:t>
      </w:r>
      <w:r>
        <w:rPr>
          <w:spacing w:val="1"/>
        </w:rPr>
        <w:t> </w:t>
      </w:r>
      <w:r>
        <w:rPr/>
        <w:t>significant error correction term indicates an existence of a stable long run relationship.</w:t>
      </w:r>
      <w:r>
        <w:rPr>
          <w:spacing w:val="1"/>
        </w:rPr>
        <w:t> </w:t>
      </w:r>
      <w:r>
        <w:rPr/>
        <w:t>This, therefore, confirms</w:t>
      </w:r>
      <w:r>
        <w:rPr>
          <w:spacing w:val="1"/>
        </w:rPr>
        <w:t> </w:t>
      </w:r>
      <w:r>
        <w:rPr/>
        <w:t>with an error correction coefficient of</w:t>
      </w:r>
      <w:r>
        <w:rPr>
          <w:spacing w:val="60"/>
        </w:rPr>
        <w:t> </w:t>
      </w:r>
      <w:r>
        <w:rPr/>
        <w:t>-0.701, about 70 percent</w:t>
      </w:r>
      <w:r>
        <w:rPr>
          <w:spacing w:val="1"/>
        </w:rPr>
        <w:t> </w:t>
      </w:r>
      <w:r>
        <w:rPr/>
        <w:t>of the deviation in BoP from equilibrium will be corrected in the following period.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 is also supported by the work of Kodongo and Ojah (2011) for selected African</w:t>
      </w:r>
      <w:r>
        <w:rPr>
          <w:spacing w:val="1"/>
        </w:rPr>
        <w:t> </w:t>
      </w:r>
      <w:r>
        <w:rPr/>
        <w:t>countries that exchange rate depreciation is significant for improving balance of payments</w:t>
      </w:r>
      <w:r>
        <w:rPr>
          <w:spacing w:val="-57"/>
        </w:rPr>
        <w:t> </w:t>
      </w:r>
      <w:r>
        <w:rPr/>
        <w:t>position.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251" w:val="left" w:leader="none"/>
        </w:tabs>
        <w:spacing w:after="42"/>
      </w:pPr>
      <w:r>
        <w:rPr/>
        <w:t>Table</w:t>
      </w:r>
      <w:r>
        <w:rPr>
          <w:spacing w:val="-1"/>
        </w:rPr>
        <w:t> </w:t>
      </w:r>
      <w:r>
        <w:rPr/>
        <w:t>5.6:</w:t>
        <w:tab/>
        <w:t>Short</w:t>
      </w:r>
      <w:r>
        <w:rPr>
          <w:spacing w:val="-1"/>
        </w:rPr>
        <w:t> </w:t>
      </w:r>
      <w:r>
        <w:rPr/>
        <w:t>Run</w:t>
      </w:r>
      <w:r>
        <w:rPr>
          <w:spacing w:val="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Balance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2521"/>
        <w:gridCol w:w="2250"/>
      </w:tblGrid>
      <w:tr>
        <w:trPr>
          <w:trHeight w:val="376" w:hRule="atLeast"/>
        </w:trPr>
        <w:tc>
          <w:tcPr>
            <w:tcW w:w="290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2521" w:type="dxa"/>
          </w:tcPr>
          <w:p>
            <w:pPr>
              <w:pStyle w:val="TableParagraph"/>
              <w:spacing w:line="273" w:lineRule="exact"/>
              <w:ind w:left="697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2250" w:type="dxa"/>
          </w:tcPr>
          <w:p>
            <w:pPr>
              <w:pStyle w:val="TableParagraph"/>
              <w:spacing w:line="273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270" w:hRule="atLeast"/>
        </w:trPr>
        <w:tc>
          <w:tcPr>
            <w:tcW w:w="2900" w:type="dxa"/>
            <w:vMerge w:val="restart"/>
          </w:tcPr>
          <w:p>
            <w:pPr>
              <w:pStyle w:val="TableParagraph"/>
              <w:spacing w:line="268" w:lineRule="auto"/>
              <w:ind w:left="152" w:right="1073" w:hanging="15"/>
              <w:rPr>
                <w:sz w:val="14"/>
              </w:rPr>
            </w:pPr>
            <w:r>
              <w:rPr>
                <w:i/>
                <w:spacing w:val="-4"/>
                <w:w w:val="105"/>
                <w:sz w:val="24"/>
              </w:rPr>
              <w:t>Cons </w:t>
            </w:r>
            <w:r>
              <w:rPr>
                <w:spacing w:val="-4"/>
                <w:w w:val="105"/>
                <w:sz w:val="24"/>
              </w:rPr>
              <w:t>tan </w:t>
            </w:r>
            <w:r>
              <w:rPr>
                <w:i/>
                <w:spacing w:val="-3"/>
                <w:w w:val="105"/>
                <w:sz w:val="24"/>
              </w:rPr>
              <w:t>t</w:t>
            </w:r>
            <w:r>
              <w:rPr>
                <w:i/>
                <w:spacing w:val="-2"/>
                <w:w w:val="105"/>
                <w:sz w:val="24"/>
              </w:rPr>
              <w:t> </w:t>
            </w:r>
            <w:r>
              <w:rPr>
                <w:i/>
                <w:spacing w:val="-7"/>
                <w:sz w:val="24"/>
              </w:rPr>
              <w:t>DLBoP</w:t>
            </w:r>
            <w:r>
              <w:rPr>
                <w:i/>
                <w:spacing w:val="-7"/>
                <w:position w:val="-5"/>
                <w:sz w:val="14"/>
              </w:rPr>
              <w:t>t </w:t>
            </w:r>
            <w:r>
              <w:rPr>
                <w:rFonts w:ascii="Symbol" w:hAnsi="Symbol"/>
                <w:spacing w:val="-6"/>
                <w:position w:val="-5"/>
                <w:sz w:val="14"/>
              </w:rPr>
              <w:t></w:t>
            </w:r>
            <w:r>
              <w:rPr>
                <w:spacing w:val="-6"/>
                <w:position w:val="-5"/>
                <w:sz w:val="14"/>
              </w:rPr>
              <w:t>1</w:t>
            </w:r>
            <w:r>
              <w:rPr>
                <w:spacing w:val="-5"/>
                <w:position w:val="-5"/>
                <w:sz w:val="14"/>
              </w:rPr>
              <w:t> </w:t>
            </w:r>
            <w:r>
              <w:rPr>
                <w:i/>
                <w:spacing w:val="-4"/>
                <w:sz w:val="24"/>
              </w:rPr>
              <w:t>DLREER</w:t>
            </w:r>
            <w:r>
              <w:rPr>
                <w:i/>
                <w:spacing w:val="-4"/>
                <w:position w:val="-5"/>
                <w:sz w:val="14"/>
              </w:rPr>
              <w:t>t</w:t>
            </w:r>
            <w:r>
              <w:rPr>
                <w:i/>
                <w:spacing w:val="-22"/>
                <w:position w:val="-5"/>
                <w:sz w:val="14"/>
              </w:rPr>
              <w:t> </w:t>
            </w:r>
            <w:r>
              <w:rPr>
                <w:rFonts w:ascii="Symbol" w:hAnsi="Symbol"/>
                <w:spacing w:val="-3"/>
                <w:position w:val="-5"/>
                <w:sz w:val="14"/>
              </w:rPr>
              <w:t></w:t>
            </w:r>
            <w:r>
              <w:rPr>
                <w:spacing w:val="-3"/>
                <w:position w:val="-5"/>
                <w:sz w:val="14"/>
              </w:rPr>
              <w:t>1</w:t>
            </w:r>
          </w:p>
          <w:p>
            <w:pPr>
              <w:pStyle w:val="TableParagraph"/>
              <w:spacing w:line="211" w:lineRule="exact" w:before="32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d</w:t>
            </w:r>
          </w:p>
          <w:p>
            <w:pPr>
              <w:pStyle w:val="TableParagraph"/>
              <w:spacing w:line="106" w:lineRule="exact"/>
              <w:ind w:left="908"/>
              <w:rPr>
                <w:sz w:val="14"/>
              </w:rPr>
            </w:pPr>
            <w:r>
              <w:rPr>
                <w:i/>
                <w:spacing w:val="-2"/>
                <w:sz w:val="14"/>
              </w:rPr>
              <w:t>t</w:t>
            </w:r>
            <w:r>
              <w:rPr>
                <w:i/>
                <w:spacing w:val="-22"/>
                <w:sz w:val="14"/>
              </w:rPr>
              <w:t> </w:t>
            </w:r>
            <w:r>
              <w:rPr>
                <w:rFonts w:ascii="Symbol" w:hAnsi="Symbol"/>
                <w:spacing w:val="-2"/>
                <w:sz w:val="14"/>
              </w:rPr>
              <w:t></w:t>
            </w:r>
            <w:r>
              <w:rPr>
                <w:spacing w:val="-2"/>
                <w:sz w:val="14"/>
              </w:rPr>
              <w:t>1</w:t>
            </w:r>
          </w:p>
          <w:p>
            <w:pPr>
              <w:pStyle w:val="TableParagraph"/>
              <w:spacing w:line="216" w:lineRule="exact" w:before="63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f</w:t>
            </w:r>
          </w:p>
          <w:p>
            <w:pPr>
              <w:pStyle w:val="TableParagraph"/>
              <w:spacing w:line="101" w:lineRule="exact"/>
              <w:ind w:left="737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t</w:t>
            </w:r>
          </w:p>
          <w:p>
            <w:pPr>
              <w:pStyle w:val="TableParagraph"/>
              <w:spacing w:line="211" w:lineRule="exact" w:before="64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f</w:t>
            </w:r>
          </w:p>
          <w:p>
            <w:pPr>
              <w:pStyle w:val="TableParagraph"/>
              <w:spacing w:line="106" w:lineRule="exact"/>
              <w:ind w:left="908"/>
              <w:rPr>
                <w:sz w:val="14"/>
              </w:rPr>
            </w:pPr>
            <w:r>
              <w:rPr>
                <w:i/>
                <w:spacing w:val="-2"/>
                <w:sz w:val="14"/>
              </w:rPr>
              <w:t>t</w:t>
            </w:r>
            <w:r>
              <w:rPr>
                <w:i/>
                <w:spacing w:val="-22"/>
                <w:sz w:val="14"/>
              </w:rPr>
              <w:t> </w:t>
            </w:r>
            <w:r>
              <w:rPr>
                <w:rFonts w:ascii="Symbol" w:hAnsi="Symbol"/>
                <w:spacing w:val="-2"/>
                <w:sz w:val="14"/>
              </w:rPr>
              <w:t></w:t>
            </w:r>
            <w:r>
              <w:rPr>
                <w:spacing w:val="-2"/>
                <w:sz w:val="14"/>
              </w:rPr>
              <w:t>1</w:t>
            </w:r>
          </w:p>
          <w:p>
            <w:pPr>
              <w:pStyle w:val="TableParagraph"/>
              <w:spacing w:before="22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Dum</w:t>
            </w:r>
          </w:p>
          <w:p>
            <w:pPr>
              <w:pStyle w:val="TableParagraph"/>
              <w:spacing w:before="24"/>
              <w:ind w:left="152"/>
              <w:rPr>
                <w:sz w:val="14"/>
              </w:rPr>
            </w:pPr>
            <w:r>
              <w:rPr>
                <w:i/>
                <w:spacing w:val="-4"/>
                <w:sz w:val="24"/>
              </w:rPr>
              <w:t>Ecm</w:t>
            </w:r>
            <w:r>
              <w:rPr>
                <w:i/>
                <w:spacing w:val="-4"/>
                <w:position w:val="-5"/>
                <w:sz w:val="14"/>
              </w:rPr>
              <w:t>t</w:t>
            </w:r>
            <w:r>
              <w:rPr>
                <w:i/>
                <w:spacing w:val="-21"/>
                <w:position w:val="-5"/>
                <w:sz w:val="14"/>
              </w:rPr>
              <w:t> </w:t>
            </w:r>
            <w:r>
              <w:rPr>
                <w:rFonts w:ascii="Symbol" w:hAnsi="Symbol"/>
                <w:spacing w:val="-3"/>
                <w:position w:val="-5"/>
                <w:sz w:val="14"/>
              </w:rPr>
              <w:t></w:t>
            </w:r>
            <w:r>
              <w:rPr>
                <w:spacing w:val="-3"/>
                <w:position w:val="-5"/>
                <w:sz w:val="14"/>
              </w:rPr>
              <w:t>1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765"/>
              <w:rPr>
                <w:sz w:val="24"/>
              </w:rPr>
            </w:pPr>
            <w:r>
              <w:rPr>
                <w:sz w:val="24"/>
              </w:rPr>
              <w:t>-0.529</w:t>
            </w:r>
          </w:p>
        </w:tc>
        <w:tc>
          <w:tcPr>
            <w:tcW w:w="2250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524"/>
              <w:rPr>
                <w:sz w:val="24"/>
              </w:rPr>
            </w:pPr>
            <w:r>
              <w:rPr>
                <w:sz w:val="24"/>
              </w:rPr>
              <w:t>0.138***</w:t>
            </w:r>
          </w:p>
        </w:tc>
      </w:tr>
      <w:tr>
        <w:trPr>
          <w:trHeight w:val="265" w:hRule="atLeast"/>
        </w:trPr>
        <w:tc>
          <w:tcPr>
            <w:tcW w:w="2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825"/>
              <w:rPr>
                <w:sz w:val="24"/>
              </w:rPr>
            </w:pPr>
            <w:r>
              <w:rPr>
                <w:sz w:val="24"/>
              </w:rPr>
              <w:t>0.688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24"/>
              <w:rPr>
                <w:sz w:val="24"/>
              </w:rPr>
            </w:pPr>
            <w:r>
              <w:rPr>
                <w:sz w:val="24"/>
              </w:rPr>
              <w:t>0.165***</w:t>
            </w:r>
          </w:p>
        </w:tc>
      </w:tr>
      <w:tr>
        <w:trPr>
          <w:trHeight w:val="404" w:hRule="atLeast"/>
        </w:trPr>
        <w:tc>
          <w:tcPr>
            <w:tcW w:w="2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825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524"/>
              <w:rPr>
                <w:sz w:val="24"/>
              </w:rPr>
            </w:pPr>
            <w:r>
              <w:rPr>
                <w:sz w:val="24"/>
              </w:rPr>
              <w:t>0.070**</w:t>
            </w:r>
          </w:p>
        </w:tc>
      </w:tr>
      <w:tr>
        <w:trPr>
          <w:trHeight w:val="404" w:hRule="atLeast"/>
        </w:trPr>
        <w:tc>
          <w:tcPr>
            <w:tcW w:w="2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8"/>
              <w:ind w:left="825"/>
              <w:rPr>
                <w:sz w:val="24"/>
              </w:rPr>
            </w:pPr>
            <w:r>
              <w:rPr>
                <w:sz w:val="24"/>
              </w:rPr>
              <w:t>0.382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8"/>
              <w:ind w:left="524"/>
              <w:rPr>
                <w:sz w:val="24"/>
              </w:rPr>
            </w:pPr>
            <w:r>
              <w:rPr>
                <w:sz w:val="24"/>
              </w:rPr>
              <w:t>0.283</w:t>
            </w:r>
          </w:p>
        </w:tc>
      </w:tr>
      <w:tr>
        <w:trPr>
          <w:trHeight w:val="265" w:hRule="atLeast"/>
        </w:trPr>
        <w:tc>
          <w:tcPr>
            <w:tcW w:w="2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825"/>
              <w:rPr>
                <w:sz w:val="24"/>
              </w:rPr>
            </w:pPr>
            <w:r>
              <w:rPr>
                <w:sz w:val="24"/>
              </w:rPr>
              <w:t>4.403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524"/>
              <w:rPr>
                <w:sz w:val="24"/>
              </w:rPr>
            </w:pPr>
            <w:r>
              <w:rPr>
                <w:sz w:val="24"/>
              </w:rPr>
              <w:t>3.180</w:t>
            </w:r>
          </w:p>
        </w:tc>
      </w:tr>
      <w:tr>
        <w:trPr>
          <w:trHeight w:val="404" w:hRule="atLeast"/>
        </w:trPr>
        <w:tc>
          <w:tcPr>
            <w:tcW w:w="2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825"/>
              <w:rPr>
                <w:sz w:val="24"/>
              </w:rPr>
            </w:pPr>
            <w:r>
              <w:rPr>
                <w:sz w:val="24"/>
              </w:rPr>
              <w:t>0.601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524"/>
              <w:rPr>
                <w:sz w:val="24"/>
              </w:rPr>
            </w:pPr>
            <w:r>
              <w:rPr>
                <w:sz w:val="24"/>
              </w:rPr>
              <w:t>0.235**</w:t>
            </w:r>
          </w:p>
        </w:tc>
      </w:tr>
      <w:tr>
        <w:trPr>
          <w:trHeight w:val="403" w:hRule="atLeast"/>
        </w:trPr>
        <w:tc>
          <w:tcPr>
            <w:tcW w:w="2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8"/>
              <w:ind w:left="765"/>
              <w:rPr>
                <w:sz w:val="24"/>
              </w:rPr>
            </w:pPr>
            <w:r>
              <w:rPr>
                <w:sz w:val="24"/>
              </w:rPr>
              <w:t>0.452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8"/>
              <w:ind w:left="524"/>
              <w:rPr>
                <w:sz w:val="24"/>
              </w:rPr>
            </w:pPr>
            <w:r>
              <w:rPr>
                <w:sz w:val="24"/>
              </w:rPr>
              <w:t>0.107***</w:t>
            </w:r>
          </w:p>
        </w:tc>
      </w:tr>
      <w:tr>
        <w:trPr>
          <w:trHeight w:val="482" w:hRule="atLeast"/>
        </w:trPr>
        <w:tc>
          <w:tcPr>
            <w:tcW w:w="2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705"/>
              <w:rPr>
                <w:sz w:val="24"/>
              </w:rPr>
            </w:pPr>
            <w:r>
              <w:rPr>
                <w:sz w:val="24"/>
              </w:rPr>
              <w:t>-0.701</w:t>
            </w:r>
          </w:p>
        </w:tc>
        <w:tc>
          <w:tcPr>
            <w:tcW w:w="2250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524"/>
              <w:rPr>
                <w:sz w:val="24"/>
              </w:rPr>
            </w:pPr>
            <w:r>
              <w:rPr>
                <w:sz w:val="24"/>
              </w:rPr>
              <w:t>0.000***</w:t>
            </w:r>
          </w:p>
        </w:tc>
      </w:tr>
      <w:tr>
        <w:trPr>
          <w:trHeight w:val="375" w:hRule="atLeast"/>
        </w:trPr>
        <w:tc>
          <w:tcPr>
            <w:tcW w:w="542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R-bar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2250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644"/>
              <w:rPr>
                <w:sz w:val="24"/>
              </w:rPr>
            </w:pPr>
            <w:r>
              <w:rPr>
                <w:sz w:val="24"/>
              </w:rPr>
              <w:t>0.748</w:t>
            </w:r>
          </w:p>
        </w:tc>
      </w:tr>
      <w:tr>
        <w:trPr>
          <w:trHeight w:val="659" w:hRule="atLeast"/>
        </w:trPr>
        <w:tc>
          <w:tcPr>
            <w:tcW w:w="542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2250" w:type="dxa"/>
            <w:tcBorders>
              <w:top w:val="nil"/>
            </w:tcBorders>
          </w:tcPr>
          <w:p>
            <w:pPr>
              <w:pStyle w:val="TableParagraph"/>
              <w:spacing w:before="135"/>
              <w:ind w:left="584"/>
              <w:rPr>
                <w:sz w:val="24"/>
              </w:rPr>
            </w:pPr>
            <w:r>
              <w:rPr>
                <w:sz w:val="24"/>
              </w:rPr>
              <w:t>12.88</w:t>
            </w:r>
          </w:p>
        </w:tc>
      </w:tr>
    </w:tbl>
    <w:p>
      <w:pPr>
        <w:pStyle w:val="BodyText"/>
        <w:ind w:left="811"/>
      </w:pPr>
      <w:r>
        <w:rPr/>
        <w:pict>
          <v:shape style="position:absolute;margin-left:281.300018pt;margin-top:-111.306908pt;width:237.4pt;height:230.5pt;mso-position-horizontal-relative:page;mso-position-vertical-relative:paragraph;z-index:-25332736" coordorigin="5626,-2226" coordsize="4748,4610" path="m6603,2327l6602,2323,6600,2316,6597,2313,6306,2022,6268,1950,6080,1589,6004,1445,5993,1424,5983,1412,5979,1410,5969,1407,5964,1409,5957,1413,5944,1424,5928,1440,5923,1446,5916,1455,5914,1460,5912,1468,5912,1471,5917,1484,5921,1489,6079,1782,6115,1847,6178,1955,6177,1955,6002,1856,5929,1816,5783,1738,5705,1696,5696,1692,5692,1691,5684,1693,5680,1694,5675,1697,5670,1700,5658,1710,5642,1726,5632,1738,5628,1744,5626,1749,5628,1759,5631,1763,5637,1768,5643,1773,5664,1785,5736,1823,6098,2011,6242,2087,6532,2378,6536,2380,6542,2383,6546,2383,6550,2382,6554,2381,6564,2376,6569,2372,6575,2368,6587,2356,6592,2350,6595,2345,6600,2335,6601,2331,6603,2327xm7274,1595l7274,1557,7268,1519,7258,1479,7242,1438,7223,1396,7199,1353,7170,1308,7161,1296,7161,1567,7157,1594,7148,1618,7133,1642,7115,1664,7093,1683,7070,1697,7045,1707,7020,1711,6994,1713,6967,1710,6939,1703,6909,1692,6880,1678,6849,1661,6818,1640,6786,1616,6753,1590,6720,1561,6687,1530,6652,1497,6622,1465,6594,1434,6567,1402,6541,1371,6518,1339,6499,1308,6482,1277,6469,1247,6458,1217,6451,1188,6447,1160,6447,1133,6451,1107,6460,1082,6474,1059,6493,1037,6515,1018,6537,1004,6562,994,6587,990,6614,989,6641,992,6669,999,6698,1009,6728,1023,6759,1040,6790,1060,6821,1083,6854,1109,6886,1137,6919,1168,6952,1200,6983,1231,7012,1263,7039,1295,7064,1327,7088,1359,7108,1391,7125,1421,7139,1452,7150,1482,7157,1511,7161,1540,7161,1567,7161,1296,7137,1263,7100,1217,7059,1171,7013,1124,6966,1079,6921,1038,6876,1001,6860,989,6832,968,6790,941,6749,918,6709,899,6670,885,6633,876,6596,871,6562,872,6528,876,6496,886,6465,900,6436,920,6408,944,6383,973,6363,1003,6348,1036,6339,1070,6335,1106,6336,1143,6341,1181,6351,1221,6366,1262,6386,1304,6409,1347,6438,1391,6470,1436,6507,1481,6547,1527,6591,1572,6639,1619,6685,1660,6731,1697,6775,1730,6817,1759,6859,1782,6899,1801,6938,1815,6975,1825,7011,1830,7046,1830,7080,1825,7113,1816,7144,1802,7173,1782,7201,1757,7227,1728,7237,1713,7247,1697,7261,1665,7270,1630,7274,1595xm7572,1357l7572,1354,7569,1346,7567,1343,7239,1015,7409,845,7410,842,7410,835,7409,831,7404,822,7400,816,7385,798,7369,782,7361,775,7355,770,7349,765,7344,762,7336,758,7332,757,7328,757,7325,758,7323,759,7153,929,6887,664,7068,483,7069,481,7069,478,7068,470,7063,462,7059,456,7043,437,7035,429,7027,421,7008,404,6993,396,6989,395,6982,395,6980,395,6753,622,6750,631,6752,642,6754,651,6759,661,6767,671,6777,683,7502,1408,7505,1410,7513,1413,7516,1413,7520,1412,7524,1411,7534,1406,7539,1403,7545,1398,7557,1385,7565,1375,7570,1365,7571,1361,7572,1357xm8101,829l8100,825,8098,818,8095,815,8092,812,7340,60,7337,57,7330,55,7327,55,7322,55,7318,57,7309,62,7298,70,7286,82,7278,92,7273,102,7272,106,7271,110,7271,114,7274,121,7276,125,8031,880,8034,882,8041,885,8044,885,8048,884,8053,883,8063,878,8073,869,8086,857,8090,851,8094,846,8099,837,8099,832,8101,829xm8456,401l8456,385,8454,368,8451,351,8448,334,8442,317,8436,299,8428,281,8419,264,8409,245,8397,226,8383,208,8369,190,8352,172,8346,165,8346,367,8345,381,8343,395,8340,407,8335,419,8328,431,8320,443,8310,454,8216,548,7941,273,8018,196,8024,191,8034,182,8049,170,8063,161,8078,154,8093,150,8108,148,8124,147,8139,148,8155,152,8171,157,8188,164,8204,173,8221,184,8238,196,8255,211,8273,227,8288,244,8301,260,8313,276,8323,292,8331,308,8337,323,8341,338,8344,352,8346,367,8346,165,8335,153,8328,147,8315,134,8295,117,8275,102,8254,88,8234,76,8214,66,8195,57,8190,55,8176,50,8158,45,8139,42,8122,40,8105,40,8089,42,8073,45,8059,49,8046,55,8048,42,8048,28,8048,14,8046,-1,8043,-15,8039,-30,8034,-44,8028,-60,8021,-74,8013,-88,8004,-103,7993,-118,7982,-132,7971,-147,7964,-155,7964,39,7964,53,7962,66,7958,79,7952,92,7943,105,7932,117,7859,191,7606,-62,7673,-129,7686,-141,7700,-152,7713,-159,7726,-165,7739,-168,7751,-170,7765,-170,7777,-168,7791,-165,7805,-159,7818,-153,7832,-145,7846,-135,7860,-124,7874,-112,7888,-98,7900,-85,7912,-72,7923,-59,7933,-45,7941,-30,7949,-16,7955,-2,7959,12,7962,26,7964,39,7964,-155,7958,-161,7950,-170,7945,-175,7921,-197,7898,-217,7875,-234,7852,-249,7829,-261,7806,-271,7784,-278,7762,-283,7740,-285,7719,-284,7698,-281,7677,-275,7656,-266,7635,-253,7614,-237,7592,-217,7481,-106,7476,-101,7473,-92,7474,-81,7477,-72,7482,-62,7489,-51,7500,-40,8195,656,8206,666,8217,674,8227,678,8236,680,8247,682,8256,680,8387,548,8389,547,8402,533,8413,519,8423,505,8431,491,8438,477,8444,463,8449,448,8452,433,8454,417,8456,401xm9020,-84l9019,-89,9017,-94,9014,-100,9009,-105,9003,-110,8995,-115,8984,-123,8889,-183,8609,-360,8609,-249,8440,-80,8179,-485,8135,-552,8135,-553,8135,-553,8609,-249,8609,-360,8304,-553,8097,-684,8091,-687,8086,-690,8081,-691,8076,-692,8072,-692,8062,-689,8056,-686,8050,-681,8044,-677,8038,-670,8030,-662,8022,-654,8016,-648,8012,-643,8008,-637,8005,-632,8004,-627,8002,-622,8001,-618,8003,-613,8004,-609,8007,-604,8010,-598,8053,-530,8370,-28,8571,289,8578,300,8584,308,8589,314,8594,319,8600,322,8604,324,8609,325,8614,324,8620,320,8625,316,8632,311,8646,296,8651,290,8655,285,8659,280,8661,276,8661,271,8662,267,8662,263,8660,259,8659,255,8657,251,8654,247,8617,190,8506,19,8605,-80,8709,-183,8940,-35,8945,-33,8949,-31,8953,-29,8956,-28,8960,-28,8963,-29,8968,-30,8972,-32,8978,-36,8983,-40,9005,-62,9010,-69,9014,-74,9018,-79,9020,-84xm9323,-500l9321,-538,9314,-578,9302,-619,9285,-661,9263,-705,9236,-750,9213,-784,9213,-536,9212,-509,9207,-483,9198,-457,9186,-433,9168,-409,9147,-385,9080,-319,8473,-926,8539,-992,8565,-1014,8590,-1032,8617,-1045,8644,-1052,8672,-1055,8700,-1054,8729,-1050,8759,-1043,8790,-1031,8821,-1017,8852,-1000,8884,-979,8916,-955,8948,-929,8980,-901,9012,-871,9049,-832,9083,-794,9113,-758,9138,-723,9160,-689,9178,-656,9193,-624,9203,-593,9210,-564,9213,-536,9213,-784,9204,-797,9166,-844,9124,-893,9076,-943,9032,-985,8988,-1023,8947,-1055,8945,-1056,8902,-1086,8860,-1111,8819,-1132,8778,-1148,8738,-1161,8700,-1168,8662,-1170,8625,-1169,8590,-1162,8555,-1151,8522,-1134,8489,-1110,8457,-1082,8341,-966,8338,-957,8339,-946,8342,-937,8347,-927,8354,-916,8365,-905,9060,-209,9072,-199,9082,-191,9092,-187,9101,-185,9112,-183,9121,-186,9230,-294,9252,-319,9258,-326,9282,-359,9300,-392,9313,-427,9320,-462,9323,-500xm9940,-1004l9939,-1009,9937,-1014,9934,-1020,9929,-1025,9923,-1030,9916,-1036,9905,-1043,9810,-1103,9529,-1280,9529,-1169,9360,-1000,9099,-1405,9055,-1472,9055,-1473,9529,-1169,9529,-1280,9224,-1473,9017,-1604,9011,-1607,9006,-1610,8996,-1613,8992,-1612,8987,-1610,8982,-1609,8976,-1606,8971,-1601,8965,-1597,8958,-1590,8950,-1582,8936,-1568,8928,-1557,8925,-1552,8924,-1547,8922,-1542,8922,-1538,8923,-1534,8924,-1529,8927,-1524,8930,-1519,9017,-1382,9289,-949,9318,-904,9491,-631,9498,-620,9504,-612,9509,-607,9514,-601,9520,-598,9529,-595,9534,-597,9540,-600,9545,-604,9552,-610,9566,-624,9571,-630,9575,-635,9579,-640,9581,-645,9581,-650,9582,-654,9582,-657,9580,-662,9579,-665,9577,-669,9574,-674,9426,-901,9525,-1000,9629,-1103,9860,-955,9865,-953,9869,-951,9873,-950,9876,-948,9880,-948,9883,-949,9888,-950,9892,-952,9898,-956,9903,-960,9925,-982,9930,-989,9934,-994,9938,-999,9940,-1004xm10374,-1448l10372,-1461,10369,-1468,10362,-1482,10356,-1490,10348,-1498,9625,-2221,9622,-2223,9615,-2226,9611,-2226,9602,-2225,9598,-2223,9593,-2219,9582,-2211,9570,-2199,9559,-2183,9556,-2179,9555,-2170,9556,-2166,9557,-2163,9558,-2159,9560,-2156,10011,-1706,10186,-1533,10186,-1532,10037,-1610,9959,-1650,9898,-1680,9801,-1729,9573,-1842,9421,-1919,9397,-1930,9378,-1939,9366,-1943,9356,-1945,9347,-1946,9338,-1946,9330,-1945,9316,-1939,9309,-1934,9263,-1888,9260,-1878,9261,-1866,9264,-1856,9269,-1846,9277,-1835,9287,-1823,10010,-1100,10013,-1098,10016,-1097,10020,-1095,10024,-1094,10028,-1096,10032,-1096,10042,-1101,10052,-1109,10065,-1122,10073,-1133,10076,-1138,10078,-1142,10078,-1147,10080,-1151,10080,-1154,10078,-1158,10077,-1162,10075,-1165,9533,-1706,9421,-1815,9422,-1816,9468,-1791,9565,-1740,9686,-1679,10057,-1495,10204,-1421,10233,-1407,10272,-1391,10285,-1388,10295,-1387,10305,-1386,10314,-1386,10321,-1389,10329,-1392,10336,-1397,10367,-1428,10370,-1432,10373,-1443,10374,-1448xe" filled="true" fillcolor="#ffc000" stroked="false">
            <v:path arrowok="t"/>
            <v:fill opacity="32896f" type="solid"/>
            <w10:wrap type="none"/>
          </v:shape>
        </w:pict>
      </w:r>
      <w:r>
        <w:rPr/>
        <w:t>Note:</w:t>
      </w:r>
      <w:r>
        <w:rPr>
          <w:spacing w:val="-2"/>
        </w:rPr>
        <w:t> </w:t>
      </w:r>
      <w:r>
        <w:rPr/>
        <w:t>***,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means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1%,</w:t>
      </w:r>
      <w:r>
        <w:rPr>
          <w:spacing w:val="1"/>
        </w:rPr>
        <w:t> </w:t>
      </w:r>
      <w:r>
        <w:rPr/>
        <w:t>5%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10%,</w:t>
      </w:r>
      <w:r>
        <w:rPr>
          <w:spacing w:val="-1"/>
        </w:rPr>
        <w:t> </w:t>
      </w:r>
      <w:r>
        <w:rPr/>
        <w:t>respectively.</w:t>
      </w:r>
    </w:p>
    <w:p>
      <w:pPr>
        <w:spacing w:before="193"/>
        <w:ind w:left="811" w:right="0" w:firstLine="0"/>
        <w:jc w:val="left"/>
        <w:rPr>
          <w:sz w:val="24"/>
        </w:rPr>
      </w:pPr>
      <w:r>
        <w:rPr/>
        <w:pict>
          <v:shape style="position:absolute;margin-left:116.940002pt;margin-top:74.923119pt;width:194.45pt;height:196.9pt;mso-position-horizontal-relative:page;mso-position-vertical-relative:paragraph;z-index:-25333248" coordorigin="2339,1498" coordsize="3889,3938" path="m3369,5218l3367,5189,3362,5158,3353,5126,3340,5093,3324,5060,3304,5026,3281,4992,3255,4957,3224,4922,3191,4886,2711,4407,2708,4404,2701,4402,2697,4402,2693,4402,2689,4404,2680,4409,2669,4417,2657,4429,2649,4439,2644,4449,2642,4453,2641,4458,2642,4461,2644,4468,2647,4471,3127,4951,3152,4977,3174,5003,3194,5027,3210,5051,3225,5074,3236,5097,3246,5119,3253,5140,3257,5160,3259,5180,3258,5199,3255,5217,3250,5234,3242,5251,3231,5266,3218,5281,3204,5293,3189,5303,3172,5311,3155,5316,3137,5319,3118,5320,3098,5318,3077,5313,3056,5307,3033,5297,3010,5285,2986,5270,2961,5253,2936,5233,2910,5210,2883,5184,2409,4710,2405,4707,2398,4704,2395,4704,2391,4705,2387,4706,2377,4711,2366,4719,2354,4732,2346,4742,2343,4748,2340,4756,2339,4760,2339,4763,2342,4771,2344,4774,2831,5261,2867,5295,2902,5325,2937,5352,2971,5375,3004,5394,3037,5410,3068,5421,3098,5429,3128,5434,3157,5436,3184,5433,3211,5428,3236,5419,3260,5407,3282,5392,3303,5373,3323,5351,3340,5327,3352,5301,3361,5275,3367,5247,3369,5218xm3958,4685l3956,4673,3954,4666,3946,4651,3940,4643,3932,4635,3209,3912,3207,3910,3200,3908,3195,3907,3187,3909,3182,3911,3167,3923,3155,3934,3143,3950,3141,3954,3139,3963,3140,3967,3143,3974,3145,3977,3571,4403,3770,4601,3770,4601,3696,4562,3543,4483,3482,4453,3385,4405,3081,4253,2993,4209,2972,4199,2951,4191,2940,4188,2931,4187,2923,4187,2914,4188,2901,4195,2893,4200,2847,4246,2845,4255,2846,4268,2848,4277,2853,4288,2861,4299,2872,4311,3591,5030,3597,5036,3605,5039,3608,5039,3612,5038,3616,5037,3626,5032,3631,5029,3636,5024,3649,5011,3654,5006,3657,5001,3662,4991,3663,4987,3664,4983,3664,4979,3662,4975,3661,4972,3659,4969,3141,4450,3005,4318,3006,4317,3076,4356,3150,4394,3344,4492,3567,4602,3804,4720,3818,4726,3842,4736,3857,4742,3869,4745,3879,4746,3890,4748,3899,4747,3906,4744,3913,4742,3920,4737,3952,4705,3954,4701,3958,4691,3958,4685xm4162,4485l4162,4482,4159,4475,4157,4471,4154,4468,3402,3716,3399,3714,3391,3711,3388,3711,3384,3712,3376,3715,3370,3718,3360,3726,3348,3738,3340,3748,3335,3758,3333,3762,3332,3767,3332,3770,3335,3777,3337,3781,4092,4536,4095,4539,4102,4541,4106,4541,4109,4540,4114,4539,4124,4534,4135,4526,4147,4514,4155,4503,4160,4493,4161,4489,4162,4485xm4485,4159l4483,4150,4481,4145,4477,4140,4434,4072,3899,3236,3889,3225,3884,3222,3880,3220,3875,3219,3870,3221,3864,3224,3853,3233,3831,3255,3823,3265,3821,3270,3820,3278,3820,3282,3824,3290,3873,3365,4349,4090,4349,4091,4283,4048,3553,3574,3544,3569,3540,3567,3536,3565,3524,3566,3520,3568,3511,3575,3489,3597,3474,3615,3472,3621,3474,3631,3476,3636,3482,3641,3488,3646,3507,3660,3575,3704,4391,4225,4398,4230,4401,4230,4404,4232,4407,4233,4414,4233,4417,4233,4420,4231,4427,4229,4430,4226,4443,4217,4471,4189,4480,4178,4482,4174,4485,4163,4485,4159xm4997,3651l4996,3644,4991,3635,4987,3629,4971,3611,4964,3603,4956,3596,4937,3579,4923,3571,4916,3570,4912,3570,4909,3571,4715,3766,4435,3487,4601,3322,4602,3319,4602,3313,4601,3309,4598,3301,4594,3296,4578,3278,4563,3263,4545,3246,4539,3242,4531,3238,4526,3237,4519,3237,4517,3238,4352,3403,4107,3159,4299,2966,4300,2964,4300,2957,4299,2953,4295,2944,4291,2939,4286,2933,4275,2920,4260,2905,4247,2893,4236,2885,4226,2880,4223,2879,4215,2879,4213,2880,3974,3119,3972,3127,3973,3138,3975,3148,3980,3157,3988,3168,3998,3179,4694,3875,4705,3885,4716,3893,4725,3898,4734,3900,4746,3901,4754,3899,4996,3658,4997,3655,4997,3651xm5431,3216l5430,3213,5429,3210,5427,3207,5424,3203,5421,3200,5418,3197,5413,3193,5406,3188,5369,3165,5185,3055,5167,3044,5135,3026,5118,3016,5085,2998,5070,2991,5056,2984,5042,2978,5028,2973,5015,2968,5002,2965,4990,2962,4981,2960,4978,2960,4967,2959,4956,2959,4946,2959,4935,2960,4940,2944,4942,2927,4944,2910,4945,2892,4944,2875,4942,2857,4938,2839,4933,2821,4926,2803,4918,2785,4909,2766,4897,2747,4884,2728,4869,2709,4852,2690,4848,2686,4848,2898,4846,2912,4843,2927,4837,2941,4830,2955,4820,2968,4809,2981,4745,3044,4483,2782,4537,2727,4546,2718,4555,2710,4563,2703,4570,2698,4579,2691,4588,2686,4597,2683,4619,2677,4641,2675,4663,2678,4685,2685,4708,2696,4730,2711,4753,2729,4776,2750,4789,2764,4802,2778,4813,2793,4823,2808,4831,2823,4838,2838,4843,2853,4846,2868,4848,2883,4848,2898,4848,2686,4838,2675,4834,2670,4813,2651,4793,2633,4773,2618,4752,2604,4732,2592,4712,2582,4691,2573,4671,2567,4651,2562,4631,2559,4611,2559,4592,2560,4573,2563,4554,2569,4536,2576,4517,2585,4510,2590,4501,2597,4492,2604,4485,2610,4477,2617,4469,2624,4460,2633,4408,2685,4356,2737,4351,2742,4348,2751,4349,2762,4352,2771,4357,2781,4364,2792,4375,2803,5100,3528,5103,3531,5107,3532,5110,3533,5113,3534,5117,3532,5122,3531,5126,3529,5132,3526,5136,3523,5142,3519,5155,3506,5159,3500,5163,3495,5166,3490,5168,3486,5168,3481,5169,3478,5170,3474,5168,3470,5167,3467,5164,3463,4931,3230,4829,3128,4851,3107,4872,3085,4884,3075,4896,3067,4908,3061,4921,3057,4934,3056,4948,3055,4963,3056,4978,3059,4993,3064,5010,3069,5026,3076,5043,3084,5061,3094,5079,3104,5098,3114,5117,3126,5289,3230,5346,3265,5352,3269,5357,3272,5362,3273,5366,3275,5370,3276,5375,3275,5380,3275,5384,3272,5389,3269,5394,3265,5400,3261,5414,3247,5419,3240,5423,3235,5427,3230,5429,3225,5431,3216xm5698,2885l5696,2859,5691,2833,5683,2807,5672,2780,5659,2752,5642,2725,5622,2697,5600,2670,5574,2642,5551,2620,5528,2601,5505,2585,5483,2571,5462,2560,5441,2550,5420,2543,5399,2537,5379,2533,5359,2531,5339,2529,5320,2529,5301,2530,5282,2532,5246,2536,5192,2544,5157,2548,5140,2549,5123,2550,5106,2549,5089,2547,5073,2544,5056,2539,5039,2532,5023,2524,5007,2514,4990,2501,4974,2486,4963,2474,4953,2463,4945,2451,4937,2439,4930,2426,4924,2414,4920,2402,4917,2389,4915,2378,4915,2366,4916,2353,4918,2341,4922,2330,4928,2319,4936,2308,4945,2297,4957,2287,4968,2279,4980,2272,4993,2266,5006,2263,5019,2260,5031,2257,5043,2255,5065,2254,5095,2253,5102,2251,5107,2247,5107,2241,5105,2234,5094,2219,5084,2208,5057,2180,5046,2171,5034,2161,5027,2157,5014,2153,5008,2152,4998,2152,4984,2153,4973,2154,4963,2156,4941,2162,4930,2166,4919,2170,4909,2175,4898,2180,4888,2187,4878,2194,4870,2201,4861,2209,4846,2225,4834,2243,4824,2261,4816,2281,4810,2302,4807,2323,4806,2345,4808,2368,4813,2391,4820,2414,4829,2438,4842,2462,4857,2487,4874,2512,4895,2537,4918,2561,4941,2584,4964,2603,4987,2619,5009,2633,5031,2644,5052,2654,5073,2662,5093,2668,5113,2672,5133,2675,5153,2676,5172,2677,5191,2676,5210,2675,5246,2670,5317,2660,5335,2658,5352,2657,5368,2657,5385,2657,5401,2659,5418,2663,5435,2668,5451,2674,5468,2682,5484,2693,5501,2706,5517,2721,5532,2736,5545,2752,5556,2767,5565,2783,5573,2798,5579,2813,5584,2828,5587,2842,5588,2857,5588,2871,5586,2885,5582,2898,5577,2911,5571,2924,5562,2935,5553,2946,5538,2959,5524,2970,5509,2978,5493,2984,5477,2989,5462,2993,5448,2996,5434,2998,5421,3000,5409,3001,5397,3001,5374,3000,5365,3002,5360,3007,5359,3010,5359,3016,5360,3019,5365,3029,5369,3034,5387,3054,5405,3072,5413,3079,5421,3086,5428,3090,5436,3097,5445,3101,5453,3103,5460,3105,5471,3106,5496,3104,5508,3103,5520,3100,5533,3097,5546,3094,5559,3089,5573,3083,5586,3076,5600,3069,5613,3060,5626,3049,5638,3038,5654,3020,5668,3000,5680,2980,5689,2957,5695,2934,5698,2910,5698,2885xm5942,2705l5942,2701,5940,2694,5937,2691,5934,2688,5182,1936,5179,1933,5172,1931,5168,1931,5164,1931,5156,1935,5151,1938,5140,1946,5128,1958,5124,1963,5120,1968,5115,1978,5114,1982,5113,1986,5113,1990,5115,1997,5117,2001,5872,2756,5876,2758,5883,2761,5886,2761,5890,2760,5894,2759,5904,2754,5915,2745,5927,2733,5935,2722,5938,2717,5940,2713,5942,2705xm6227,2420l6227,2416,6224,2409,6222,2406,5542,1727,5681,1588,5683,1585,5683,1582,5682,1574,5679,1570,5677,1565,5673,1560,5657,1541,5649,1533,5641,1526,5622,1509,5616,1505,5607,1499,5603,1499,5596,1498,5593,1500,5251,1842,5250,1845,5250,1848,5250,1852,5251,1855,5256,1865,5260,1870,5265,1876,5271,1883,5277,1890,5292,1905,5299,1912,5306,1916,5311,1922,5317,1926,5326,1930,5329,1931,5336,1931,5339,1930,5478,1791,6157,2471,6161,2473,6168,2476,6171,2476,6175,2475,6179,2474,6189,2469,6200,2461,6212,2448,6217,2442,6220,2438,6225,2428,6226,2424,6227,2420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Complied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Author, 2014.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3"/>
          <w:numId w:val="16"/>
        </w:numPr>
        <w:tabs>
          <w:tab w:pos="1891" w:val="left" w:leader="none"/>
          <w:tab w:pos="1892" w:val="left" w:leader="none"/>
        </w:tabs>
        <w:spacing w:line="240" w:lineRule="auto" w:before="79" w:after="0"/>
        <w:ind w:left="1891" w:right="0" w:hanging="1081"/>
        <w:jc w:val="left"/>
      </w:pPr>
      <w:bookmarkStart w:name="_TOC_250011" w:id="62"/>
      <w:r>
        <w:rPr/>
        <w:t>Dynamics</w:t>
      </w:r>
      <w:r>
        <w:rPr>
          <w:spacing w:val="-2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bookmarkEnd w:id="62"/>
      <w:r>
        <w:rPr/>
        <w:t>Account Balance</w:t>
      </w:r>
    </w:p>
    <w:p>
      <w:pPr>
        <w:pStyle w:val="BodyText"/>
        <w:spacing w:before="195"/>
        <w:ind w:left="811"/>
        <w:jc w:val="both"/>
      </w:pPr>
      <w:r>
        <w:rPr/>
        <w:t>Following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provided for</w:t>
      </w:r>
      <w:r>
        <w:rPr>
          <w:spacing w:val="-2"/>
        </w:rPr>
        <w:t> </w:t>
      </w:r>
      <w:r>
        <w:rPr/>
        <w:t>overall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 payments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</w:t>
      </w:r>
      <w:r>
        <w:rPr>
          <w:spacing w:val="1"/>
        </w:rPr>
        <w:t> </w:t>
      </w:r>
      <w:r>
        <w:rPr/>
        <w:t>5.4.2.1,</w:t>
      </w:r>
    </w:p>
    <w:p>
      <w:pPr>
        <w:pStyle w:val="BodyText"/>
        <w:spacing w:line="360" w:lineRule="auto" w:before="139"/>
        <w:ind w:left="811" w:right="990"/>
        <w:jc w:val="both"/>
      </w:pPr>
      <w:r>
        <w:rPr/>
        <w:drawing>
          <wp:anchor distT="0" distB="0" distL="0" distR="0" allowOverlap="1" layoutInCell="1" locked="0" behindDoc="1" simplePos="0" relativeHeight="477984256">
            <wp:simplePos x="0" y="0"/>
            <wp:positionH relativeFrom="page">
              <wp:posOffset>1485138</wp:posOffset>
            </wp:positionH>
            <wp:positionV relativeFrom="paragraph">
              <wp:posOffset>1118020</wp:posOffset>
            </wp:positionV>
            <wp:extent cx="5102225" cy="5044439"/>
            <wp:effectExtent l="0" t="0" r="0" b="0"/>
            <wp:wrapNone/>
            <wp:docPr id="2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33"/>
        </w:rPr>
        <w:t> </w:t>
      </w:r>
      <w:r>
        <w:rPr/>
        <w:t>analysis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current</w:t>
      </w:r>
      <w:r>
        <w:rPr>
          <w:spacing w:val="36"/>
        </w:rPr>
        <w:t> </w:t>
      </w:r>
      <w:r>
        <w:rPr/>
        <w:t>account</w:t>
      </w:r>
      <w:r>
        <w:rPr>
          <w:spacing w:val="36"/>
        </w:rPr>
        <w:t> </w:t>
      </w:r>
      <w:r>
        <w:rPr/>
        <w:t>balance</w:t>
      </w:r>
      <w:r>
        <w:rPr>
          <w:spacing w:val="35"/>
        </w:rPr>
        <w:t> </w:t>
      </w:r>
      <w:r>
        <w:rPr/>
        <w:t>provides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overall</w:t>
      </w:r>
      <w:r>
        <w:rPr>
          <w:spacing w:val="38"/>
        </w:rPr>
        <w:t> </w:t>
      </w:r>
      <w:r>
        <w:rPr/>
        <w:t>fit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statistically</w:t>
      </w:r>
      <w:r>
        <w:rPr>
          <w:spacing w:val="-57"/>
        </w:rPr>
        <w:t> </w:t>
      </w:r>
      <w:r>
        <w:rPr/>
        <w:t>valid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Specifically, in the short-run, variability in the exchange rate has both current and lag</w:t>
      </w:r>
      <w:r>
        <w:rPr>
          <w:spacing w:val="1"/>
        </w:rPr>
        <w:t> </w:t>
      </w:r>
      <w:r>
        <w:rPr/>
        <w:t>effects on the current account balance in Sierra Leone.</w:t>
      </w:r>
      <w:r>
        <w:rPr>
          <w:spacing w:val="1"/>
        </w:rPr>
        <w:t> </w:t>
      </w:r>
      <w:r>
        <w:rPr/>
        <w:t>The coefficients are statistically</w:t>
      </w:r>
      <w:r>
        <w:rPr>
          <w:spacing w:val="1"/>
        </w:rPr>
        <w:t> </w:t>
      </w:r>
      <w:r>
        <w:rPr/>
        <w:t>significant at 5 percent and 1 percent, respectively.</w:t>
      </w:r>
      <w:r>
        <w:rPr>
          <w:spacing w:val="1"/>
        </w:rPr>
        <w:t> </w:t>
      </w:r>
      <w:r>
        <w:rPr/>
        <w:t>Even though the elasticities are less</w:t>
      </w:r>
      <w:r>
        <w:rPr>
          <w:spacing w:val="1"/>
        </w:rPr>
        <w:t> </w:t>
      </w:r>
      <w:r>
        <w:rPr/>
        <w:t>than 1 in each case, it can, however, be inferred that exchange rate remains a major</w:t>
      </w:r>
      <w:r>
        <w:rPr>
          <w:spacing w:val="1"/>
        </w:rPr>
        <w:t> </w:t>
      </w:r>
      <w:r>
        <w:rPr/>
        <w:t>determinant</w:t>
      </w:r>
      <w:r>
        <w:rPr>
          <w:spacing w:val="-1"/>
        </w:rPr>
        <w:t> </w:t>
      </w:r>
      <w:r>
        <w:rPr/>
        <w:t>of current</w:t>
      </w:r>
      <w:r>
        <w:rPr>
          <w:spacing w:val="2"/>
        </w:rPr>
        <w:t> </w:t>
      </w:r>
      <w:r>
        <w:rPr/>
        <w:t>account balance.</w:t>
      </w:r>
    </w:p>
    <w:p>
      <w:pPr>
        <w:pStyle w:val="BodyText"/>
        <w:spacing w:line="360" w:lineRule="auto" w:before="201"/>
        <w:ind w:left="811" w:right="991"/>
        <w:jc w:val="both"/>
      </w:pP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GDPs,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though</w:t>
      </w:r>
      <w:r>
        <w:rPr>
          <w:spacing w:val="60"/>
        </w:rPr>
        <w:t> </w:t>
      </w:r>
      <w:r>
        <w:rPr/>
        <w:t>only</w:t>
      </w:r>
      <w:r>
        <w:rPr>
          <w:spacing w:val="1"/>
        </w:rPr>
        <w:t> </w:t>
      </w:r>
      <w:r>
        <w:rPr/>
        <w:t>significant with a lag, and foreign pricing system.</w:t>
      </w:r>
      <w:r>
        <w:rPr>
          <w:spacing w:val="1"/>
        </w:rPr>
        <w:t> </w:t>
      </w:r>
      <w:r>
        <w:rPr/>
        <w:t>In terms of domestic GDP, 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2.3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 1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GDP.</w:t>
      </w:r>
      <w:r>
        <w:rPr>
          <w:spacing w:val="1"/>
        </w:rPr>
        <w:t> </w:t>
      </w:r>
      <w:r>
        <w:rPr/>
        <w:t>Foreign GDP on the other hand, maintains a relatively small elasticity of 0.35.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 a 1 percent expansion in foreign GDP, preferably, EU‘s GDP will improve the</w:t>
      </w:r>
      <w:r>
        <w:rPr>
          <w:spacing w:val="1"/>
        </w:rPr>
        <w:t> </w:t>
      </w:r>
      <w:r>
        <w:rPr/>
        <w:t>country‘s</w:t>
      </w:r>
      <w:r>
        <w:rPr>
          <w:spacing w:val="-2"/>
        </w:rPr>
        <w:t> </w:t>
      </w:r>
      <w:r>
        <w:rPr/>
        <w:t>GDP by</w:t>
      </w:r>
      <w:r>
        <w:rPr>
          <w:spacing w:val="-5"/>
        </w:rPr>
        <w:t> </w:t>
      </w:r>
      <w:r>
        <w:rPr/>
        <w:t>less than 0.5 percent in the short-run.</w:t>
      </w:r>
    </w:p>
    <w:p>
      <w:pPr>
        <w:pStyle w:val="BodyText"/>
        <w:spacing w:line="360" w:lineRule="auto" w:before="199"/>
        <w:ind w:left="811" w:right="1002"/>
        <w:jc w:val="both"/>
      </w:pPr>
      <w:r>
        <w:rPr/>
        <w:t>The world price index with a coefficient of 0.136 indicates that the current account</w:t>
      </w:r>
      <w:r>
        <w:rPr>
          <w:spacing w:val="1"/>
        </w:rPr>
        <w:t> </w:t>
      </w:r>
      <w:r>
        <w:rPr/>
        <w:t>balance improves with every unit increase in foreign prices.</w:t>
      </w:r>
      <w:r>
        <w:rPr>
          <w:spacing w:val="1"/>
        </w:rPr>
        <w:t> </w:t>
      </w:r>
      <w:r>
        <w:rPr/>
        <w:t>The implication is that when</w:t>
      </w:r>
      <w:r>
        <w:rPr>
          <w:spacing w:val="1"/>
        </w:rPr>
        <w:t> </w:t>
      </w:r>
      <w:r>
        <w:rPr/>
        <w:t>foreign prices are high without an instantaneous increase in domestic prices, the country‘s</w:t>
      </w:r>
      <w:r>
        <w:rPr>
          <w:spacing w:val="-57"/>
        </w:rPr>
        <w:t> </w:t>
      </w:r>
      <w:r>
        <w:rPr/>
        <w:t>exports will be in high demand and there by encourages exports and discourages imports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prices tend to be</w:t>
      </w:r>
      <w:r>
        <w:rPr>
          <w:spacing w:val="-2"/>
        </w:rPr>
        <w:t> </w:t>
      </w:r>
      <w:r>
        <w:rPr/>
        <w:t>high</w:t>
      </w:r>
      <w:r>
        <w:rPr>
          <w:spacing w:val="2"/>
        </w:rPr>
        <w:t> </w:t>
      </w:r>
      <w:r>
        <w:rPr/>
        <w:t>even without</w:t>
      </w:r>
      <w:r>
        <w:rPr>
          <w:spacing w:val="1"/>
        </w:rPr>
        <w:t> </w:t>
      </w:r>
      <w:r>
        <w:rPr/>
        <w:t>depreciation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exchange</w:t>
      </w:r>
      <w:r>
        <w:rPr>
          <w:spacing w:val="-1"/>
        </w:rPr>
        <w:t> </w:t>
      </w:r>
      <w:r>
        <w:rPr/>
        <w:t>rate.</w:t>
      </w:r>
    </w:p>
    <w:p>
      <w:pPr>
        <w:pStyle w:val="BodyText"/>
        <w:spacing w:line="360" w:lineRule="auto" w:before="200"/>
        <w:ind w:left="811" w:right="995"/>
        <w:jc w:val="both"/>
      </w:pP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(ECM)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 at the 5 percent level.</w:t>
      </w:r>
      <w:r>
        <w:rPr>
          <w:spacing w:val="1"/>
        </w:rPr>
        <w:t> </w:t>
      </w:r>
      <w:r>
        <w:rPr/>
        <w:t>The self speed of adjustment to equilibrium of over 80</w:t>
      </w:r>
      <w:r>
        <w:rPr>
          <w:spacing w:val="1"/>
        </w:rPr>
        <w:t> </w:t>
      </w:r>
      <w:r>
        <w:rPr/>
        <w:t>percent is, thus, considered appreciable adjusting the deviation from equilibrium in the</w:t>
      </w:r>
      <w:r>
        <w:rPr>
          <w:spacing w:val="1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period.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251" w:val="left" w:leader="none"/>
        </w:tabs>
        <w:spacing w:after="42"/>
      </w:pPr>
      <w:r>
        <w:rPr/>
        <w:drawing>
          <wp:anchor distT="0" distB="0" distL="0" distR="0" allowOverlap="1" layoutInCell="1" locked="0" behindDoc="1" simplePos="0" relativeHeight="477984768">
            <wp:simplePos x="0" y="0"/>
            <wp:positionH relativeFrom="page">
              <wp:posOffset>1485138</wp:posOffset>
            </wp:positionH>
            <wp:positionV relativeFrom="paragraph">
              <wp:posOffset>1642530</wp:posOffset>
            </wp:positionV>
            <wp:extent cx="5102225" cy="5044439"/>
            <wp:effectExtent l="0" t="0" r="0" b="0"/>
            <wp:wrapNone/>
            <wp:docPr id="2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5.7:</w:t>
        <w:tab/>
        <w:t>Short</w:t>
      </w:r>
      <w:r>
        <w:rPr>
          <w:spacing w:val="-1"/>
        </w:rPr>
        <w:t> </w:t>
      </w:r>
      <w:r>
        <w:rPr/>
        <w:t>Run</w:t>
      </w:r>
      <w:r>
        <w:rPr>
          <w:spacing w:val="-1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0"/>
        <w:gridCol w:w="2701"/>
        <w:gridCol w:w="2430"/>
      </w:tblGrid>
      <w:tr>
        <w:trPr>
          <w:trHeight w:val="678" w:hRule="atLeast"/>
        </w:trPr>
        <w:tc>
          <w:tcPr>
            <w:tcW w:w="308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701" w:type="dxa"/>
          </w:tcPr>
          <w:p>
            <w:pPr>
              <w:pStyle w:val="TableParagraph"/>
              <w:spacing w:line="275" w:lineRule="exact"/>
              <w:ind w:left="767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2430" w:type="dxa"/>
          </w:tcPr>
          <w:p>
            <w:pPr>
              <w:pStyle w:val="TableParagraph"/>
              <w:spacing w:line="275" w:lineRule="exact"/>
              <w:ind w:left="399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339" w:hRule="atLeast"/>
        </w:trPr>
        <w:tc>
          <w:tcPr>
            <w:tcW w:w="3080" w:type="dxa"/>
            <w:vMerge w:val="restart"/>
          </w:tcPr>
          <w:p>
            <w:pPr>
              <w:pStyle w:val="TableParagraph"/>
              <w:spacing w:line="393" w:lineRule="auto"/>
              <w:ind w:left="152" w:right="1839" w:hanging="15"/>
              <w:jc w:val="both"/>
              <w:rPr>
                <w:sz w:val="14"/>
              </w:rPr>
            </w:pPr>
            <w:r>
              <w:rPr>
                <w:i/>
                <w:spacing w:val="-4"/>
                <w:w w:val="105"/>
                <w:sz w:val="24"/>
              </w:rPr>
              <w:t>Cons </w:t>
            </w:r>
            <w:r>
              <w:rPr>
                <w:spacing w:val="-4"/>
                <w:w w:val="105"/>
                <w:sz w:val="24"/>
              </w:rPr>
              <w:t>tan </w:t>
            </w:r>
            <w:r>
              <w:rPr>
                <w:i/>
                <w:spacing w:val="-3"/>
                <w:w w:val="105"/>
                <w:sz w:val="24"/>
              </w:rPr>
              <w:t>t</w:t>
            </w:r>
            <w:r>
              <w:rPr>
                <w:i/>
                <w:spacing w:val="-2"/>
                <w:w w:val="105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DLCAB</w:t>
            </w:r>
            <w:r>
              <w:rPr>
                <w:i/>
                <w:spacing w:val="-3"/>
                <w:position w:val="-5"/>
                <w:sz w:val="14"/>
              </w:rPr>
              <w:t>t </w:t>
            </w:r>
            <w:r>
              <w:rPr>
                <w:rFonts w:ascii="Symbol" w:hAnsi="Symbol"/>
                <w:spacing w:val="-2"/>
                <w:position w:val="-5"/>
                <w:sz w:val="14"/>
              </w:rPr>
              <w:t>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-1"/>
                <w:position w:val="-5"/>
                <w:sz w:val="14"/>
              </w:rPr>
              <w:t> </w:t>
            </w:r>
            <w:r>
              <w:rPr>
                <w:i/>
                <w:w w:val="105"/>
                <w:sz w:val="24"/>
              </w:rPr>
              <w:t>DLREER</w:t>
            </w:r>
            <w:r>
              <w:rPr>
                <w:i/>
                <w:w w:val="105"/>
                <w:position w:val="-5"/>
                <w:sz w:val="14"/>
              </w:rPr>
              <w:t>t</w:t>
            </w:r>
            <w:r>
              <w:rPr>
                <w:i/>
                <w:spacing w:val="1"/>
                <w:w w:val="105"/>
                <w:position w:val="-5"/>
                <w:sz w:val="14"/>
              </w:rPr>
              <w:t> </w:t>
            </w:r>
            <w:r>
              <w:rPr>
                <w:i/>
                <w:spacing w:val="-4"/>
                <w:sz w:val="24"/>
              </w:rPr>
              <w:t>DLREER</w:t>
            </w:r>
            <w:r>
              <w:rPr>
                <w:i/>
                <w:spacing w:val="-4"/>
                <w:position w:val="-5"/>
                <w:sz w:val="14"/>
              </w:rPr>
              <w:t>t</w:t>
            </w:r>
            <w:r>
              <w:rPr>
                <w:i/>
                <w:spacing w:val="-22"/>
                <w:position w:val="-5"/>
                <w:sz w:val="14"/>
              </w:rPr>
              <w:t> </w:t>
            </w:r>
            <w:r>
              <w:rPr>
                <w:rFonts w:ascii="Symbol" w:hAnsi="Symbol"/>
                <w:spacing w:val="-3"/>
                <w:position w:val="-5"/>
                <w:sz w:val="14"/>
              </w:rPr>
              <w:t></w:t>
            </w:r>
            <w:r>
              <w:rPr>
                <w:spacing w:val="-3"/>
                <w:position w:val="-5"/>
                <w:sz w:val="14"/>
              </w:rPr>
              <w:t>1</w:t>
            </w:r>
          </w:p>
          <w:p>
            <w:pPr>
              <w:pStyle w:val="TableParagraph"/>
              <w:spacing w:line="211" w:lineRule="exact" w:before="25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d</w:t>
            </w:r>
          </w:p>
          <w:p>
            <w:pPr>
              <w:pStyle w:val="TableParagraph"/>
              <w:spacing w:line="106" w:lineRule="exact"/>
              <w:ind w:left="908"/>
              <w:rPr>
                <w:sz w:val="14"/>
              </w:rPr>
            </w:pPr>
            <w:r>
              <w:rPr>
                <w:i/>
                <w:spacing w:val="-2"/>
                <w:sz w:val="14"/>
              </w:rPr>
              <w:t>t</w:t>
            </w:r>
            <w:r>
              <w:rPr>
                <w:i/>
                <w:spacing w:val="-22"/>
                <w:sz w:val="14"/>
              </w:rPr>
              <w:t> </w:t>
            </w:r>
            <w:r>
              <w:rPr>
                <w:rFonts w:ascii="Symbol" w:hAnsi="Symbol"/>
                <w:spacing w:val="-2"/>
                <w:sz w:val="14"/>
              </w:rPr>
              <w:t></w:t>
            </w:r>
            <w:r>
              <w:rPr>
                <w:spacing w:val="-2"/>
                <w:sz w:val="14"/>
              </w:rPr>
              <w:t>1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16" w:lineRule="exact" w:before="1"/>
              <w:ind w:left="151"/>
              <w:rPr>
                <w:i/>
                <w:sz w:val="24"/>
              </w:rPr>
            </w:pPr>
            <w:r>
              <w:rPr>
                <w:i/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f</w:t>
            </w:r>
          </w:p>
          <w:p>
            <w:pPr>
              <w:pStyle w:val="TableParagraph"/>
              <w:spacing w:line="101" w:lineRule="exact"/>
              <w:ind w:left="908"/>
              <w:rPr>
                <w:i/>
                <w:sz w:val="14"/>
              </w:rPr>
            </w:pPr>
            <w:r>
              <w:rPr>
                <w:i/>
                <w:w w:val="102"/>
                <w:sz w:val="14"/>
              </w:rPr>
              <w:t>t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11" w:lineRule="exact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f</w:t>
            </w:r>
          </w:p>
          <w:p>
            <w:pPr>
              <w:pStyle w:val="TableParagraph"/>
              <w:spacing w:line="106" w:lineRule="exact"/>
              <w:ind w:left="908"/>
              <w:rPr>
                <w:sz w:val="14"/>
              </w:rPr>
            </w:pPr>
            <w:r>
              <w:rPr>
                <w:i/>
                <w:spacing w:val="-2"/>
                <w:sz w:val="14"/>
              </w:rPr>
              <w:t>t</w:t>
            </w:r>
            <w:r>
              <w:rPr>
                <w:i/>
                <w:spacing w:val="-22"/>
                <w:sz w:val="14"/>
              </w:rPr>
              <w:t> </w:t>
            </w:r>
            <w:r>
              <w:rPr>
                <w:rFonts w:ascii="Symbol" w:hAnsi="Symbol"/>
                <w:spacing w:val="-2"/>
                <w:sz w:val="14"/>
              </w:rPr>
              <w:t></w:t>
            </w:r>
            <w:r>
              <w:rPr>
                <w:spacing w:val="-2"/>
                <w:sz w:val="14"/>
              </w:rPr>
              <w:t>1</w:t>
            </w: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398" w:lineRule="auto"/>
              <w:ind w:left="151" w:right="2073"/>
              <w:rPr>
                <w:i/>
                <w:sz w:val="14"/>
              </w:rPr>
            </w:pPr>
            <w:r>
              <w:rPr>
                <w:i/>
                <w:w w:val="105"/>
                <w:sz w:val="24"/>
              </w:rPr>
              <w:t>DLMS</w:t>
            </w:r>
            <w:r>
              <w:rPr>
                <w:i/>
                <w:w w:val="105"/>
                <w:position w:val="-5"/>
                <w:sz w:val="14"/>
              </w:rPr>
              <w:t>t</w:t>
            </w:r>
            <w:r>
              <w:rPr>
                <w:i/>
                <w:spacing w:val="1"/>
                <w:w w:val="105"/>
                <w:position w:val="-5"/>
                <w:sz w:val="14"/>
              </w:rPr>
              <w:t> </w:t>
            </w:r>
            <w:r>
              <w:rPr>
                <w:i/>
                <w:spacing w:val="-3"/>
                <w:sz w:val="24"/>
              </w:rPr>
              <w:t>DLMS</w:t>
            </w:r>
            <w:r>
              <w:rPr>
                <w:i/>
                <w:spacing w:val="-3"/>
                <w:position w:val="-5"/>
                <w:sz w:val="14"/>
              </w:rPr>
              <w:t>t </w:t>
            </w:r>
            <w:r>
              <w:rPr>
                <w:rFonts w:ascii="Symbol" w:hAnsi="Symbol"/>
                <w:spacing w:val="-2"/>
                <w:position w:val="-5"/>
                <w:sz w:val="14"/>
              </w:rPr>
              <w:t></w:t>
            </w:r>
            <w:r>
              <w:rPr>
                <w:spacing w:val="-2"/>
                <w:position w:val="-5"/>
                <w:sz w:val="14"/>
              </w:rPr>
              <w:t>1</w:t>
            </w:r>
            <w:r>
              <w:rPr>
                <w:spacing w:val="-33"/>
                <w:position w:val="-5"/>
                <w:sz w:val="14"/>
              </w:rPr>
              <w:t> </w:t>
            </w:r>
            <w:r>
              <w:rPr>
                <w:i/>
                <w:w w:val="105"/>
                <w:sz w:val="24"/>
              </w:rPr>
              <w:t>DLWPI</w:t>
            </w:r>
            <w:r>
              <w:rPr>
                <w:i/>
                <w:w w:val="105"/>
                <w:position w:val="-5"/>
                <w:sz w:val="14"/>
              </w:rPr>
              <w:t>t</w:t>
            </w:r>
          </w:p>
          <w:p>
            <w:pPr>
              <w:pStyle w:val="TableParagraph"/>
              <w:spacing w:before="3"/>
              <w:ind w:left="152"/>
              <w:rPr>
                <w:sz w:val="14"/>
              </w:rPr>
            </w:pPr>
            <w:r>
              <w:rPr>
                <w:i/>
                <w:sz w:val="24"/>
              </w:rPr>
              <w:t>ECM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9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70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05" w:right="764"/>
              <w:jc w:val="center"/>
              <w:rPr>
                <w:sz w:val="24"/>
              </w:rPr>
            </w:pPr>
            <w:r>
              <w:rPr>
                <w:sz w:val="24"/>
              </w:rPr>
              <w:t>-1.356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59"/>
              <w:rPr>
                <w:sz w:val="24"/>
              </w:rPr>
            </w:pPr>
            <w:r>
              <w:rPr>
                <w:sz w:val="24"/>
              </w:rPr>
              <w:t>0.377***</w:t>
            </w:r>
          </w:p>
        </w:tc>
      </w:tr>
      <w:tr>
        <w:trPr>
          <w:trHeight w:val="403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767" w:right="764"/>
              <w:jc w:val="center"/>
              <w:rPr>
                <w:sz w:val="24"/>
              </w:rPr>
            </w:pPr>
            <w:r>
              <w:rPr>
                <w:sz w:val="24"/>
              </w:rPr>
              <w:t>1.441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759"/>
              <w:rPr>
                <w:sz w:val="24"/>
              </w:rPr>
            </w:pPr>
            <w:r>
              <w:rPr>
                <w:sz w:val="24"/>
              </w:rPr>
              <w:t>0.486***</w:t>
            </w:r>
          </w:p>
        </w:tc>
      </w:tr>
      <w:tr>
        <w:trPr>
          <w:trHeight w:val="404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767" w:right="764"/>
              <w:jc w:val="center"/>
              <w:rPr>
                <w:sz w:val="24"/>
              </w:rPr>
            </w:pPr>
            <w:r>
              <w:rPr>
                <w:sz w:val="24"/>
              </w:rPr>
              <w:t>0.556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764"/>
              <w:rPr>
                <w:sz w:val="24"/>
              </w:rPr>
            </w:pPr>
            <w:r>
              <w:rPr>
                <w:sz w:val="24"/>
              </w:rPr>
              <w:t>0.711**</w:t>
            </w:r>
          </w:p>
        </w:tc>
      </w:tr>
      <w:tr>
        <w:trPr>
          <w:trHeight w:val="404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767" w:right="764"/>
              <w:jc w:val="center"/>
              <w:rPr>
                <w:sz w:val="24"/>
              </w:rPr>
            </w:pPr>
            <w:r>
              <w:rPr>
                <w:sz w:val="24"/>
              </w:rPr>
              <w:t>0.336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764"/>
              <w:rPr>
                <w:sz w:val="24"/>
              </w:rPr>
            </w:pPr>
            <w:r>
              <w:rPr>
                <w:sz w:val="24"/>
              </w:rPr>
              <w:t>1.394***</w:t>
            </w:r>
          </w:p>
        </w:tc>
      </w:tr>
      <w:tr>
        <w:trPr>
          <w:trHeight w:val="610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767" w:right="764"/>
              <w:jc w:val="center"/>
              <w:rPr>
                <w:sz w:val="24"/>
              </w:rPr>
            </w:pPr>
            <w:r>
              <w:rPr>
                <w:sz w:val="24"/>
              </w:rPr>
              <w:t>2.335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764"/>
              <w:rPr>
                <w:sz w:val="24"/>
              </w:rPr>
            </w:pPr>
            <w:r>
              <w:rPr>
                <w:sz w:val="24"/>
              </w:rPr>
              <w:t>0.943**</w:t>
            </w:r>
          </w:p>
        </w:tc>
      </w:tr>
      <w:tr>
        <w:trPr>
          <w:trHeight w:val="611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767" w:right="764"/>
              <w:jc w:val="center"/>
              <w:rPr>
                <w:sz w:val="24"/>
              </w:rPr>
            </w:pPr>
            <w:r>
              <w:rPr>
                <w:sz w:val="24"/>
              </w:rPr>
              <w:t>0.351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759"/>
              <w:rPr>
                <w:sz w:val="24"/>
              </w:rPr>
            </w:pPr>
            <w:r>
              <w:rPr>
                <w:sz w:val="24"/>
              </w:rPr>
              <w:t>7.513***</w:t>
            </w:r>
          </w:p>
        </w:tc>
      </w:tr>
      <w:tr>
        <w:trPr>
          <w:trHeight w:val="611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767" w:right="764"/>
              <w:jc w:val="center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584"/>
              <w:rPr>
                <w:sz w:val="24"/>
              </w:rPr>
            </w:pPr>
            <w:r>
              <w:rPr>
                <w:sz w:val="24"/>
              </w:rPr>
              <w:t>11.291</w:t>
            </w:r>
          </w:p>
        </w:tc>
      </w:tr>
      <w:tr>
        <w:trPr>
          <w:trHeight w:val="610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765" w:right="764"/>
              <w:jc w:val="center"/>
              <w:rPr>
                <w:sz w:val="24"/>
              </w:rPr>
            </w:pPr>
            <w:r>
              <w:rPr>
                <w:sz w:val="24"/>
              </w:rPr>
              <w:t>-0.247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0.151</w:t>
            </w:r>
          </w:p>
        </w:tc>
      </w:tr>
      <w:tr>
        <w:trPr>
          <w:trHeight w:val="404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767" w:right="706"/>
              <w:jc w:val="center"/>
              <w:rPr>
                <w:sz w:val="24"/>
              </w:rPr>
            </w:pPr>
            <w:r>
              <w:rPr>
                <w:sz w:val="24"/>
              </w:rPr>
              <w:t>0.383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644"/>
              <w:rPr>
                <w:sz w:val="24"/>
              </w:rPr>
            </w:pPr>
            <w:r>
              <w:rPr>
                <w:sz w:val="24"/>
              </w:rPr>
              <w:t>0.155**</w:t>
            </w:r>
          </w:p>
        </w:tc>
      </w:tr>
      <w:tr>
        <w:trPr>
          <w:trHeight w:val="403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767" w:right="764"/>
              <w:jc w:val="center"/>
              <w:rPr>
                <w:sz w:val="24"/>
              </w:rPr>
            </w:pPr>
            <w:r>
              <w:rPr>
                <w:sz w:val="24"/>
              </w:rPr>
              <w:t>0.136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644"/>
              <w:rPr>
                <w:sz w:val="24"/>
              </w:rPr>
            </w:pPr>
            <w:r>
              <w:rPr>
                <w:sz w:val="24"/>
              </w:rPr>
              <w:t>3.591**</w:t>
            </w:r>
          </w:p>
        </w:tc>
      </w:tr>
      <w:tr>
        <w:trPr>
          <w:trHeight w:val="954" w:hRule="atLeast"/>
        </w:trPr>
        <w:tc>
          <w:tcPr>
            <w:tcW w:w="3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765" w:right="764"/>
              <w:jc w:val="center"/>
              <w:rPr>
                <w:sz w:val="24"/>
              </w:rPr>
            </w:pPr>
            <w:r>
              <w:rPr>
                <w:sz w:val="24"/>
              </w:rPr>
              <w:t>-0.894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584"/>
              <w:rPr>
                <w:sz w:val="24"/>
              </w:rPr>
            </w:pPr>
            <w:r>
              <w:rPr>
                <w:sz w:val="24"/>
              </w:rPr>
              <w:t>0.151***</w:t>
            </w:r>
          </w:p>
        </w:tc>
      </w:tr>
      <w:tr>
        <w:trPr>
          <w:trHeight w:val="345" w:hRule="atLeast"/>
        </w:trPr>
        <w:tc>
          <w:tcPr>
            <w:tcW w:w="57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R-bar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84"/>
              <w:rPr>
                <w:sz w:val="24"/>
              </w:rPr>
            </w:pPr>
            <w:r>
              <w:rPr>
                <w:sz w:val="24"/>
              </w:rPr>
              <w:t>0.779</w:t>
            </w:r>
          </w:p>
        </w:tc>
      </w:tr>
      <w:tr>
        <w:trPr>
          <w:trHeight w:val="482" w:hRule="atLeast"/>
        </w:trPr>
        <w:tc>
          <w:tcPr>
            <w:tcW w:w="57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404"/>
              <w:rPr>
                <w:sz w:val="24"/>
              </w:rPr>
            </w:pPr>
            <w:r>
              <w:rPr>
                <w:sz w:val="24"/>
              </w:rPr>
              <w:t>12.289[0.000]</w:t>
            </w:r>
          </w:p>
        </w:tc>
      </w:tr>
    </w:tbl>
    <w:p>
      <w:pPr>
        <w:pStyle w:val="BodyText"/>
        <w:ind w:left="811"/>
      </w:pPr>
      <w:r>
        <w:rPr/>
        <w:t>Note:</w:t>
      </w:r>
      <w:r>
        <w:rPr>
          <w:spacing w:val="-2"/>
        </w:rPr>
        <w:t> </w:t>
      </w:r>
      <w:r>
        <w:rPr/>
        <w:t>***,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1%,</w:t>
      </w:r>
      <w:r>
        <w:rPr>
          <w:spacing w:val="1"/>
        </w:rPr>
        <w:t> </w:t>
      </w:r>
      <w:r>
        <w:rPr/>
        <w:t>5%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10%,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811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r>
        <w:rPr>
          <w:sz w:val="24"/>
        </w:rPr>
        <w:t>Compiled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Author, 2014.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3"/>
          <w:numId w:val="16"/>
        </w:numPr>
        <w:tabs>
          <w:tab w:pos="1831" w:val="left" w:leader="none"/>
          <w:tab w:pos="1832" w:val="left" w:leader="none"/>
        </w:tabs>
        <w:spacing w:line="240" w:lineRule="auto" w:before="79" w:after="0"/>
        <w:ind w:left="1831" w:right="0" w:hanging="1021"/>
        <w:jc w:val="left"/>
      </w:pPr>
      <w:bookmarkStart w:name="_TOC_250010" w:id="63"/>
      <w:r>
        <w:rPr/>
        <w:t>Dynamics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bookmarkEnd w:id="63"/>
      <w:r>
        <w:rPr/>
        <w:t>Balance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t>The analysis indicates that the capital account balance is not as volatile when compared</w:t>
      </w:r>
      <w:r>
        <w:rPr>
          <w:spacing w:val="1"/>
        </w:rPr>
        <w:t> </w:t>
      </w:r>
      <w:r>
        <w:rPr/>
        <w:t>with current account balance.   The capital account in all is highly influenced by changes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 with a</w:t>
      </w:r>
      <w:r>
        <w:rPr>
          <w:spacing w:val="-1"/>
        </w:rPr>
        <w:t> </w:t>
      </w:r>
      <w:r>
        <w:rPr/>
        <w:t>lag,</w:t>
      </w:r>
      <w:r>
        <w:rPr>
          <w:spacing w:val="1"/>
        </w:rPr>
        <w:t> </w:t>
      </w:r>
      <w:r>
        <w:rPr/>
        <w:t>and interest rate in the</w:t>
      </w:r>
      <w:r>
        <w:rPr>
          <w:spacing w:val="-2"/>
        </w:rPr>
        <w:t> </w:t>
      </w:r>
      <w:r>
        <w:rPr/>
        <w:t>short-run</w:t>
      </w:r>
    </w:p>
    <w:p>
      <w:pPr>
        <w:pStyle w:val="BodyText"/>
        <w:spacing w:line="360" w:lineRule="auto" w:before="198"/>
        <w:ind w:left="811" w:right="997"/>
        <w:jc w:val="both"/>
      </w:pPr>
      <w:r>
        <w:rPr/>
        <w:drawing>
          <wp:anchor distT="0" distB="0" distL="0" distR="0" allowOverlap="1" layoutInCell="1" locked="0" behindDoc="1" simplePos="0" relativeHeight="477985280">
            <wp:simplePos x="0" y="0"/>
            <wp:positionH relativeFrom="page">
              <wp:posOffset>1485138</wp:posOffset>
            </wp:positionH>
            <wp:positionV relativeFrom="paragraph">
              <wp:posOffset>477305</wp:posOffset>
            </wp:positionV>
            <wp:extent cx="5102225" cy="5044439"/>
            <wp:effectExtent l="0" t="0" r="0" b="0"/>
            <wp:wrapNone/>
            <wp:docPr id="2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results in Table 5.8 indicate that all the variables of concern to the capital 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minimum.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determination depicts that over 90 percent of the variation in capital account balance is</w:t>
      </w:r>
      <w:r>
        <w:rPr>
          <w:spacing w:val="1"/>
        </w:rPr>
        <w:t> </w:t>
      </w:r>
      <w:r>
        <w:rPr/>
        <w:t>caused by variation in the variables discussed.</w:t>
      </w:r>
      <w:r>
        <w:rPr>
          <w:spacing w:val="1"/>
        </w:rPr>
        <w:t> </w:t>
      </w:r>
      <w:r>
        <w:rPr/>
        <w:t>The result explains that an appreciation of</w:t>
      </w:r>
      <w:r>
        <w:rPr>
          <w:spacing w:val="1"/>
        </w:rPr>
        <w:t> </w:t>
      </w:r>
      <w:r>
        <w:rPr/>
        <w:t>the exchange rate enhances a domestic corporation‘s bidding power to purchase assets in</w:t>
      </w:r>
      <w:r>
        <w:rPr>
          <w:spacing w:val="1"/>
        </w:rPr>
        <w:t> </w:t>
      </w:r>
      <w:r>
        <w:rPr/>
        <w:t>another country.</w:t>
      </w:r>
      <w:r>
        <w:rPr>
          <w:spacing w:val="60"/>
        </w:rPr>
        <w:t> </w:t>
      </w:r>
      <w:r>
        <w:rPr/>
        <w:t>Similarly, a depreciation of the exchange rate attracts foreign investors</w:t>
      </w:r>
      <w:r>
        <w:rPr>
          <w:spacing w:val="1"/>
        </w:rPr>
        <w:t> </w:t>
      </w:r>
      <w:r>
        <w:rPr/>
        <w:t>to flow into the economy.</w:t>
      </w:r>
      <w:r>
        <w:rPr>
          <w:spacing w:val="1"/>
        </w:rPr>
        <w:t> </w:t>
      </w:r>
      <w:r>
        <w:rPr/>
        <w:t>The finding is in consonance with the findings of Froot and</w:t>
      </w:r>
      <w:r>
        <w:rPr>
          <w:spacing w:val="1"/>
        </w:rPr>
        <w:t> </w:t>
      </w:r>
      <w:r>
        <w:rPr/>
        <w:t>Stein</w:t>
      </w:r>
      <w:r>
        <w:rPr>
          <w:spacing w:val="-1"/>
        </w:rPr>
        <w:t> </w:t>
      </w:r>
      <w:r>
        <w:rPr/>
        <w:t>(1991)</w:t>
      </w:r>
      <w:r>
        <w:rPr>
          <w:spacing w:val="-1"/>
        </w:rPr>
        <w:t> </w:t>
      </w:r>
      <w:r>
        <w:rPr/>
        <w:t>and Klein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al, </w:t>
      </w:r>
      <w:r>
        <w:rPr/>
        <w:t>(2002).</w:t>
      </w:r>
    </w:p>
    <w:p>
      <w:pPr>
        <w:pStyle w:val="BodyText"/>
        <w:spacing w:line="360" w:lineRule="auto" w:before="202"/>
        <w:ind w:left="811" w:right="994"/>
        <w:jc w:val="both"/>
      </w:pPr>
      <w:r>
        <w:rPr/>
        <w:t>However, the speed adjustment is relatively low as only 50 percent of the variation from</w:t>
      </w:r>
      <w:r>
        <w:rPr>
          <w:spacing w:val="1"/>
        </w:rPr>
        <w:t> </w:t>
      </w:r>
      <w:r>
        <w:rPr/>
        <w:t>equilibrium will be corrected during the next period. It will be difficult for this model to</w:t>
      </w:r>
      <w:r>
        <w:rPr>
          <w:spacing w:val="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adequate equilibrium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long</w:t>
      </w:r>
      <w:r>
        <w:rPr>
          <w:spacing w:val="-2"/>
        </w:rPr>
        <w:t> </w:t>
      </w:r>
      <w:r>
        <w:rPr/>
        <w:t>run.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251" w:val="left" w:leader="none"/>
        </w:tabs>
        <w:spacing w:after="42"/>
      </w:pPr>
      <w:r>
        <w:rPr/>
        <w:t>Table</w:t>
      </w:r>
      <w:r>
        <w:rPr>
          <w:spacing w:val="-1"/>
        </w:rPr>
        <w:t> </w:t>
      </w:r>
      <w:r>
        <w:rPr/>
        <w:t>5.8:</w:t>
        <w:tab/>
        <w:t>Short Run</w:t>
      </w:r>
      <w:r>
        <w:rPr>
          <w:spacing w:val="-1"/>
        </w:rPr>
        <w:t> </w:t>
      </w:r>
      <w:r>
        <w:rPr/>
        <w:t>Dynamic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2881"/>
        <w:gridCol w:w="2792"/>
      </w:tblGrid>
      <w:tr>
        <w:trPr>
          <w:trHeight w:val="414" w:hRule="atLeast"/>
        </w:trPr>
        <w:tc>
          <w:tcPr>
            <w:tcW w:w="244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881" w:type="dxa"/>
          </w:tcPr>
          <w:p>
            <w:pPr>
              <w:pStyle w:val="TableParagraph"/>
              <w:spacing w:line="275" w:lineRule="exact"/>
              <w:ind w:left="860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2792" w:type="dxa"/>
          </w:tcPr>
          <w:p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345" w:hRule="atLeast"/>
        </w:trPr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855" w:right="850"/>
              <w:jc w:val="center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2792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66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</w:tr>
      <w:tr>
        <w:trPr>
          <w:trHeight w:val="445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152"/>
              <w:rPr>
                <w:sz w:val="14"/>
              </w:rPr>
            </w:pPr>
            <w:r>
              <w:rPr>
                <w:i/>
                <w:spacing w:val="-3"/>
                <w:sz w:val="24"/>
              </w:rPr>
              <w:t>DLKAB</w:t>
            </w:r>
            <w:r>
              <w:rPr>
                <w:i/>
                <w:spacing w:val="-3"/>
                <w:position w:val="-5"/>
                <w:sz w:val="14"/>
              </w:rPr>
              <w:t>t</w:t>
            </w:r>
            <w:r>
              <w:rPr>
                <w:i/>
                <w:spacing w:val="-21"/>
                <w:position w:val="-5"/>
                <w:sz w:val="14"/>
              </w:rPr>
              <w:t> </w:t>
            </w:r>
            <w:r>
              <w:rPr>
                <w:rFonts w:ascii="Symbol" w:hAnsi="Symbol"/>
                <w:spacing w:val="-2"/>
                <w:position w:val="-5"/>
                <w:sz w:val="14"/>
              </w:rPr>
              <w:t></w:t>
            </w:r>
            <w:r>
              <w:rPr>
                <w:spacing w:val="-2"/>
                <w:position w:val="-5"/>
                <w:sz w:val="14"/>
              </w:rPr>
              <w:t>1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853" w:right="850"/>
              <w:jc w:val="center"/>
              <w:rPr>
                <w:sz w:val="24"/>
              </w:rPr>
            </w:pPr>
            <w:r>
              <w:rPr>
                <w:sz w:val="24"/>
              </w:rPr>
              <w:t>-0.236</w:t>
            </w:r>
          </w:p>
        </w:tc>
        <w:tc>
          <w:tcPr>
            <w:tcW w:w="27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766"/>
              <w:rPr>
                <w:sz w:val="24"/>
              </w:rPr>
            </w:pPr>
            <w:r>
              <w:rPr>
                <w:sz w:val="24"/>
              </w:rPr>
              <w:t>0.056***</w:t>
            </w:r>
          </w:p>
        </w:tc>
      </w:tr>
      <w:tr>
        <w:trPr>
          <w:trHeight w:val="553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0"/>
              <w:ind w:left="152"/>
              <w:rPr>
                <w:sz w:val="14"/>
              </w:rPr>
            </w:pPr>
            <w:r>
              <w:rPr>
                <w:i/>
                <w:spacing w:val="-2"/>
                <w:sz w:val="24"/>
              </w:rPr>
              <w:t>DLREER</w:t>
            </w:r>
            <w:r>
              <w:rPr>
                <w:i/>
                <w:spacing w:val="-2"/>
                <w:position w:val="-5"/>
                <w:sz w:val="14"/>
              </w:rPr>
              <w:t>t</w:t>
            </w:r>
            <w:r>
              <w:rPr>
                <w:i/>
                <w:spacing w:val="-22"/>
                <w:position w:val="-5"/>
                <w:sz w:val="14"/>
              </w:rPr>
              <w:t> </w:t>
            </w:r>
            <w:r>
              <w:rPr>
                <w:rFonts w:ascii="Symbol" w:hAnsi="Symbol"/>
                <w:spacing w:val="-2"/>
                <w:position w:val="-5"/>
                <w:sz w:val="14"/>
              </w:rPr>
              <w:t></w:t>
            </w:r>
            <w:r>
              <w:rPr>
                <w:spacing w:val="-2"/>
                <w:position w:val="-5"/>
                <w:sz w:val="14"/>
              </w:rPr>
              <w:t>1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855" w:right="850"/>
              <w:jc w:val="center"/>
              <w:rPr>
                <w:sz w:val="24"/>
              </w:rPr>
            </w:pPr>
            <w:r>
              <w:rPr>
                <w:sz w:val="24"/>
              </w:rPr>
              <w:t>0.654</w:t>
            </w:r>
          </w:p>
        </w:tc>
        <w:tc>
          <w:tcPr>
            <w:tcW w:w="27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766"/>
              <w:rPr>
                <w:sz w:val="24"/>
              </w:rPr>
            </w:pPr>
            <w:r>
              <w:rPr>
                <w:sz w:val="24"/>
              </w:rPr>
              <w:t>0.217***</w:t>
            </w:r>
          </w:p>
        </w:tc>
      </w:tr>
      <w:tr>
        <w:trPr>
          <w:trHeight w:val="587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5"/>
              <w:ind w:left="152"/>
              <w:rPr>
                <w:i/>
                <w:sz w:val="14"/>
              </w:rPr>
            </w:pPr>
            <w:r>
              <w:rPr>
                <w:i/>
                <w:w w:val="105"/>
                <w:sz w:val="24"/>
              </w:rPr>
              <w:t>DTBR</w:t>
            </w:r>
            <w:r>
              <w:rPr>
                <w:i/>
                <w:w w:val="105"/>
                <w:position w:val="-5"/>
                <w:sz w:val="14"/>
              </w:rPr>
              <w:t>t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line="262" w:lineRule="exact"/>
              <w:ind w:left="855" w:right="850"/>
              <w:jc w:val="center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27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line="262" w:lineRule="exact"/>
              <w:ind w:left="766"/>
              <w:rPr>
                <w:sz w:val="24"/>
              </w:rPr>
            </w:pPr>
            <w:r>
              <w:rPr>
                <w:sz w:val="24"/>
              </w:rPr>
              <w:t>0.003***</w:t>
            </w:r>
          </w:p>
        </w:tc>
      </w:tr>
      <w:tr>
        <w:trPr>
          <w:trHeight w:val="455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152"/>
              <w:rPr>
                <w:sz w:val="14"/>
              </w:rPr>
            </w:pPr>
            <w:r>
              <w:rPr>
                <w:i/>
                <w:spacing w:val="-3"/>
                <w:sz w:val="24"/>
              </w:rPr>
              <w:t>DTBR</w:t>
            </w:r>
            <w:r>
              <w:rPr>
                <w:i/>
                <w:spacing w:val="-3"/>
                <w:position w:val="-5"/>
                <w:sz w:val="14"/>
              </w:rPr>
              <w:t>t</w:t>
            </w:r>
            <w:r>
              <w:rPr>
                <w:i/>
                <w:spacing w:val="-22"/>
                <w:position w:val="-5"/>
                <w:sz w:val="14"/>
              </w:rPr>
              <w:t> </w:t>
            </w:r>
            <w:r>
              <w:rPr>
                <w:rFonts w:ascii="Symbol" w:hAnsi="Symbol"/>
                <w:spacing w:val="-3"/>
                <w:position w:val="-5"/>
                <w:sz w:val="14"/>
              </w:rPr>
              <w:t></w:t>
            </w:r>
            <w:r>
              <w:rPr>
                <w:spacing w:val="-3"/>
                <w:position w:val="-5"/>
                <w:sz w:val="14"/>
              </w:rPr>
              <w:t>1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855" w:right="850"/>
              <w:jc w:val="center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27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766"/>
              <w:rPr>
                <w:sz w:val="24"/>
              </w:rPr>
            </w:pPr>
            <w:r>
              <w:rPr>
                <w:sz w:val="24"/>
              </w:rPr>
              <w:t>0.003**</w:t>
            </w:r>
          </w:p>
        </w:tc>
      </w:tr>
      <w:tr>
        <w:trPr>
          <w:trHeight w:val="518" w:hRule="atLeast"/>
        </w:trPr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52"/>
              <w:rPr>
                <w:sz w:val="14"/>
              </w:rPr>
            </w:pPr>
            <w:r>
              <w:rPr>
                <w:i/>
                <w:sz w:val="24"/>
              </w:rPr>
              <w:t>ECM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21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90"/>
              <w:ind w:left="853" w:right="850"/>
              <w:jc w:val="center"/>
              <w:rPr>
                <w:sz w:val="24"/>
              </w:rPr>
            </w:pPr>
            <w:r>
              <w:rPr>
                <w:sz w:val="24"/>
              </w:rPr>
              <w:t>-0.568</w:t>
            </w:r>
          </w:p>
        </w:tc>
        <w:tc>
          <w:tcPr>
            <w:tcW w:w="2792" w:type="dxa"/>
            <w:tcBorders>
              <w:top w:val="nil"/>
            </w:tcBorders>
          </w:tcPr>
          <w:p>
            <w:pPr>
              <w:pStyle w:val="TableParagraph"/>
              <w:spacing w:before="90"/>
              <w:ind w:left="766"/>
              <w:rPr>
                <w:sz w:val="24"/>
              </w:rPr>
            </w:pPr>
            <w:r>
              <w:rPr>
                <w:sz w:val="24"/>
              </w:rPr>
              <w:t>0.212**</w:t>
            </w:r>
          </w:p>
        </w:tc>
      </w:tr>
      <w:tr>
        <w:trPr>
          <w:trHeight w:val="345" w:hRule="atLeast"/>
        </w:trPr>
        <w:tc>
          <w:tcPr>
            <w:tcW w:w="533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R-bar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2792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706"/>
              <w:rPr>
                <w:sz w:val="24"/>
              </w:rPr>
            </w:pPr>
            <w:r>
              <w:rPr>
                <w:sz w:val="24"/>
              </w:rPr>
              <w:t>0.927</w:t>
            </w:r>
          </w:p>
        </w:tc>
      </w:tr>
      <w:tr>
        <w:trPr>
          <w:trHeight w:val="485" w:hRule="atLeast"/>
        </w:trPr>
        <w:tc>
          <w:tcPr>
            <w:tcW w:w="533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2792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586"/>
              <w:rPr>
                <w:sz w:val="24"/>
              </w:rPr>
            </w:pPr>
            <w:r>
              <w:rPr>
                <w:sz w:val="24"/>
              </w:rPr>
              <w:t>55.149[0.000]</w:t>
            </w:r>
          </w:p>
        </w:tc>
      </w:tr>
    </w:tbl>
    <w:p>
      <w:pPr>
        <w:pStyle w:val="BodyText"/>
        <w:ind w:left="811"/>
      </w:pPr>
      <w:r>
        <w:rPr/>
        <w:pict>
          <v:shape style="position:absolute;margin-left:281.300018pt;margin-top:-23.096886pt;width:169.7pt;height:153.8pt;mso-position-horizontal-relative:page;mso-position-vertical-relative:paragraph;z-index:-25330176" coordorigin="5626,-462" coordsize="3394,3076" path="m6603,2557l6602,2554,6600,2547,6597,2543,6306,2253,6268,2181,6080,1819,6004,1675,5993,1655,5983,1643,5979,1640,5969,1638,5964,1640,5957,1643,5944,1655,5928,1670,5923,1676,5916,1686,5914,1690,5912,1698,5912,1702,5917,1715,5921,1720,6079,2013,6115,2077,6178,2185,6177,2186,6002,2086,5929,2047,5783,1968,5705,1926,5696,1923,5692,1922,5684,1923,5680,1924,5675,1927,5670,1931,5658,1941,5642,1956,5632,1969,5628,1974,5626,1979,5628,1989,5631,1994,5637,1998,5643,2003,5664,2015,5736,2053,6098,2242,6242,2317,6532,2608,6536,2611,6542,2614,6546,2614,6550,2612,6554,2611,6564,2606,6569,2603,6575,2598,6587,2586,6592,2580,6595,2575,6600,2565,6601,2561,6603,2557xm7274,1825l7274,1788,7268,1749,7258,1709,7242,1668,7223,1626,7199,1583,7170,1539,7161,1526,7161,1797,7157,1824,7148,1849,7133,1872,7115,1894,7093,1913,7070,1928,7045,1937,7020,1942,6994,1943,6967,1940,6939,1933,6909,1922,6880,1908,6849,1891,6818,1871,6786,1847,6753,1820,6720,1791,6687,1760,6652,1727,6622,1696,6594,1664,6567,1633,6541,1601,6518,1569,6499,1538,6482,1508,6469,1477,6458,1448,6451,1419,6447,1391,6447,1363,6451,1337,6460,1312,6474,1289,6493,1267,6515,1248,6537,1234,6562,1225,6587,1220,6614,1219,6641,1222,6669,1229,6698,1239,6728,1254,6759,1271,6790,1290,6821,1314,6854,1340,6886,1368,6919,1398,6952,1430,6983,1462,7012,1494,7039,1525,7064,1557,7088,1589,7108,1621,7125,1652,7139,1682,7150,1712,7157,1742,7161,1770,7161,1797,7161,1526,7137,1493,7100,1448,7059,1401,7013,1354,6966,1309,6921,1268,6876,1231,6860,1219,6832,1199,6790,1171,6749,1148,6709,1130,6670,1115,6633,1106,6596,1102,6562,1102,6528,1107,6496,1116,6465,1130,6436,1150,6408,1174,6383,1203,6363,1234,6348,1266,6339,1300,6335,1336,6336,1374,6341,1412,6351,1451,6366,1492,6386,1534,6409,1577,6438,1621,6470,1666,6507,1711,6547,1757,6591,1803,6639,1849,6685,1891,6731,1928,6775,1961,6817,1989,6859,2013,6899,2032,6938,2046,6975,2055,7011,2060,7046,2060,7080,2055,7113,2046,7144,2032,7173,2012,7201,1987,7227,1958,7237,1943,7247,1928,7261,1895,7270,1861,7274,1825xm7572,1587l7572,1584,7569,1576,7567,1574,7239,1246,7409,1075,7410,1072,7410,1065,7409,1062,7404,1053,7400,1047,7385,1029,7369,1012,7361,1005,7355,1001,7349,995,7344,992,7336,989,7332,988,7328,987,7325,988,7323,989,7153,1159,6887,894,7068,714,7069,712,7069,708,7068,701,7063,692,7059,686,7043,667,7035,660,7027,652,7008,635,6993,626,6989,625,6982,625,6980,626,6753,852,6750,861,6752,872,6754,881,6759,891,6767,902,6777,913,7502,1638,7505,1640,7513,1643,7516,1644,7520,1642,7524,1642,7534,1636,7539,1633,7545,1628,7557,1616,7565,1605,7570,1596,7571,1591,7572,1587xm8101,1059l8100,1056,8098,1049,8095,1045,8092,1042,7340,290,7337,288,7330,285,7327,285,7322,286,7318,287,7309,292,7298,300,7286,312,7278,322,7273,332,7272,336,7271,341,7271,344,7274,351,7276,355,8031,1110,8034,1112,8041,1115,8044,1115,8048,1114,8053,1113,8063,1108,8073,1100,8086,1087,8090,1082,8094,1077,8099,1067,8099,1063,8101,1059xm8456,631l8456,615,8454,598,8451,581,8448,564,8442,547,8436,529,8428,512,8419,494,8409,476,8397,457,8383,439,8369,421,8352,402,8346,395,8346,598,8345,612,8343,625,8340,638,8335,650,8328,662,8320,673,8310,685,8216,778,7941,504,8018,426,8024,421,8034,412,8049,401,8063,391,8078,385,8093,381,8108,378,8124,378,8139,379,8155,382,8171,388,8188,395,8204,403,8221,414,8238,427,8255,441,8273,458,8288,474,8301,490,8313,506,8323,522,8331,538,8337,553,8341,568,8344,583,8346,598,8346,395,8335,384,8328,378,8315,365,8295,348,8275,332,8254,318,8234,306,8214,296,8195,288,8190,286,8176,281,8158,276,8139,272,8122,271,8105,270,8089,272,8073,275,8059,280,8046,286,8048,272,8048,259,8048,244,8046,230,8043,215,8039,201,8034,186,8028,171,8021,156,8013,142,8004,127,7993,113,7982,98,7971,84,7964,76,7964,270,7964,283,7962,296,7958,309,7952,322,7943,335,7932,348,7859,421,7606,168,7673,102,7686,89,7700,79,7713,71,7726,65,7739,62,7751,60,7765,60,7777,62,7791,66,7805,71,7818,78,7832,86,7846,95,7860,106,7874,119,7888,132,7900,145,7912,158,7923,172,7933,185,7941,200,7949,214,7955,228,7959,242,7962,256,7964,270,7964,76,7958,69,7950,60,7945,55,7921,33,7898,14,7875,-3,7852,-19,7829,-31,7806,-41,7784,-48,7762,-53,7740,-55,7719,-54,7698,-50,7677,-45,7656,-36,7635,-23,7614,-6,7592,14,7481,124,7476,130,7473,139,7474,149,7477,159,7482,169,7489,179,7500,191,8195,886,8206,897,8217,904,8227,909,8236,911,8247,913,8256,910,8387,778,8389,777,8402,763,8413,749,8423,736,8431,722,8438,708,8444,693,8449,679,8452,663,8454,647,8456,631xm9020,146l9019,141,9017,136,9014,131,9009,125,9003,120,8995,115,8984,108,8889,47,8609,-129,8609,-18,8440,151,8179,-254,8135,-322,8135,-322,8135,-322,8609,-18,8609,-129,8304,-322,8097,-454,8091,-457,8086,-460,8081,-461,8076,-462,8072,-462,8062,-458,8056,-455,8050,-451,8044,-446,8038,-439,8030,-431,8022,-424,8016,-418,8012,-412,8008,-407,8005,-402,8004,-397,8002,-392,8001,-387,8003,-383,8004,-378,8007,-373,8010,-368,8053,-300,8370,202,8571,520,8578,531,8584,539,8589,544,8594,550,8600,553,8604,554,8609,555,8614,554,8620,550,8625,546,8632,541,8646,527,8651,520,8655,515,8659,511,8661,506,8661,501,8662,497,8662,493,8660,489,8659,486,8657,481,8654,477,8617,420,8506,250,8605,151,8709,47,8940,195,8945,198,8949,200,8953,201,8956,202,8960,202,8963,201,8968,201,8972,198,8978,194,8983,190,9005,168,9010,162,9014,156,9018,151,9020,14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16.910034pt;margin-top:-99.786888pt;width:101.8pt;height:102.2pt;mso-position-horizontal-relative:page;mso-position-vertical-relative:paragraph;z-index:-25329664" coordorigin="8338,-1996" coordsize="2036,2044" path="m9323,-269l9321,-308,9314,-348,9302,-388,9285,-431,9263,-475,9236,-520,9213,-553,9213,-305,9212,-278,9207,-252,9198,-227,9186,-202,9168,-178,9147,-155,9080,-88,8473,-695,8539,-761,8565,-784,8590,-802,8617,-814,8644,-821,8672,-824,8700,-824,8729,-820,8759,-812,8790,-801,8821,-787,8852,-769,8884,-749,8916,-725,8948,-699,8980,-671,9012,-640,9049,-601,9083,-564,9113,-527,9138,-492,9160,-458,9178,-425,9193,-394,9203,-363,9210,-333,9213,-305,9213,-553,9204,-566,9166,-614,9124,-663,9076,-713,9032,-755,8988,-792,8947,-824,8945,-826,8902,-856,8860,-881,8819,-901,8778,-918,8738,-930,8700,-937,8662,-940,8625,-938,8590,-932,8555,-921,8522,-903,8489,-880,8457,-851,8341,-735,8338,-727,8339,-716,8342,-706,8347,-697,8354,-686,8365,-675,9060,21,9072,31,9082,39,9092,44,9101,46,9112,48,9121,45,9230,-64,9252,-88,9258,-96,9282,-128,9300,-162,9313,-196,9320,-232,9323,-269xm9940,-774l9939,-779,9937,-784,9934,-789,9929,-795,9923,-800,9916,-805,9905,-813,9810,-873,9529,-1050,9529,-939,9360,-769,9099,-1174,9055,-1242,9055,-1242,9529,-939,9529,-1050,9224,-1242,9017,-1374,9011,-1377,9006,-1380,8996,-1382,8992,-1382,8987,-1380,8982,-1379,8976,-1376,8971,-1371,8965,-1366,8958,-1360,8950,-1352,8936,-1338,8928,-1327,8925,-1322,8924,-1317,8922,-1312,8922,-1308,8923,-1303,8924,-1298,8927,-1293,8930,-1288,9017,-1152,9289,-719,9318,-673,9491,-400,9498,-389,9504,-382,9509,-376,9514,-370,9520,-367,9529,-365,9534,-366,9540,-370,9545,-374,9552,-379,9566,-393,9571,-400,9575,-405,9579,-410,9581,-414,9581,-419,9582,-423,9582,-427,9580,-431,9579,-435,9577,-439,9574,-443,9426,-671,9525,-769,9629,-873,9860,-725,9865,-722,9869,-721,9873,-719,9876,-718,9880,-718,9883,-719,9888,-719,9892,-722,9898,-726,9903,-730,9925,-752,9930,-758,9934,-764,9938,-769,9940,-774xm10374,-1218l10372,-1230,10369,-1237,10362,-1252,10356,-1260,10348,-1268,9625,-1991,9622,-1993,9615,-1995,9611,-1996,9602,-1994,9598,-1992,9593,-1989,9582,-1981,9570,-1968,9559,-1953,9556,-1948,9555,-1940,9556,-1936,9557,-1932,9558,-1929,9560,-1926,10011,-1475,10186,-1302,10186,-1302,10037,-1380,9959,-1420,9898,-1450,9801,-1498,9573,-1612,9421,-1688,9397,-1700,9378,-1708,9366,-1712,9356,-1715,9347,-1716,9338,-1716,9330,-1715,9316,-1708,9309,-1703,9263,-1657,9260,-1648,9261,-1635,9264,-1626,9269,-1615,9277,-1604,9287,-1592,10010,-870,10013,-868,10016,-866,10020,-864,10024,-864,10028,-866,10032,-866,10042,-871,10052,-879,10065,-892,10073,-902,10076,-908,10078,-912,10078,-916,10080,-920,10080,-924,10078,-928,10077,-932,10075,-934,9533,-1475,9421,-1585,9422,-1586,9468,-1560,9565,-1509,9686,-1449,10057,-1265,10204,-1191,10233,-1177,10272,-1161,10285,-1158,10295,-1157,10305,-1155,10314,-1156,10321,-1159,10329,-1161,10336,-1166,10367,-1198,10370,-1202,10373,-1212,10374,-1218xe" filled="true" fillcolor="#ffc000" stroked="false">
            <v:path arrowok="t"/>
            <v:fill opacity="32896f" type="solid"/>
            <w10:wrap type="none"/>
          </v:shape>
        </w:pict>
      </w:r>
      <w:r>
        <w:rPr/>
        <w:t>Note:</w:t>
      </w:r>
      <w:r>
        <w:rPr>
          <w:spacing w:val="-2"/>
        </w:rPr>
        <w:t> </w:t>
      </w:r>
      <w:r>
        <w:rPr/>
        <w:t>***,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1%,</w:t>
      </w:r>
      <w:r>
        <w:rPr>
          <w:spacing w:val="1"/>
        </w:rPr>
        <w:t> </w:t>
      </w:r>
      <w:r>
        <w:rPr/>
        <w:t>5%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10%,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811" w:right="0" w:firstLine="0"/>
        <w:jc w:val="left"/>
        <w:rPr>
          <w:sz w:val="24"/>
        </w:rPr>
      </w:pPr>
      <w:r>
        <w:rPr/>
        <w:pict>
          <v:shape style="position:absolute;margin-left:116.940002pt;margin-top:69.953117pt;width:194.45pt;height:196.9pt;mso-position-horizontal-relative:page;mso-position-vertical-relative:paragraph;z-index:-25330688" coordorigin="2339,1399" coordsize="3889,3938" path="m3369,5119l3367,5089,3362,5058,3353,5026,3340,4994,3324,4960,3304,4926,3281,4892,3255,4858,3224,4822,3191,4787,2711,4308,2708,4305,2701,4302,2697,4302,2693,4303,2689,4304,2680,4309,2669,4317,2657,4330,2649,4340,2644,4350,2642,4354,2641,4358,2642,4362,2644,4369,2647,4372,3127,4852,3152,4878,3174,4903,3194,4928,3210,4951,3225,4975,3236,4997,3246,5019,3253,5040,3257,5061,3259,5080,3258,5099,3255,5118,3250,5135,3242,5151,3231,5167,3218,5181,3204,5194,3189,5204,3172,5211,3155,5217,3137,5220,3118,5220,3098,5219,3077,5214,3056,5207,3033,5198,3010,5186,2986,5171,2961,5154,2936,5133,2910,5110,2883,5085,2409,4610,2405,4608,2398,4605,2395,4605,2391,4605,2387,4607,2377,4612,2366,4620,2354,4632,2346,4643,2343,4648,2340,4656,2339,4661,2339,4664,2342,4671,2344,4675,2831,5162,2867,5196,2902,5226,2937,5252,2971,5275,3004,5295,3037,5310,3068,5322,3098,5330,3128,5335,3157,5336,3184,5334,3211,5329,3236,5320,3260,5308,3282,5292,3303,5274,3323,5251,3340,5227,3352,5202,3361,5175,3367,5148,3369,5119xm3958,4586l3956,4573,3954,4566,3946,4552,3940,4544,3932,4536,3209,3813,3207,3811,3200,3808,3195,3808,3187,3809,3182,3811,3167,3823,3155,3835,3143,3851,3141,3855,3139,3864,3140,3868,3143,3875,3145,3878,3571,4304,3770,4501,3770,4502,3696,4463,3543,4384,3482,4354,3385,4305,3081,4154,2993,4109,2972,4099,2951,4091,2940,4089,2931,4088,2923,4088,2914,4089,2901,4095,2893,4100,2847,4146,2845,4156,2846,4168,2848,4178,2853,4188,2861,4199,2872,4211,3591,4931,3597,4936,3605,4939,3608,4940,3612,4938,3616,4938,3626,4933,3631,4929,3636,4925,3649,4912,3654,4906,3657,4901,3662,4892,3663,4887,3664,4883,3664,4880,3662,4876,3661,4872,3659,4869,3141,4351,3005,4219,3006,4218,3076,4256,3150,4294,3344,4392,3567,4502,3804,4620,3818,4627,3842,4637,3857,4643,3869,4646,3879,4647,3890,4648,3899,4648,3906,4645,3913,4642,3920,4637,3952,4606,3954,4602,3958,4591,3958,4586xm4162,4386l4162,4382,4159,4375,4157,4372,4154,4369,3402,3617,3399,3614,3391,3612,3388,3612,3384,3612,3376,3616,3370,3619,3360,3627,3348,3639,3340,3649,3335,3659,3333,3663,3332,3667,3332,3671,3335,3678,3337,3682,4092,4437,4095,4439,4102,4442,4106,4442,4109,4441,4114,4440,4124,4435,4135,4426,4147,4414,4155,4403,4160,4394,4161,4389,4162,4386xm4485,4060l4483,4050,4481,4045,4477,4040,4434,3972,3899,3137,3889,3125,3884,3123,3880,3121,3875,3120,3870,3121,3864,3124,3853,3134,3831,3155,3823,3165,3821,3170,3820,3179,3820,3182,3824,3190,3873,3266,4349,3991,4349,3991,4283,3948,3553,3475,3544,3469,3540,3467,3536,3466,3524,3467,3520,3469,3511,3476,3489,3497,3474,3516,3472,3521,3474,3532,3476,3537,3482,3542,3488,3547,3507,3560,3575,3604,4391,4126,4398,4130,4401,4131,4404,4133,4407,4133,4414,4134,4417,4133,4420,4132,4427,4129,4430,4127,4443,4118,4471,4090,4480,4079,4482,4074,4485,4064,4485,4060xm4997,3552l4996,3545,4991,3535,4987,3529,4971,3511,4964,3504,4956,3496,4937,3479,4923,3472,4916,3470,4912,3471,4909,3472,4715,3667,4435,3388,4601,3223,4602,3220,4602,3214,4601,3210,4598,3201,4594,3196,4578,3178,4563,3163,4545,3147,4539,3143,4531,3139,4526,3138,4519,3137,4517,3139,4352,3304,4107,3059,4299,2867,4300,2864,4300,2857,4299,2854,4295,2845,4291,2839,4286,2833,4275,2821,4260,2806,4247,2794,4236,2786,4226,2781,4223,2780,4215,2779,4213,2781,3974,3019,3972,3028,3973,3039,3975,3048,3980,3058,3988,3069,3998,3080,4694,3776,4705,3786,4716,3794,4725,3798,4734,3800,4746,3802,4754,3799,4996,3558,4997,3556,4997,3552xm5431,3117l5430,3114,5429,3111,5427,3107,5424,3104,5421,3101,5418,3098,5413,3094,5406,3088,5369,3065,5185,2956,5167,2945,5135,2926,5118,2917,5085,2899,5070,2891,5056,2885,5042,2879,5028,2873,5015,2869,5002,2866,4990,2863,4981,2861,4978,2860,4967,2859,4956,2859,4946,2860,4935,2861,4940,2844,4942,2827,4944,2810,4945,2793,4944,2775,4942,2758,4938,2740,4933,2721,4926,2703,4918,2685,4909,2666,4897,2647,4884,2629,4869,2610,4852,2591,4848,2586,4848,2798,4846,2813,4843,2827,4837,2841,4830,2855,4820,2869,4809,2882,4745,2945,4483,2682,4537,2628,4546,2619,4555,2611,4563,2604,4570,2598,4579,2592,4588,2587,4597,2583,4619,2577,4641,2576,4663,2578,4685,2586,4708,2597,4730,2611,4753,2629,4776,2650,4789,2665,4802,2679,4813,2694,4823,2708,4831,2724,4838,2739,4843,2754,4846,2769,4848,2784,4848,2798,4848,2586,4838,2576,4834,2571,4813,2552,4793,2534,4773,2518,4752,2504,4732,2492,4712,2482,4691,2474,4671,2467,4651,2463,4631,2460,4611,2459,4592,2461,4573,2464,4554,2469,4536,2477,4517,2486,4510,2491,4501,2497,4492,2504,4485,2510,4477,2517,4469,2525,4460,2534,4408,2586,4356,2637,4351,2643,4348,2652,4349,2662,4352,2672,4357,2682,4364,2692,4375,2704,5100,3429,5103,3431,5107,3433,5110,3434,5113,3434,5117,3433,5122,3432,5126,3430,5132,3427,5136,3423,5142,3419,5155,3406,5159,3400,5163,3396,5166,3390,5168,3386,5168,3382,5169,3378,5170,3374,5168,3371,5167,3367,5164,3364,4931,3131,4829,3029,4851,3007,4872,2986,4884,2976,4896,2968,4908,2962,4921,2958,4934,2956,4948,2956,4963,2957,4978,2960,4993,2964,5010,2970,5026,2977,5043,2985,5061,2994,5079,3004,5098,3015,5117,3026,5289,3131,5346,3165,5352,3169,5357,3172,5362,3174,5366,3176,5370,3176,5375,3175,5380,3175,5384,3173,5389,3169,5394,3166,5400,3161,5414,3147,5419,3141,5423,3136,5427,3131,5429,3126,5431,3117xm5698,2786l5696,2760,5691,2734,5683,2707,5672,2680,5659,2653,5642,2625,5622,2598,5600,2570,5574,2543,5551,2521,5528,2502,5505,2485,5483,2471,5462,2460,5441,2451,5420,2443,5399,2437,5379,2434,5359,2431,5339,2430,5320,2430,5301,2431,5282,2432,5246,2437,5192,2445,5157,2449,5140,2450,5123,2450,5106,2449,5089,2447,5073,2444,5056,2439,5039,2433,5023,2425,5007,2414,4990,2401,4974,2386,4963,2375,4953,2363,4945,2351,4937,2339,4930,2327,4924,2314,4920,2302,4917,2290,4915,2278,4915,2266,4916,2254,4918,2242,4922,2230,4928,2219,4936,2208,4945,2198,4957,2188,4968,2179,4980,2172,4993,2167,5006,2163,5019,2160,5031,2158,5043,2156,5065,2155,5095,2153,5102,2152,5107,2147,5107,2141,5105,2135,5094,2120,5084,2108,5057,2080,5046,2072,5034,2062,5027,2058,5014,2053,5008,2052,4998,2053,4984,2053,4973,2055,4963,2057,4941,2062,4930,2066,4919,2071,4909,2076,4898,2081,4888,2087,4878,2094,4870,2102,4861,2109,4846,2126,4834,2143,4824,2162,4816,2181,4810,2202,4807,2224,4806,2246,4808,2268,4813,2291,4820,2315,4829,2339,4842,2363,4857,2388,4874,2413,4895,2437,4918,2462,4941,2484,4964,2504,4987,2520,5009,2533,5031,2545,5052,2554,5073,2562,5093,2568,5113,2573,5133,2575,5153,2577,5172,2577,5191,2577,5210,2575,5246,2571,5317,2560,5335,2558,5352,2557,5368,2557,5385,2558,5401,2560,5418,2563,5435,2568,5451,2575,5468,2583,5484,2593,5501,2606,5517,2622,5532,2637,5545,2652,5556,2668,5565,2683,5573,2699,5579,2714,5584,2729,5587,2743,5588,2758,5588,2772,5586,2786,5582,2799,5577,2812,5571,2824,5562,2836,5553,2847,5538,2860,5524,2870,5509,2879,5493,2885,5477,2890,5462,2894,5448,2897,5434,2899,5421,2900,5409,2901,5397,2901,5374,2901,5365,2903,5360,2908,5359,2910,5359,2916,5360,2920,5365,2929,5369,2935,5387,2955,5405,2973,5413,2980,5421,2986,5428,2991,5436,2998,5445,3002,5453,3003,5460,3006,5471,3006,5496,3005,5508,3003,5520,3001,5533,2998,5546,2994,5559,2990,5573,2984,5586,2977,5600,2969,5613,2960,5626,2950,5638,2938,5654,2920,5668,2901,5680,2880,5689,2858,5695,2835,5698,2811,5698,2786xm5942,2605l5942,2602,5940,2595,5937,2591,5934,2588,5182,1837,5179,1834,5172,1831,5168,1831,5164,1832,5156,1835,5151,1838,5140,1846,5128,1858,5124,1864,5120,1869,5115,1879,5114,1882,5113,1887,5113,1891,5115,1898,5117,1901,5872,2656,5876,2659,5883,2661,5886,2662,5890,2660,5894,2659,5904,2654,5915,2646,5927,2634,5935,2623,5938,2618,5940,2614,5942,2605xm6227,2320l6227,2317,6224,2310,6222,2307,5542,1627,5681,1488,5683,1486,5683,1482,5682,1475,5679,1470,5677,1466,5673,1460,5657,1442,5649,1434,5641,1426,5622,1409,5616,1405,5607,1400,5603,1399,5596,1399,5593,1400,5251,1743,5250,1745,5250,1749,5250,1752,5251,1756,5256,1765,5260,1771,5265,1777,5271,1783,5277,1790,5292,1806,5299,1812,5306,1817,5311,1822,5317,1826,5326,1831,5329,1832,5336,1832,5339,1831,5478,1692,6157,2371,6161,2374,6168,2377,6171,2377,6175,2375,6179,2375,6189,2369,6200,2361,6212,2349,6217,2343,6220,2338,6225,2329,6226,2324,6227,2320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Compiled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Author, 2014.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3"/>
          <w:numId w:val="16"/>
        </w:numPr>
        <w:tabs>
          <w:tab w:pos="1771" w:val="left" w:leader="none"/>
          <w:tab w:pos="1772" w:val="left" w:leader="none"/>
        </w:tabs>
        <w:spacing w:line="240" w:lineRule="auto" w:before="79" w:after="0"/>
        <w:ind w:left="1771" w:right="0" w:hanging="961"/>
        <w:jc w:val="left"/>
      </w:pPr>
      <w:bookmarkStart w:name="_TOC_250009" w:id="64"/>
      <w:r>
        <w:rPr/>
        <w:t>Dynamics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bookmarkEnd w:id="64"/>
      <w:r>
        <w:rPr/>
        <w:t>to Exports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8"/>
        <w:jc w:val="both"/>
      </w:pPr>
      <w:r>
        <w:rPr/>
        <w:drawing>
          <wp:anchor distT="0" distB="0" distL="0" distR="0" allowOverlap="1" layoutInCell="1" locked="0" behindDoc="1" simplePos="0" relativeHeight="477987328">
            <wp:simplePos x="0" y="0"/>
            <wp:positionH relativeFrom="page">
              <wp:posOffset>1485138</wp:posOffset>
            </wp:positionH>
            <wp:positionV relativeFrom="paragraph">
              <wp:posOffset>1180631</wp:posOffset>
            </wp:positionV>
            <wp:extent cx="5102225" cy="5044439"/>
            <wp:effectExtent l="0" t="0" r="0" b="0"/>
            <wp:wrapNone/>
            <wp:docPr id="2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coefficient of the lagged residual in the ECM model reported in Table 5.9 shows that</w:t>
      </w:r>
      <w:r>
        <w:rPr>
          <w:spacing w:val="1"/>
        </w:rPr>
        <w:t> </w:t>
      </w:r>
      <w:r>
        <w:rPr/>
        <w:t>the speed of Adjustment towards equilibrium following a shock to the system for exports.</w:t>
      </w:r>
      <w:r>
        <w:rPr>
          <w:spacing w:val="-57"/>
        </w:rPr>
        <w:t> </w:t>
      </w:r>
      <w:r>
        <w:rPr/>
        <w:t>The coefficient has the right sign (-0.635).   Signifying that around 64 percent of the</w:t>
      </w:r>
      <w:r>
        <w:rPr>
          <w:spacing w:val="1"/>
        </w:rPr>
        <w:t> </w:t>
      </w:r>
      <w:r>
        <w:rPr/>
        <w:t>export adjustment to equilibrium occurs after one period.</w:t>
      </w:r>
      <w:r>
        <w:rPr>
          <w:spacing w:val="1"/>
        </w:rPr>
        <w:t> </w:t>
      </w:r>
      <w:r>
        <w:rPr/>
        <w:t>This is also relatively slower</w:t>
      </w:r>
      <w:r>
        <w:rPr>
          <w:spacing w:val="1"/>
        </w:rPr>
        <w:t> </w:t>
      </w:r>
      <w:r>
        <w:rPr/>
        <w:t>than that of the overall current account balance with 89 percent speed of adjustment to</w:t>
      </w:r>
      <w:r>
        <w:rPr>
          <w:spacing w:val="1"/>
        </w:rPr>
        <w:t> </w:t>
      </w:r>
      <w:r>
        <w:rPr/>
        <w:t>equilibrium in the</w:t>
      </w:r>
      <w:r>
        <w:rPr>
          <w:spacing w:val="-1"/>
        </w:rPr>
        <w:t> </w:t>
      </w:r>
      <w:r>
        <w:rPr/>
        <w:t>long</w:t>
      </w:r>
      <w:r>
        <w:rPr>
          <w:spacing w:val="-2"/>
        </w:rPr>
        <w:t> </w:t>
      </w:r>
      <w:r>
        <w:rPr/>
        <w:t>run.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811" w:right="994"/>
        <w:jc w:val="both"/>
      </w:pPr>
      <w:r>
        <w:rPr/>
        <w:t>The short-run and long-run elasticities of exports are respectively 0.235 and 0.680.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 that export responds to exchange rate much higher in the long-run than in the</w:t>
      </w:r>
      <w:r>
        <w:rPr>
          <w:spacing w:val="1"/>
        </w:rPr>
        <w:t> </w:t>
      </w:r>
      <w:r>
        <w:rPr/>
        <w:t>short-run.</w:t>
      </w:r>
      <w:r>
        <w:rPr>
          <w:spacing w:val="1"/>
        </w:rPr>
        <w:t> </w:t>
      </w:r>
      <w:r>
        <w:rPr/>
        <w:t>Other variables such as domestic GDP and world price index significantly</w:t>
      </w:r>
      <w:r>
        <w:rPr>
          <w:spacing w:val="1"/>
        </w:rPr>
        <w:t> </w:t>
      </w:r>
      <w:r>
        <w:rPr/>
        <w:t>influence exports.</w:t>
      </w:r>
      <w:r>
        <w:rPr>
          <w:spacing w:val="61"/>
        </w:rPr>
        <w:t> </w:t>
      </w:r>
      <w:r>
        <w:rPr/>
        <w:t>The economic intuition is that when income increases, people may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 tendency</w:t>
      </w:r>
      <w:r>
        <w:rPr>
          <w:spacing w:val="-5"/>
        </w:rPr>
        <w:t> </w:t>
      </w:r>
      <w:r>
        <w:rPr/>
        <w:t>to invest while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time consuming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ever before.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251" w:val="left" w:leader="none"/>
        </w:tabs>
        <w:spacing w:after="42"/>
      </w:pPr>
      <w:r>
        <w:rPr/>
        <w:drawing>
          <wp:anchor distT="0" distB="0" distL="0" distR="0" allowOverlap="1" layoutInCell="1" locked="0" behindDoc="1" simplePos="0" relativeHeight="477987840">
            <wp:simplePos x="0" y="0"/>
            <wp:positionH relativeFrom="page">
              <wp:posOffset>1485138</wp:posOffset>
            </wp:positionH>
            <wp:positionV relativeFrom="paragraph">
              <wp:posOffset>1642530</wp:posOffset>
            </wp:positionV>
            <wp:extent cx="5102225" cy="5044439"/>
            <wp:effectExtent l="0" t="0" r="0" b="0"/>
            <wp:wrapNone/>
            <wp:docPr id="2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5.9:</w:t>
        <w:tab/>
        <w:t>Short</w:t>
      </w:r>
      <w:r>
        <w:rPr>
          <w:spacing w:val="-1"/>
        </w:rPr>
        <w:t> </w:t>
      </w:r>
      <w:r>
        <w:rPr/>
        <w:t>Run</w:t>
      </w:r>
      <w:r>
        <w:rPr>
          <w:spacing w:val="-2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 Exports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Sierra</w:t>
      </w:r>
      <w:r>
        <w:rPr>
          <w:spacing w:val="-2"/>
        </w:rPr>
        <w:t> </w:t>
      </w:r>
      <w:r>
        <w:rPr/>
        <w:t>Leone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0"/>
        <w:gridCol w:w="2609"/>
        <w:gridCol w:w="1839"/>
      </w:tblGrid>
      <w:tr>
        <w:trPr>
          <w:trHeight w:val="613" w:hRule="atLeast"/>
        </w:trPr>
        <w:tc>
          <w:tcPr>
            <w:tcW w:w="362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2609" w:type="dxa"/>
          </w:tcPr>
          <w:p>
            <w:pPr>
              <w:pStyle w:val="TableParagraph"/>
              <w:spacing w:line="275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1839" w:type="dxa"/>
          </w:tcPr>
          <w:p>
            <w:pPr>
              <w:pStyle w:val="TableParagraph"/>
              <w:spacing w:line="275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345" w:hRule="atLeast"/>
        </w:trPr>
        <w:tc>
          <w:tcPr>
            <w:tcW w:w="362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260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866" w:right="861"/>
              <w:jc w:val="center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183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627" w:right="621"/>
              <w:jc w:val="center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</w:tr>
      <w:tr>
        <w:trPr>
          <w:trHeight w:val="443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left="151"/>
              <w:rPr>
                <w:sz w:val="14"/>
              </w:rPr>
            </w:pPr>
            <w:r>
              <w:rPr>
                <w:i/>
                <w:sz w:val="24"/>
              </w:rPr>
              <w:t>DLEX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20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866" w:right="954"/>
              <w:jc w:val="center"/>
              <w:rPr>
                <w:sz w:val="24"/>
              </w:rPr>
            </w:pPr>
            <w:r>
              <w:rPr>
                <w:sz w:val="24"/>
              </w:rPr>
              <w:t>-0.154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618"/>
              <w:rPr>
                <w:sz w:val="24"/>
              </w:rPr>
            </w:pPr>
            <w:r>
              <w:rPr>
                <w:sz w:val="24"/>
              </w:rPr>
              <w:t>0.080*</w:t>
            </w:r>
          </w:p>
        </w:tc>
      </w:tr>
      <w:tr>
        <w:trPr>
          <w:trHeight w:val="454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0" w:lineRule="exact" w:before="135"/>
              <w:ind w:left="152"/>
              <w:rPr>
                <w:i/>
                <w:sz w:val="14"/>
              </w:rPr>
            </w:pPr>
            <w:r>
              <w:rPr>
                <w:i/>
                <w:w w:val="105"/>
                <w:sz w:val="24"/>
              </w:rPr>
              <w:t>DLREER</w:t>
            </w:r>
            <w:r>
              <w:rPr>
                <w:i/>
                <w:w w:val="105"/>
                <w:position w:val="-5"/>
                <w:sz w:val="14"/>
              </w:rPr>
              <w:t>t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866" w:right="911"/>
              <w:jc w:val="center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587"/>
              <w:rPr>
                <w:sz w:val="24"/>
              </w:rPr>
            </w:pPr>
            <w:r>
              <w:rPr>
                <w:sz w:val="24"/>
              </w:rPr>
              <w:t>0.072***</w:t>
            </w:r>
          </w:p>
        </w:tc>
      </w:tr>
      <w:tr>
        <w:trPr>
          <w:trHeight w:val="405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94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d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66" w:right="911"/>
              <w:jc w:val="center"/>
              <w:rPr>
                <w:sz w:val="24"/>
              </w:rPr>
            </w:pPr>
            <w:r>
              <w:rPr>
                <w:sz w:val="24"/>
              </w:rPr>
              <w:t>2.886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587"/>
              <w:rPr>
                <w:sz w:val="24"/>
              </w:rPr>
            </w:pPr>
            <w:r>
              <w:rPr>
                <w:sz w:val="24"/>
              </w:rPr>
              <w:t>1.354**</w:t>
            </w:r>
          </w:p>
        </w:tc>
      </w:tr>
      <w:tr>
        <w:trPr>
          <w:trHeight w:val="210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left="908"/>
              <w:rPr>
                <w:sz w:val="14"/>
              </w:rPr>
            </w:pPr>
            <w:r>
              <w:rPr>
                <w:i/>
                <w:spacing w:val="-2"/>
                <w:sz w:val="14"/>
              </w:rPr>
              <w:t>t</w:t>
            </w:r>
            <w:r>
              <w:rPr>
                <w:i/>
                <w:spacing w:val="-22"/>
                <w:sz w:val="14"/>
              </w:rPr>
              <w:t> </w:t>
            </w:r>
            <w:r>
              <w:rPr>
                <w:rFonts w:ascii="Symbol" w:hAnsi="Symbol"/>
                <w:spacing w:val="-2"/>
                <w:sz w:val="14"/>
              </w:rPr>
              <w:t></w:t>
            </w:r>
            <w:r>
              <w:rPr>
                <w:spacing w:val="-2"/>
                <w:sz w:val="14"/>
              </w:rPr>
              <w:t>1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39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 w:before="94"/>
              <w:ind w:left="151"/>
              <w:rPr>
                <w:i/>
                <w:sz w:val="24"/>
              </w:rPr>
            </w:pPr>
            <w:r>
              <w:rPr>
                <w:i/>
                <w:sz w:val="24"/>
              </w:rPr>
              <w:t>DLCPI</w:t>
            </w:r>
            <w:r>
              <w:rPr>
                <w:i/>
                <w:sz w:val="24"/>
                <w:vertAlign w:val="superscript"/>
              </w:rPr>
              <w:t>d</w:t>
            </w:r>
          </w:p>
          <w:p>
            <w:pPr>
              <w:pStyle w:val="TableParagraph"/>
              <w:spacing w:line="106" w:lineRule="exact"/>
              <w:ind w:left="855"/>
              <w:rPr>
                <w:sz w:val="14"/>
              </w:rPr>
            </w:pPr>
            <w:r>
              <w:rPr>
                <w:i/>
                <w:sz w:val="14"/>
              </w:rPr>
              <w:t>t</w:t>
            </w:r>
            <w:r>
              <w:rPr>
                <w:i/>
                <w:spacing w:val="-20"/>
                <w:sz w:val="14"/>
              </w:rPr>
              <w:t> 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2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6"/>
              <w:ind w:left="841" w:right="1007"/>
              <w:jc w:val="center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6"/>
              <w:ind w:left="587"/>
              <w:rPr>
                <w:sz w:val="24"/>
              </w:rPr>
            </w:pPr>
            <w:r>
              <w:rPr>
                <w:sz w:val="24"/>
              </w:rPr>
              <w:t>0.421</w:t>
            </w:r>
          </w:p>
        </w:tc>
      </w:tr>
      <w:tr>
        <w:trPr>
          <w:trHeight w:val="434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52"/>
              <w:rPr>
                <w:sz w:val="14"/>
              </w:rPr>
            </w:pPr>
            <w:r>
              <w:rPr>
                <w:i/>
                <w:sz w:val="24"/>
              </w:rPr>
              <w:t>DLWPI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22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9"/>
              <w:ind w:left="841" w:right="1007"/>
              <w:jc w:val="center"/>
              <w:rPr>
                <w:sz w:val="24"/>
              </w:rPr>
            </w:pPr>
            <w:r>
              <w:rPr>
                <w:sz w:val="24"/>
              </w:rPr>
              <w:t>1.206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9"/>
              <w:ind w:left="587"/>
              <w:rPr>
                <w:sz w:val="24"/>
              </w:rPr>
            </w:pPr>
            <w:r>
              <w:rPr>
                <w:sz w:val="24"/>
              </w:rPr>
              <w:t>0.693*</w:t>
            </w:r>
          </w:p>
        </w:tc>
      </w:tr>
      <w:tr>
        <w:trPr>
          <w:trHeight w:val="587" w:hRule="atLeast"/>
        </w:trPr>
        <w:tc>
          <w:tcPr>
            <w:tcW w:w="3620" w:type="dxa"/>
            <w:tcBorders>
              <w:top w:val="nil"/>
            </w:tcBorders>
          </w:tcPr>
          <w:p>
            <w:pPr>
              <w:pStyle w:val="TableParagraph"/>
              <w:spacing w:before="107"/>
              <w:ind w:left="152"/>
              <w:rPr>
                <w:sz w:val="14"/>
              </w:rPr>
            </w:pPr>
            <w:r>
              <w:rPr>
                <w:i/>
                <w:sz w:val="24"/>
              </w:rPr>
              <w:t>ECM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21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609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800" w:right="1007"/>
              <w:jc w:val="center"/>
              <w:rPr>
                <w:sz w:val="24"/>
              </w:rPr>
            </w:pPr>
            <w:r>
              <w:rPr>
                <w:sz w:val="24"/>
              </w:rPr>
              <w:t>-0.635</w:t>
            </w:r>
          </w:p>
        </w:tc>
        <w:tc>
          <w:tcPr>
            <w:tcW w:w="1839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558"/>
              <w:rPr>
                <w:sz w:val="24"/>
              </w:rPr>
            </w:pPr>
            <w:r>
              <w:rPr>
                <w:sz w:val="24"/>
              </w:rPr>
              <w:t>0.075***</w:t>
            </w:r>
          </w:p>
        </w:tc>
      </w:tr>
      <w:tr>
        <w:trPr>
          <w:trHeight w:val="344" w:hRule="atLeast"/>
        </w:trPr>
        <w:tc>
          <w:tcPr>
            <w:tcW w:w="622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R-bar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183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0.525</w:t>
            </w:r>
          </w:p>
        </w:tc>
      </w:tr>
      <w:tr>
        <w:trPr>
          <w:trHeight w:val="482" w:hRule="atLeast"/>
        </w:trPr>
        <w:tc>
          <w:tcPr>
            <w:tcW w:w="622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839" w:type="dxa"/>
            <w:tcBorders>
              <w:top w:val="nil"/>
            </w:tcBorders>
          </w:tcPr>
          <w:p>
            <w:pPr>
              <w:pStyle w:val="TableParagraph"/>
              <w:spacing w:before="6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9.55[0.000]</w:t>
            </w:r>
          </w:p>
        </w:tc>
      </w:tr>
    </w:tbl>
    <w:p>
      <w:pPr>
        <w:pStyle w:val="BodyText"/>
        <w:ind w:left="811"/>
      </w:pPr>
      <w:r>
        <w:rPr/>
        <w:t>Note:</w:t>
      </w:r>
      <w:r>
        <w:rPr>
          <w:spacing w:val="-2"/>
        </w:rPr>
        <w:t> </w:t>
      </w:r>
      <w:r>
        <w:rPr/>
        <w:t>***,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means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1%,</w:t>
      </w:r>
      <w:r>
        <w:rPr>
          <w:spacing w:val="1"/>
        </w:rPr>
        <w:t> </w:t>
      </w:r>
      <w:r>
        <w:rPr/>
        <w:t>5%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10%,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9"/>
        <w:rPr>
          <w:sz w:val="30"/>
        </w:rPr>
      </w:pPr>
    </w:p>
    <w:p>
      <w:pPr>
        <w:spacing w:before="0"/>
        <w:ind w:left="811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Compiled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Author, 2014.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3"/>
          <w:numId w:val="16"/>
        </w:numPr>
        <w:tabs>
          <w:tab w:pos="1831" w:val="left" w:leader="none"/>
          <w:tab w:pos="1832" w:val="left" w:leader="none"/>
        </w:tabs>
        <w:spacing w:line="240" w:lineRule="auto" w:before="79" w:after="0"/>
        <w:ind w:left="1831" w:right="0" w:hanging="1021"/>
        <w:jc w:val="left"/>
      </w:pPr>
      <w:bookmarkStart w:name="_TOC_250008" w:id="65"/>
      <w:r>
        <w:rPr/>
        <w:t>Dynamics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Imports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Sierra</w:t>
      </w:r>
      <w:r>
        <w:rPr>
          <w:spacing w:val="-1"/>
        </w:rPr>
        <w:t> </w:t>
      </w:r>
      <w:bookmarkEnd w:id="65"/>
      <w:r>
        <w:rPr/>
        <w:t>Leone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7988352">
            <wp:simplePos x="0" y="0"/>
            <wp:positionH relativeFrom="page">
              <wp:posOffset>1485138</wp:posOffset>
            </wp:positionH>
            <wp:positionV relativeFrom="paragraph">
              <wp:posOffset>1265975</wp:posOffset>
            </wp:positionV>
            <wp:extent cx="5102225" cy="5044439"/>
            <wp:effectExtent l="0" t="0" r="0" b="0"/>
            <wp:wrapNone/>
            <wp:docPr id="22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short-run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elasticity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exchange rate depreciation is lower than that in the long run. This implies that when</w:t>
      </w:r>
      <w:r>
        <w:rPr>
          <w:spacing w:val="1"/>
        </w:rPr>
        <w:t> </w:t>
      </w:r>
      <w:r>
        <w:rPr/>
        <w:t>exchange rate depreciates, import is expected to fall.</w:t>
      </w:r>
      <w:r>
        <w:rPr>
          <w:spacing w:val="1"/>
        </w:rPr>
        <w:t> </w:t>
      </w:r>
      <w:r>
        <w:rPr/>
        <w:t>But the percentage fall in imports is</w:t>
      </w:r>
      <w:r>
        <w:rPr>
          <w:spacing w:val="1"/>
        </w:rPr>
        <w:t> </w:t>
      </w:r>
      <w:r>
        <w:rPr/>
        <w:t>not as much as the percentage increases in export.   This in turn leads to deterioration in</w:t>
      </w:r>
      <w:r>
        <w:rPr>
          <w:spacing w:val="1"/>
        </w:rPr>
        <w:t> </w:t>
      </w:r>
      <w:r>
        <w:rPr/>
        <w:t>the trade balance shortly following the depreciation.</w:t>
      </w:r>
      <w:r>
        <w:rPr>
          <w:spacing w:val="1"/>
        </w:rPr>
        <w:t> </w:t>
      </w:r>
      <w:r>
        <w:rPr/>
        <w:t>The implication is that, consumers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switch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consumptions especially to locally produced goods.</w:t>
      </w:r>
      <w:r>
        <w:rPr>
          <w:spacing w:val="1"/>
        </w:rPr>
        <w:t> </w:t>
      </w:r>
      <w:r>
        <w:rPr/>
        <w:t>It is, therefore apparent that imports</w:t>
      </w:r>
      <w:r>
        <w:rPr>
          <w:spacing w:val="1"/>
        </w:rPr>
        <w:t> </w:t>
      </w:r>
      <w:r>
        <w:rPr/>
        <w:t>will tend to fall but not as much as export would increase in order to have a positive trade</w:t>
      </w:r>
      <w:r>
        <w:rPr>
          <w:spacing w:val="1"/>
        </w:rPr>
        <w:t> </w:t>
      </w:r>
      <w:r>
        <w:rPr/>
        <w:t>balance following a depreciation of the exchange rate.</w:t>
      </w:r>
      <w:r>
        <w:rPr>
          <w:spacing w:val="1"/>
        </w:rPr>
        <w:t> </w:t>
      </w:r>
      <w:r>
        <w:rPr/>
        <w:t>This will lead to verify for Sierra</w:t>
      </w:r>
      <w:r>
        <w:rPr>
          <w:spacing w:val="1"/>
        </w:rPr>
        <w:t> </w:t>
      </w:r>
      <w:r>
        <w:rPr/>
        <w:t>Leone the</w:t>
      </w:r>
      <w:r>
        <w:rPr>
          <w:spacing w:val="1"/>
        </w:rPr>
        <w:t> </w:t>
      </w:r>
      <w:r>
        <w:rPr/>
        <w:t>Marshall-Lerner condition</w:t>
      </w:r>
      <w:r>
        <w:rPr>
          <w:spacing w:val="60"/>
        </w:rPr>
        <w:t> </w:t>
      </w:r>
      <w:r>
        <w:rPr/>
        <w:t>of the sum of elasticities of imports and exports to</w:t>
      </w:r>
      <w:r>
        <w:rPr>
          <w:spacing w:val="1"/>
        </w:rPr>
        <w:t> </w:t>
      </w:r>
      <w:r>
        <w:rPr/>
        <w:t>be greater than one for exchange rate depreciation to have a significant impact on balance</w:t>
      </w:r>
      <w:r>
        <w:rPr>
          <w:spacing w:val="1"/>
        </w:rPr>
        <w:t> </w:t>
      </w:r>
      <w:r>
        <w:rPr/>
        <w:t>of payments.</w:t>
      </w:r>
      <w:r>
        <w:rPr>
          <w:spacing w:val="60"/>
        </w:rPr>
        <w:t> </w:t>
      </w:r>
      <w:r>
        <w:rPr/>
        <w:t>If the elasticity of real imports is smaller than real exports, the increase in</w:t>
      </w:r>
      <w:r>
        <w:rPr>
          <w:spacing w:val="1"/>
        </w:rPr>
        <w:t> </w:t>
      </w:r>
      <w:r>
        <w:rPr/>
        <w:t>the nominal value of imports exceeds the increase in the nominal value of exports and</w:t>
      </w:r>
      <w:r>
        <w:rPr>
          <w:spacing w:val="1"/>
        </w:rPr>
        <w:t> </w:t>
      </w:r>
      <w:r>
        <w:rPr/>
        <w:t>exchange rate depreciation worsens the trade balance.</w:t>
      </w:r>
      <w:r>
        <w:rPr>
          <w:spacing w:val="1"/>
        </w:rPr>
        <w:t> </w:t>
      </w:r>
      <w:r>
        <w:rPr/>
        <w:t>Equally, if the economy is heavily</w:t>
      </w:r>
      <w:r>
        <w:rPr>
          <w:spacing w:val="1"/>
        </w:rPr>
        <w:t> </w:t>
      </w:r>
      <w:r>
        <w:rPr/>
        <w:t>dependent on imports for major economic activities will produce a lower elasticity of</w:t>
      </w:r>
      <w:r>
        <w:rPr>
          <w:spacing w:val="1"/>
        </w:rPr>
        <w:t> </w:t>
      </w:r>
      <w:r>
        <w:rPr/>
        <w:t>imports.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J-Curve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changes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 rate on trade balance and eventually the current account balance. 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Kouri</w:t>
      </w:r>
      <w:r>
        <w:rPr>
          <w:spacing w:val="1"/>
        </w:rPr>
        <w:t> </w:t>
      </w:r>
      <w:r>
        <w:rPr/>
        <w:t>(1976),</w:t>
      </w:r>
      <w:r>
        <w:rPr>
          <w:spacing w:val="1"/>
        </w:rPr>
        <w:t> </w:t>
      </w:r>
      <w:r>
        <w:rPr/>
        <w:t>Al-bri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Goodwin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Kandil</w:t>
      </w:r>
      <w:r>
        <w:rPr>
          <w:spacing w:val="1"/>
        </w:rPr>
        <w:t> </w:t>
      </w:r>
      <w:r>
        <w:rPr/>
        <w:t>(2009),</w:t>
      </w:r>
      <w:r>
        <w:rPr>
          <w:spacing w:val="60"/>
        </w:rPr>
        <w:t> </w:t>
      </w:r>
      <w:r>
        <w:rPr/>
        <w:t>Petrovic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Mirjana (2009) also showed that exchange rate depreciation improves trade balance in the</w:t>
      </w:r>
      <w:r>
        <w:rPr>
          <w:spacing w:val="-57"/>
        </w:rPr>
        <w:t> </w:t>
      </w:r>
      <w:r>
        <w:rPr/>
        <w:t>long-run, while</w:t>
      </w:r>
      <w:r>
        <w:rPr>
          <w:spacing w:val="1"/>
        </w:rPr>
        <w:t> </w:t>
      </w:r>
      <w:r>
        <w:rPr/>
        <w:t>given rise</w:t>
      </w:r>
      <w:r>
        <w:rPr>
          <w:spacing w:val="-1"/>
        </w:rPr>
        <w:t> </w:t>
      </w:r>
      <w:r>
        <w:rPr/>
        <w:t>to a J-curve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in the short-run.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251" w:val="left" w:leader="none"/>
        </w:tabs>
        <w:spacing w:after="42"/>
      </w:pPr>
      <w:r>
        <w:rPr/>
        <w:drawing>
          <wp:anchor distT="0" distB="0" distL="0" distR="0" allowOverlap="1" layoutInCell="1" locked="0" behindDoc="1" simplePos="0" relativeHeight="477988864">
            <wp:simplePos x="0" y="0"/>
            <wp:positionH relativeFrom="page">
              <wp:posOffset>1485138</wp:posOffset>
            </wp:positionH>
            <wp:positionV relativeFrom="paragraph">
              <wp:posOffset>1642530</wp:posOffset>
            </wp:positionV>
            <wp:extent cx="5102225" cy="5044439"/>
            <wp:effectExtent l="0" t="0" r="0" b="0"/>
            <wp:wrapNone/>
            <wp:docPr id="23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5.10:</w:t>
        <w:tab/>
        <w:t>Short</w:t>
      </w:r>
      <w:r>
        <w:rPr>
          <w:spacing w:val="-1"/>
        </w:rPr>
        <w:t> </w:t>
      </w:r>
      <w:r>
        <w:rPr/>
        <w:t>Run</w:t>
      </w:r>
      <w:r>
        <w:rPr>
          <w:spacing w:val="-2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Solutions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Imports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Sierra</w:t>
      </w:r>
      <w:r>
        <w:rPr>
          <w:spacing w:val="-2"/>
        </w:rPr>
        <w:t> </w:t>
      </w:r>
      <w:r>
        <w:rPr/>
        <w:t>Leone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341"/>
        <w:gridCol w:w="2250"/>
      </w:tblGrid>
      <w:tr>
        <w:trPr>
          <w:trHeight w:val="414" w:hRule="atLeast"/>
        </w:trPr>
        <w:tc>
          <w:tcPr>
            <w:tcW w:w="3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341" w:type="dxa"/>
          </w:tcPr>
          <w:p>
            <w:pPr>
              <w:pStyle w:val="TableParagraph"/>
              <w:spacing w:line="275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2250" w:type="dxa"/>
          </w:tcPr>
          <w:p>
            <w:pPr>
              <w:pStyle w:val="TableParagraph"/>
              <w:spacing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345" w:hRule="atLeast"/>
        </w:trPr>
        <w:tc>
          <w:tcPr>
            <w:tcW w:w="326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705"/>
              <w:rPr>
                <w:sz w:val="24"/>
              </w:rPr>
            </w:pPr>
            <w:r>
              <w:rPr>
                <w:sz w:val="24"/>
              </w:rPr>
              <w:t>0.168</w:t>
            </w:r>
          </w:p>
        </w:tc>
        <w:tc>
          <w:tcPr>
            <w:tcW w:w="225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671"/>
              <w:rPr>
                <w:sz w:val="24"/>
              </w:rPr>
            </w:pPr>
            <w:r>
              <w:rPr>
                <w:sz w:val="24"/>
              </w:rPr>
              <w:t>0.057***</w:t>
            </w:r>
          </w:p>
        </w:tc>
      </w:tr>
      <w:tr>
        <w:trPr>
          <w:trHeight w:val="442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1"/>
              <w:ind w:left="151"/>
              <w:rPr>
                <w:sz w:val="14"/>
              </w:rPr>
            </w:pPr>
            <w:r>
              <w:rPr>
                <w:i/>
                <w:sz w:val="24"/>
              </w:rPr>
              <w:t>DLIM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19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705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644"/>
              <w:rPr>
                <w:sz w:val="24"/>
              </w:rPr>
            </w:pPr>
            <w:r>
              <w:rPr>
                <w:sz w:val="24"/>
              </w:rPr>
              <w:t>0.074**</w:t>
            </w:r>
          </w:p>
        </w:tc>
      </w:tr>
      <w:tr>
        <w:trPr>
          <w:trHeight w:val="544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51"/>
              <w:rPr>
                <w:sz w:val="14"/>
              </w:rPr>
            </w:pPr>
            <w:r>
              <w:rPr>
                <w:i/>
                <w:sz w:val="24"/>
              </w:rPr>
              <w:t>DLIM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18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2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585"/>
              <w:rPr>
                <w:sz w:val="24"/>
              </w:rPr>
            </w:pPr>
            <w:r>
              <w:rPr>
                <w:sz w:val="24"/>
              </w:rPr>
              <w:t>-0.109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644"/>
              <w:rPr>
                <w:sz w:val="24"/>
              </w:rPr>
            </w:pPr>
            <w:r>
              <w:rPr>
                <w:sz w:val="24"/>
              </w:rPr>
              <w:t>0.080</w:t>
            </w:r>
          </w:p>
        </w:tc>
      </w:tr>
      <w:tr>
        <w:trPr>
          <w:trHeight w:val="591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left="152"/>
              <w:rPr>
                <w:i/>
                <w:sz w:val="14"/>
              </w:rPr>
            </w:pPr>
            <w:r>
              <w:rPr>
                <w:i/>
                <w:w w:val="105"/>
                <w:sz w:val="24"/>
              </w:rPr>
              <w:t>DLREER</w:t>
            </w:r>
            <w:r>
              <w:rPr>
                <w:i/>
                <w:w w:val="105"/>
                <w:position w:val="-5"/>
                <w:sz w:val="14"/>
              </w:rPr>
              <w:t>t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253" w:lineRule="exact"/>
              <w:ind w:left="585"/>
              <w:rPr>
                <w:sz w:val="24"/>
              </w:rPr>
            </w:pPr>
            <w:r>
              <w:rPr>
                <w:sz w:val="24"/>
              </w:rPr>
              <w:t>-1.096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253" w:lineRule="exact"/>
              <w:ind w:left="644"/>
              <w:rPr>
                <w:sz w:val="24"/>
              </w:rPr>
            </w:pPr>
            <w:r>
              <w:rPr>
                <w:sz w:val="24"/>
              </w:rPr>
              <w:t>0.210***</w:t>
            </w:r>
          </w:p>
        </w:tc>
      </w:tr>
      <w:tr>
        <w:trPr>
          <w:trHeight w:val="464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52"/>
              <w:rPr>
                <w:sz w:val="14"/>
              </w:rPr>
            </w:pPr>
            <w:r>
              <w:rPr>
                <w:i/>
                <w:spacing w:val="-2"/>
                <w:sz w:val="24"/>
              </w:rPr>
              <w:t>DLREER</w:t>
            </w:r>
            <w:r>
              <w:rPr>
                <w:i/>
                <w:spacing w:val="-2"/>
                <w:position w:val="-5"/>
                <w:sz w:val="14"/>
              </w:rPr>
              <w:t>t</w:t>
            </w:r>
            <w:r>
              <w:rPr>
                <w:i/>
                <w:spacing w:val="-22"/>
                <w:position w:val="-5"/>
                <w:sz w:val="14"/>
              </w:rPr>
              <w:t> </w:t>
            </w:r>
            <w:r>
              <w:rPr>
                <w:rFonts w:ascii="Symbol" w:hAnsi="Symbol"/>
                <w:spacing w:val="-2"/>
                <w:position w:val="-5"/>
                <w:sz w:val="14"/>
              </w:rPr>
              <w:t></w:t>
            </w:r>
            <w:r>
              <w:rPr>
                <w:spacing w:val="-2"/>
                <w:position w:val="-5"/>
                <w:sz w:val="14"/>
              </w:rPr>
              <w:t>1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585"/>
              <w:rPr>
                <w:sz w:val="24"/>
              </w:rPr>
            </w:pPr>
            <w:r>
              <w:rPr>
                <w:sz w:val="24"/>
              </w:rPr>
              <w:t>-0.372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644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</w:tr>
      <w:tr>
        <w:trPr>
          <w:trHeight w:val="439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 w:before="39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d</w:t>
            </w:r>
          </w:p>
          <w:p>
            <w:pPr>
              <w:pStyle w:val="TableParagraph"/>
              <w:spacing w:line="106" w:lineRule="exact"/>
              <w:ind w:left="910"/>
              <w:rPr>
                <w:sz w:val="14"/>
              </w:rPr>
            </w:pPr>
            <w:r>
              <w:rPr>
                <w:i/>
                <w:sz w:val="14"/>
              </w:rPr>
              <w:t>t</w:t>
            </w:r>
            <w:r>
              <w:rPr>
                <w:i/>
                <w:spacing w:val="-20"/>
                <w:sz w:val="14"/>
              </w:rPr>
              <w:t> 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2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left="645"/>
              <w:rPr>
                <w:sz w:val="24"/>
              </w:rPr>
            </w:pPr>
            <w:r>
              <w:rPr>
                <w:sz w:val="24"/>
              </w:rPr>
              <w:t>1.658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left="644"/>
              <w:rPr>
                <w:sz w:val="24"/>
              </w:rPr>
            </w:pPr>
            <w:r>
              <w:rPr>
                <w:sz w:val="24"/>
              </w:rPr>
              <w:t>0.977*</w:t>
            </w:r>
          </w:p>
        </w:tc>
      </w:tr>
      <w:tr>
        <w:trPr>
          <w:trHeight w:val="448" w:hRule="atLeast"/>
        </w:trPr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151"/>
              <w:rPr>
                <w:sz w:val="14"/>
              </w:rPr>
            </w:pPr>
            <w:r>
              <w:rPr>
                <w:i/>
                <w:spacing w:val="-1"/>
                <w:sz w:val="24"/>
              </w:rPr>
              <w:t>DLMS</w:t>
            </w:r>
            <w:r>
              <w:rPr>
                <w:i/>
                <w:spacing w:val="-1"/>
                <w:position w:val="-5"/>
                <w:sz w:val="14"/>
              </w:rPr>
              <w:t>t</w:t>
            </w:r>
            <w:r>
              <w:rPr>
                <w:i/>
                <w:spacing w:val="-22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645"/>
              <w:rPr>
                <w:sz w:val="24"/>
              </w:rPr>
            </w:pPr>
            <w:r>
              <w:rPr>
                <w:sz w:val="24"/>
              </w:rPr>
              <w:t>0.655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644"/>
              <w:rPr>
                <w:sz w:val="24"/>
              </w:rPr>
            </w:pPr>
            <w:r>
              <w:rPr>
                <w:sz w:val="24"/>
              </w:rPr>
              <w:t>0.603***</w:t>
            </w:r>
          </w:p>
        </w:tc>
      </w:tr>
      <w:tr>
        <w:trPr>
          <w:trHeight w:val="628" w:hRule="atLeast"/>
        </w:trPr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spacing w:before="139"/>
              <w:ind w:left="152"/>
              <w:rPr>
                <w:sz w:val="14"/>
              </w:rPr>
            </w:pPr>
            <w:r>
              <w:rPr>
                <w:i/>
                <w:sz w:val="24"/>
              </w:rPr>
              <w:t>ECM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21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341" w:type="dxa"/>
            <w:tcBorders>
              <w:top w:val="nil"/>
            </w:tcBorders>
          </w:tcPr>
          <w:p>
            <w:pPr>
              <w:pStyle w:val="TableParagraph"/>
              <w:spacing w:before="30"/>
              <w:ind w:left="525"/>
              <w:rPr>
                <w:sz w:val="24"/>
              </w:rPr>
            </w:pPr>
            <w:r>
              <w:rPr>
                <w:sz w:val="24"/>
              </w:rPr>
              <w:t>-0.531</w:t>
            </w:r>
          </w:p>
        </w:tc>
        <w:tc>
          <w:tcPr>
            <w:tcW w:w="2250" w:type="dxa"/>
            <w:tcBorders>
              <w:top w:val="nil"/>
            </w:tcBorders>
          </w:tcPr>
          <w:p>
            <w:pPr>
              <w:pStyle w:val="TableParagraph"/>
              <w:spacing w:before="30"/>
              <w:ind w:left="644"/>
              <w:rPr>
                <w:sz w:val="24"/>
              </w:rPr>
            </w:pPr>
            <w:r>
              <w:rPr>
                <w:sz w:val="24"/>
              </w:rPr>
              <w:t>0.083***</w:t>
            </w:r>
          </w:p>
        </w:tc>
      </w:tr>
      <w:tr>
        <w:trPr>
          <w:trHeight w:val="344" w:hRule="atLeast"/>
        </w:trPr>
        <w:tc>
          <w:tcPr>
            <w:tcW w:w="560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R-bar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225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84"/>
              <w:rPr>
                <w:sz w:val="24"/>
              </w:rPr>
            </w:pPr>
            <w:r>
              <w:rPr>
                <w:sz w:val="24"/>
              </w:rPr>
              <w:t>0.407</w:t>
            </w:r>
          </w:p>
        </w:tc>
      </w:tr>
      <w:tr>
        <w:trPr>
          <w:trHeight w:val="485" w:hRule="atLeast"/>
        </w:trPr>
        <w:tc>
          <w:tcPr>
            <w:tcW w:w="560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2250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464"/>
              <w:rPr>
                <w:sz w:val="24"/>
              </w:rPr>
            </w:pPr>
            <w:r>
              <w:rPr>
                <w:sz w:val="24"/>
              </w:rPr>
              <w:t>14.727[0.000]</w:t>
            </w:r>
          </w:p>
        </w:tc>
      </w:tr>
    </w:tbl>
    <w:p>
      <w:pPr>
        <w:pStyle w:val="BodyText"/>
        <w:ind w:left="811"/>
      </w:pPr>
      <w:r>
        <w:rPr/>
        <w:t>Note:</w:t>
      </w:r>
      <w:r>
        <w:rPr>
          <w:spacing w:val="-2"/>
        </w:rPr>
        <w:t> </w:t>
      </w:r>
      <w:r>
        <w:rPr/>
        <w:t>***,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means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1%,</w:t>
      </w:r>
      <w:r>
        <w:rPr>
          <w:spacing w:val="1"/>
        </w:rPr>
        <w:t> </w:t>
      </w:r>
      <w:r>
        <w:rPr/>
        <w:t>5%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10%,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11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Compiled 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Author, 2014.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2"/>
        <w:numPr>
          <w:ilvl w:val="3"/>
          <w:numId w:val="16"/>
        </w:numPr>
        <w:tabs>
          <w:tab w:pos="1711" w:val="left" w:leader="none"/>
          <w:tab w:pos="1712" w:val="left" w:leader="none"/>
        </w:tabs>
        <w:spacing w:line="240" w:lineRule="auto" w:before="90" w:after="0"/>
        <w:ind w:left="1711" w:right="0" w:hanging="901"/>
        <w:jc w:val="left"/>
      </w:pPr>
      <w:bookmarkStart w:name="_TOC_250007" w:id="66"/>
      <w:r>
        <w:rPr/>
        <w:t>Dynamics</w:t>
      </w:r>
      <w:r>
        <w:rPr>
          <w:spacing w:val="-2"/>
        </w:rPr>
        <w:t> </w:t>
      </w:r>
      <w:r>
        <w:rPr/>
        <w:t>Solutions</w:t>
      </w:r>
      <w:r>
        <w:rPr>
          <w:spacing w:val="-2"/>
        </w:rPr>
        <w:t> </w:t>
      </w:r>
      <w:r>
        <w:rPr/>
        <w:t>to Investment</w:t>
      </w:r>
      <w:r>
        <w:rPr>
          <w:spacing w:val="-2"/>
        </w:rPr>
        <w:t> </w:t>
      </w:r>
      <w:bookmarkEnd w:id="66"/>
      <w:r>
        <w:rPr/>
        <w:t>Equation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 w:before="1"/>
        <w:ind w:left="811" w:right="1003"/>
        <w:jc w:val="both"/>
      </w:pPr>
      <w:r>
        <w:rPr/>
        <w:t>The short-run dynamic results presented in Table 5.10 indicate that exchange rate and</w:t>
      </w:r>
      <w:r>
        <w:rPr>
          <w:spacing w:val="1"/>
        </w:rPr>
        <w:t> </w:t>
      </w:r>
      <w:r>
        <w:rPr/>
        <w:t>openness of the economy play significant role in affecting foreign direct investment in</w:t>
      </w:r>
      <w:r>
        <w:rPr>
          <w:spacing w:val="1"/>
        </w:rPr>
        <w:t> </w:t>
      </w:r>
      <w:r>
        <w:rPr/>
        <w:t>Sierra</w:t>
      </w:r>
      <w:r>
        <w:rPr>
          <w:spacing w:val="-1"/>
        </w:rPr>
        <w:t> </w:t>
      </w:r>
      <w:r>
        <w:rPr/>
        <w:t>Leone.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811" w:right="994"/>
        <w:jc w:val="both"/>
      </w:pPr>
      <w:r>
        <w:rPr/>
        <w:drawing>
          <wp:anchor distT="0" distB="0" distL="0" distR="0" allowOverlap="1" layoutInCell="1" locked="0" behindDoc="1" simplePos="0" relativeHeight="477989376">
            <wp:simplePos x="0" y="0"/>
            <wp:positionH relativeFrom="page">
              <wp:posOffset>1485138</wp:posOffset>
            </wp:positionH>
            <wp:positionV relativeFrom="paragraph">
              <wp:posOffset>123610</wp:posOffset>
            </wp:positionV>
            <wp:extent cx="5102225" cy="5044439"/>
            <wp:effectExtent l="0" t="0" r="0" b="0"/>
            <wp:wrapNone/>
            <wp:docPr id="23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Kandil (2009) put it, higher openness of one country, compared to its competitors, is</w:t>
      </w:r>
      <w:r>
        <w:rPr>
          <w:spacing w:val="1"/>
        </w:rPr>
        <w:t> </w:t>
      </w:r>
      <w:r>
        <w:rPr/>
        <w:t>likely to increase foreign direct investment and financial inflows. Combes et al., (2011)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forty-two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exchange</w:t>
      </w:r>
      <w:r>
        <w:rPr>
          <w:spacing w:val="61"/>
        </w:rPr>
        <w:t> </w:t>
      </w:r>
      <w:r>
        <w:rPr/>
        <w:t>rate</w:t>
      </w:r>
      <w:r>
        <w:rPr>
          <w:spacing w:val="1"/>
        </w:rPr>
        <w:t> </w:t>
      </w:r>
      <w:r>
        <w:rPr/>
        <w:t>depreciation</w:t>
      </w:r>
      <w:r>
        <w:rPr>
          <w:spacing w:val="-1"/>
        </w:rPr>
        <w:t> </w:t>
      </w:r>
      <w:r>
        <w:rPr/>
        <w:t>attracts portfolio investment</w:t>
      </w:r>
    </w:p>
    <w:p>
      <w:pPr>
        <w:pStyle w:val="BodyText"/>
        <w:spacing w:line="360" w:lineRule="auto" w:before="202"/>
        <w:ind w:left="811" w:right="1004"/>
        <w:jc w:val="both"/>
      </w:pPr>
      <w:r>
        <w:rPr/>
        <w:t>In Sierra Leone, openness is relatively higher than all other variables.</w:t>
      </w:r>
      <w:r>
        <w:rPr>
          <w:spacing w:val="1"/>
        </w:rPr>
        <w:t> </w:t>
      </w:r>
      <w:r>
        <w:rPr/>
        <w:t>A 10 percent</w:t>
      </w:r>
      <w:r>
        <w:rPr>
          <w:spacing w:val="1"/>
        </w:rPr>
        <w:t> </w:t>
      </w:r>
      <w:r>
        <w:rPr/>
        <w:t>increase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trade</w:t>
      </w:r>
      <w:r>
        <w:rPr>
          <w:spacing w:val="33"/>
        </w:rPr>
        <w:t> </w:t>
      </w:r>
      <w:r>
        <w:rPr/>
        <w:t>openness</w:t>
      </w:r>
      <w:r>
        <w:rPr>
          <w:spacing w:val="35"/>
        </w:rPr>
        <w:t> </w:t>
      </w:r>
      <w:r>
        <w:rPr/>
        <w:t>will</w:t>
      </w:r>
      <w:r>
        <w:rPr>
          <w:spacing w:val="36"/>
        </w:rPr>
        <w:t> </w:t>
      </w:r>
      <w:r>
        <w:rPr/>
        <w:t>increase</w:t>
      </w:r>
      <w:r>
        <w:rPr>
          <w:spacing w:val="34"/>
        </w:rPr>
        <w:t> </w:t>
      </w:r>
      <w:r>
        <w:rPr/>
        <w:t>foreign</w:t>
      </w:r>
      <w:r>
        <w:rPr>
          <w:spacing w:val="37"/>
        </w:rPr>
        <w:t> </w:t>
      </w:r>
      <w:r>
        <w:rPr/>
        <w:t>direct</w:t>
      </w:r>
      <w:r>
        <w:rPr>
          <w:spacing w:val="35"/>
        </w:rPr>
        <w:t> </w:t>
      </w:r>
      <w:r>
        <w:rPr/>
        <w:t>investment</w:t>
      </w:r>
      <w:r>
        <w:rPr>
          <w:spacing w:val="36"/>
        </w:rPr>
        <w:t> </w:t>
      </w:r>
      <w:r>
        <w:rPr/>
        <w:t>by</w:t>
      </w:r>
      <w:r>
        <w:rPr>
          <w:spacing w:val="29"/>
        </w:rPr>
        <w:t> </w:t>
      </w:r>
      <w:r>
        <w:rPr/>
        <w:t>over</w:t>
      </w:r>
      <w:r>
        <w:rPr>
          <w:spacing w:val="34"/>
        </w:rPr>
        <w:t> </w:t>
      </w:r>
      <w:r>
        <w:rPr/>
        <w:t>8.8</w:t>
      </w:r>
      <w:r>
        <w:rPr>
          <w:spacing w:val="34"/>
        </w:rPr>
        <w:t> </w:t>
      </w:r>
      <w:r>
        <w:rPr/>
        <w:t>percent.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pStyle w:val="Heading2"/>
      </w:pPr>
      <w:r>
        <w:rPr/>
        <w:t>Table</w:t>
      </w:r>
      <w:r>
        <w:rPr>
          <w:spacing w:val="-2"/>
        </w:rPr>
        <w:t> </w:t>
      </w:r>
      <w:r>
        <w:rPr/>
        <w:t>5.11:</w:t>
      </w:r>
      <w:r>
        <w:rPr>
          <w:spacing w:val="56"/>
        </w:rPr>
        <w:t> </w:t>
      </w:r>
      <w:r>
        <w:rPr/>
        <w:t>Short</w:t>
      </w:r>
      <w:r>
        <w:rPr>
          <w:spacing w:val="-1"/>
        </w:rPr>
        <w:t> </w:t>
      </w:r>
      <w:r>
        <w:rPr/>
        <w:t>Run</w:t>
      </w:r>
      <w:r>
        <w:rPr>
          <w:spacing w:val="-3"/>
        </w:rPr>
        <w:t> </w:t>
      </w:r>
      <w:r>
        <w:rPr/>
        <w:t>Dynamic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 Investment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9"/>
        <w:gridCol w:w="2432"/>
        <w:gridCol w:w="2250"/>
      </w:tblGrid>
      <w:tr>
        <w:trPr>
          <w:trHeight w:val="414" w:hRule="atLeast"/>
        </w:trPr>
        <w:tc>
          <w:tcPr>
            <w:tcW w:w="2989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432" w:type="dxa"/>
          </w:tcPr>
          <w:p>
            <w:pPr>
              <w:pStyle w:val="TableParagraph"/>
              <w:spacing w:before="1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2250" w:type="dxa"/>
          </w:tcPr>
          <w:p>
            <w:pPr>
              <w:pStyle w:val="TableParagraph"/>
              <w:spacing w:before="1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345" w:hRule="atLeast"/>
        </w:trPr>
        <w:tc>
          <w:tcPr>
            <w:tcW w:w="2989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2432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3.311</w:t>
            </w:r>
          </w:p>
        </w:tc>
        <w:tc>
          <w:tcPr>
            <w:tcW w:w="225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2.978</w:t>
            </w:r>
          </w:p>
        </w:tc>
      </w:tr>
      <w:tr>
        <w:trPr>
          <w:trHeight w:val="445" w:hRule="atLeast"/>
        </w:trPr>
        <w:tc>
          <w:tcPr>
            <w:tcW w:w="2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152"/>
              <w:rPr>
                <w:i/>
                <w:sz w:val="14"/>
              </w:rPr>
            </w:pPr>
            <w:r>
              <w:rPr>
                <w:i/>
                <w:w w:val="105"/>
                <w:sz w:val="24"/>
              </w:rPr>
              <w:t>DLREER</w:t>
            </w:r>
            <w:r>
              <w:rPr>
                <w:i/>
                <w:w w:val="105"/>
                <w:position w:val="-5"/>
                <w:sz w:val="14"/>
              </w:rPr>
              <w:t>t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587"/>
              <w:rPr>
                <w:sz w:val="24"/>
              </w:rPr>
            </w:pPr>
            <w:r>
              <w:rPr>
                <w:sz w:val="24"/>
              </w:rPr>
              <w:t>0.314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671"/>
              <w:rPr>
                <w:sz w:val="24"/>
              </w:rPr>
            </w:pPr>
            <w:r>
              <w:rPr>
                <w:sz w:val="24"/>
              </w:rPr>
              <w:t>11.803**</w:t>
            </w:r>
          </w:p>
        </w:tc>
      </w:tr>
      <w:tr>
        <w:trPr>
          <w:trHeight w:val="554" w:hRule="atLeast"/>
        </w:trPr>
        <w:tc>
          <w:tcPr>
            <w:tcW w:w="2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152"/>
              <w:rPr>
                <w:i/>
                <w:sz w:val="14"/>
              </w:rPr>
            </w:pPr>
            <w:r>
              <w:rPr>
                <w:i/>
                <w:w w:val="105"/>
                <w:sz w:val="24"/>
              </w:rPr>
              <w:t>LOPENESS</w:t>
            </w:r>
            <w:r>
              <w:rPr>
                <w:i/>
                <w:w w:val="105"/>
                <w:position w:val="-5"/>
                <w:sz w:val="14"/>
              </w:rPr>
              <w:t>t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587"/>
              <w:rPr>
                <w:sz w:val="24"/>
              </w:rPr>
            </w:pPr>
            <w:r>
              <w:rPr>
                <w:sz w:val="24"/>
              </w:rPr>
              <w:t>0.876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524"/>
              <w:rPr>
                <w:sz w:val="24"/>
              </w:rPr>
            </w:pPr>
            <w:r>
              <w:rPr>
                <w:sz w:val="24"/>
              </w:rPr>
              <w:t>98.572***</w:t>
            </w:r>
          </w:p>
        </w:tc>
      </w:tr>
      <w:tr>
        <w:trPr>
          <w:trHeight w:val="587" w:hRule="atLeast"/>
        </w:trPr>
        <w:tc>
          <w:tcPr>
            <w:tcW w:w="29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5"/>
              <w:ind w:left="152"/>
              <w:rPr>
                <w:i/>
                <w:sz w:val="14"/>
              </w:rPr>
            </w:pPr>
            <w:r>
              <w:rPr>
                <w:i/>
                <w:w w:val="105"/>
                <w:sz w:val="24"/>
              </w:rPr>
              <w:t>DTBR</w:t>
            </w:r>
            <w:r>
              <w:rPr>
                <w:i/>
                <w:w w:val="105"/>
                <w:position w:val="-5"/>
                <w:sz w:val="14"/>
              </w:rPr>
              <w:t>t</w:t>
            </w:r>
          </w:p>
        </w:tc>
        <w:tc>
          <w:tcPr>
            <w:tcW w:w="2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63" w:lineRule="exact"/>
              <w:ind w:left="587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63" w:lineRule="exact"/>
              <w:ind w:left="584"/>
              <w:rPr>
                <w:sz w:val="24"/>
              </w:rPr>
            </w:pPr>
            <w:r>
              <w:rPr>
                <w:sz w:val="24"/>
              </w:rPr>
              <w:t>1.270</w:t>
            </w:r>
          </w:p>
        </w:tc>
      </w:tr>
      <w:tr>
        <w:trPr>
          <w:trHeight w:val="550" w:hRule="atLeast"/>
        </w:trPr>
        <w:tc>
          <w:tcPr>
            <w:tcW w:w="2989" w:type="dxa"/>
            <w:tcBorders>
              <w:top w:val="nil"/>
            </w:tcBorders>
          </w:tcPr>
          <w:p>
            <w:pPr>
              <w:pStyle w:val="TableParagraph"/>
              <w:spacing w:line="311" w:lineRule="exact"/>
              <w:ind w:left="152"/>
              <w:rPr>
                <w:sz w:val="14"/>
              </w:rPr>
            </w:pPr>
            <w:r>
              <w:rPr>
                <w:i/>
                <w:sz w:val="24"/>
              </w:rPr>
              <w:t>ECM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21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432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527"/>
              <w:rPr>
                <w:sz w:val="24"/>
              </w:rPr>
            </w:pPr>
            <w:r>
              <w:rPr>
                <w:sz w:val="24"/>
              </w:rPr>
              <w:t>-0.344</w:t>
            </w:r>
          </w:p>
        </w:tc>
        <w:tc>
          <w:tcPr>
            <w:tcW w:w="2250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464"/>
              <w:rPr>
                <w:sz w:val="24"/>
              </w:rPr>
            </w:pPr>
            <w:r>
              <w:rPr>
                <w:sz w:val="24"/>
              </w:rPr>
              <w:t>-11.929**</w:t>
            </w:r>
          </w:p>
        </w:tc>
      </w:tr>
      <w:tr>
        <w:trPr>
          <w:trHeight w:val="345" w:hRule="atLeast"/>
        </w:trPr>
        <w:tc>
          <w:tcPr>
            <w:tcW w:w="542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R-bar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225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0.841</w:t>
            </w:r>
          </w:p>
        </w:tc>
      </w:tr>
      <w:tr>
        <w:trPr>
          <w:trHeight w:val="816" w:hRule="atLeast"/>
        </w:trPr>
        <w:tc>
          <w:tcPr>
            <w:tcW w:w="542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2250" w:type="dxa"/>
            <w:tcBorders>
              <w:top w:val="nil"/>
            </w:tcBorders>
          </w:tcPr>
          <w:p>
            <w:pPr>
              <w:pStyle w:val="TableParagraph"/>
              <w:spacing w:before="65"/>
              <w:ind w:left="524"/>
              <w:rPr>
                <w:sz w:val="24"/>
              </w:rPr>
            </w:pPr>
            <w:r>
              <w:rPr>
                <w:sz w:val="24"/>
              </w:rPr>
              <w:t>6.014[0.000]</w:t>
            </w:r>
          </w:p>
        </w:tc>
      </w:tr>
    </w:tbl>
    <w:p>
      <w:pPr>
        <w:pStyle w:val="BodyText"/>
        <w:ind w:left="811"/>
      </w:pPr>
      <w:r>
        <w:rPr/>
        <w:pict>
          <v:shape style="position:absolute;margin-left:281.300018pt;margin-top:-100.026909pt;width:237.4pt;height:230.5pt;mso-position-horizontal-relative:page;mso-position-vertical-relative:paragraph;z-index:-25326080" coordorigin="5626,-2001" coordsize="4748,4610" path="m6603,2552l6602,2549,6600,2542,6597,2539,6306,2248,6268,2176,6080,1815,6004,1670,5993,1650,5983,1638,5979,1635,5969,1633,5964,1635,5957,1639,5944,1650,5928,1665,5923,1671,5916,1681,5914,1685,5912,1693,5912,1697,5917,1710,5921,1715,6079,2008,6115,2072,6178,2180,6177,2181,6002,2081,5929,2042,5783,1964,5705,1921,5696,1918,5692,1917,5684,1918,5680,1920,5675,1922,5670,1926,5658,1936,5642,1952,5632,1964,5628,1970,5626,1975,5628,1985,5631,1989,5637,1994,5643,1999,5664,2010,5736,2049,6098,2237,6242,2313,6532,2603,6536,2606,6542,2609,6546,2609,6550,2607,6554,2607,6564,2601,6569,2598,6575,2594,6587,2581,6592,2575,6595,2571,6600,2561,6601,2556,6603,2552xm7274,1820l7274,1783,7268,1744,7258,1704,7242,1664,7223,1622,7199,1578,7170,1534,7161,1521,7161,1793,7157,1819,7148,1844,7133,1868,7115,1889,7093,1909,7070,1923,7045,1933,7020,1937,6994,1938,6967,1935,6939,1928,6909,1917,6880,1903,6849,1886,6818,1866,6786,1842,6753,1815,6720,1787,6687,1756,6652,1722,6622,1691,6594,1660,6567,1628,6541,1596,6518,1565,6499,1534,6482,1503,6469,1472,6458,1443,6451,1414,6447,1386,6447,1358,6451,1332,6460,1307,6474,1284,6493,1262,6515,1244,6537,1229,6562,1220,6587,1215,6614,1215,6641,1218,6669,1224,6698,1234,6728,1249,6759,1266,6790,1286,6821,1309,6854,1335,6886,1363,6919,1393,6952,1425,6983,1457,7012,1489,7039,1521,7064,1553,7088,1585,7108,1616,7125,1647,7139,1677,7150,1707,7157,1737,7161,1765,7161,1793,7161,1521,7137,1489,7100,1443,7059,1397,7013,1349,6966,1304,6921,1263,6876,1226,6860,1215,6832,1194,6790,1166,6749,1143,6709,1125,6670,1111,6633,1101,6596,1097,6562,1097,6528,1102,6496,1111,6465,1126,6436,1145,6408,1170,6383,1198,6363,1229,6348,1261,6339,1295,6335,1332,6336,1369,6341,1407,6351,1446,6366,1487,6386,1529,6409,1573,6438,1617,6470,1661,6507,1707,6547,1752,6591,1798,6639,1844,6685,1886,6731,1923,6775,1956,6817,1984,6859,2008,6899,2027,6938,2041,6975,2051,7011,2055,7046,2055,7080,2051,7113,2042,7144,2027,7173,2007,7201,1982,7227,1954,7237,1938,7247,1923,7261,1890,7270,1856,7274,1820xm7572,1583l7572,1579,7569,1571,7567,1569,7239,1241,7409,1070,7410,1068,7410,1061,7409,1057,7404,1048,7400,1042,7385,1024,7369,1008,7361,1001,7355,996,7349,991,7344,988,7336,984,7332,983,7328,983,7325,983,7323,984,7153,1155,6887,889,7068,709,7069,707,7069,703,7068,696,7063,687,7059,681,7043,663,7035,655,7027,647,7008,630,6993,621,6989,620,6982,620,6980,621,6753,848,6750,856,6752,867,6754,877,6759,886,6767,897,6777,908,7502,1633,7505,1635,7513,1639,7516,1639,7520,1638,7524,1637,7534,1632,7539,1628,7545,1623,7557,1611,7565,1600,7570,1591,7571,1586,7572,1583xm8101,1054l8100,1051,8098,1044,8095,1040,8092,1037,7340,286,7337,283,7330,280,7327,280,7322,281,7318,282,7309,287,7298,295,7286,307,7278,318,7273,327,7272,331,7271,336,7271,340,7274,347,7276,350,8031,1105,8034,1108,8041,1110,8044,1111,8048,1109,8053,1108,8063,1103,8073,1095,8086,1083,8090,1077,8094,1072,8099,1062,8099,1058,8101,1054xm8456,626l8456,610,8454,593,8451,577,8448,560,8442,542,8436,525,8428,507,8419,489,8409,471,8397,452,8383,434,8369,416,8352,397,8346,390,8346,593,8345,607,8343,620,8340,633,8335,645,8328,657,8320,669,8310,680,8216,774,7941,499,8018,422,8024,416,8034,408,8049,396,8063,387,8078,380,8093,376,8108,373,8124,373,8139,374,8155,378,8171,383,8188,390,8204,398,8221,409,8238,422,8255,437,8273,453,8288,469,8301,486,8313,502,8323,517,8331,533,8337,549,8341,564,8344,578,8346,593,8346,390,8335,379,8328,373,8315,360,8295,343,8275,327,8254,314,8234,301,8214,291,8195,283,8190,281,8176,276,8158,271,8139,268,8122,266,8105,265,8089,267,8073,270,8059,275,8046,281,8048,268,8048,254,8048,240,8046,225,8043,211,8039,196,8034,181,8028,166,8021,152,8013,137,8004,122,7993,108,7982,93,7971,79,7964,71,7964,265,7964,278,7962,291,7958,304,7952,317,7943,330,7932,343,7859,416,7606,164,7673,97,7686,84,7700,74,7713,66,7726,61,7739,57,7751,56,7765,56,7777,57,7791,61,7805,66,7818,73,7832,81,7846,91,7860,102,7874,114,7888,127,7900,140,7912,153,7923,167,7933,181,7941,195,7949,210,7955,224,7959,237,7962,251,7964,265,7964,71,7958,65,7950,56,7945,50,7921,29,7898,9,7875,-8,7852,-23,7829,-36,7806,-45,7784,-53,7762,-58,7740,-59,7719,-59,7698,-55,7677,-49,7656,-40,7635,-28,7614,-11,7592,9,7481,119,7476,125,7473,134,7474,145,7477,154,7482,164,7489,174,7500,186,8195,881,8206,892,8217,899,8227,904,8236,906,8247,908,8256,905,8387,774,8389,772,8402,759,8413,745,8423,731,8431,717,8438,703,8444,689,8449,674,8452,658,8454,642,8456,626xm9020,141l9019,136,9017,131,9014,126,9009,121,9003,116,8995,110,8984,103,8889,42,8609,-134,8609,-23,8440,146,8179,-259,8135,-327,8135,-327,8135,-327,8609,-23,8609,-134,8304,-327,8097,-458,8091,-461,8086,-465,8081,-466,8076,-467,8072,-466,8062,-463,8056,-460,8050,-456,8044,-451,8038,-444,8030,-436,8022,-429,8016,-423,8012,-417,8008,-412,8005,-406,8004,-402,8002,-396,8001,-392,8003,-388,8004,-383,8007,-378,8010,-373,8053,-305,8370,198,8571,515,8578,526,8584,534,8589,539,8594,545,8600,548,8604,549,8609,550,8614,549,8620,545,8625,542,8632,536,8646,522,8651,516,8655,510,8659,506,8661,501,8661,496,8662,492,8662,488,8660,484,8659,481,8657,477,8654,472,8617,415,8506,245,8605,146,8709,42,8940,190,8945,193,8949,195,8953,196,8956,197,8960,198,8963,196,8968,196,8972,194,8978,189,8983,185,9005,164,9010,157,9014,151,9018,146,9020,141xm9323,-274l9321,-313,9314,-352,9302,-393,9285,-436,9263,-479,9236,-525,9213,-558,9213,-310,9212,-283,9207,-257,9198,-232,9186,-207,9168,-183,9147,-160,9080,-93,8473,-700,8539,-766,8565,-789,8590,-806,8617,-819,8644,-826,8672,-829,8700,-829,8729,-825,8759,-817,8790,-806,8821,-792,8852,-774,8884,-754,8916,-730,8948,-704,8980,-676,9012,-645,9049,-606,9083,-568,9113,-532,9138,-497,9160,-463,9178,-430,9193,-398,9203,-368,9210,-338,9213,-310,9213,-558,9204,-571,9166,-619,9124,-667,9076,-718,9032,-759,8988,-797,8947,-829,8945,-831,8902,-860,8860,-885,8819,-906,8778,-923,8738,-935,8700,-942,8662,-945,8625,-943,8590,-937,8555,-925,8522,-908,8489,-885,8457,-856,8341,-740,8338,-731,8339,-721,8342,-711,8347,-701,8354,-691,8365,-679,9060,16,9072,27,9082,34,9092,39,9101,41,9112,43,9121,40,9230,-69,9252,-93,9258,-101,9282,-133,9300,-167,9313,-201,9320,-237,9323,-274xm9940,-779l9939,-784,9937,-789,9934,-794,9929,-799,9923,-805,9916,-810,9905,-817,9810,-878,9529,-1054,9529,-943,9360,-774,9099,-1179,9055,-1247,9055,-1247,9529,-943,9529,-1054,9224,-1247,9017,-1379,9011,-1382,9006,-1385,8996,-1387,8992,-1386,8987,-1385,8982,-1383,8976,-1380,8971,-1376,8965,-1371,8958,-1364,8950,-1356,8936,-1343,8928,-1332,8925,-1327,8924,-1322,8922,-1316,8922,-1312,8923,-1308,8924,-1303,8927,-1298,8930,-1293,9017,-1157,9289,-724,9318,-678,9491,-405,9498,-394,9504,-386,9509,-381,9514,-375,9520,-372,9529,-370,9534,-371,9540,-375,9545,-378,9552,-384,9566,-398,9571,-404,9575,-410,9579,-414,9581,-419,9581,-424,9582,-428,9582,-432,9580,-436,9579,-439,9577,-444,9574,-448,9426,-675,9525,-774,9629,-878,9860,-730,9865,-727,9869,-725,9873,-724,9876,-723,9880,-722,9883,-724,9888,-724,9892,-726,9898,-731,9903,-735,9925,-757,9930,-763,9934,-769,9938,-774,9940,-779xm10374,-1223l10372,-1235,10369,-1242,10362,-1257,10356,-1265,10348,-1273,9625,-1995,9622,-1997,9615,-2000,9611,-2001,9602,-1999,9598,-1997,9593,-1994,9582,-1985,9570,-1973,9559,-1958,9556,-1953,9555,-1944,9556,-1940,9557,-1937,9558,-1933,9560,-1931,10011,-1480,10186,-1307,10186,-1307,10037,-1385,9959,-1425,9898,-1454,9801,-1503,9573,-1617,9421,-1693,9397,-1704,9378,-1713,9366,-1717,9356,-1720,9347,-1721,9338,-1721,9330,-1720,9316,-1713,9309,-1708,9263,-1662,9260,-1652,9261,-1640,9264,-1631,9269,-1620,9277,-1609,9287,-1597,10010,-874,10013,-872,10016,-871,10020,-869,10024,-869,10028,-870,10032,-871,10042,-876,10052,-884,10065,-896,10073,-907,10076,-912,10078,-917,10078,-921,10080,-925,10080,-929,10078,-933,10077,-936,10075,-939,9533,-1480,9421,-1590,9422,-1591,9468,-1565,9565,-1514,9686,-1453,10057,-1269,10204,-1195,10233,-1182,10272,-1166,10285,-1163,10295,-1162,10305,-1160,10314,-1161,10321,-1164,10329,-1166,10336,-1171,10367,-1203,10370,-1207,10373,-1217,10374,-1223xe" filled="true" fillcolor="#ffc000" stroked="false">
            <v:path arrowok="t"/>
            <v:fill opacity="32896f" type="solid"/>
            <w10:wrap type="none"/>
          </v:shape>
        </w:pict>
      </w:r>
      <w:r>
        <w:rPr/>
        <w:t>Note:</w:t>
      </w:r>
      <w:r>
        <w:rPr>
          <w:spacing w:val="-2"/>
        </w:rPr>
        <w:t> </w:t>
      </w:r>
      <w:r>
        <w:rPr/>
        <w:t>***,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1%,</w:t>
      </w:r>
      <w:r>
        <w:rPr>
          <w:spacing w:val="1"/>
        </w:rPr>
        <w:t> </w:t>
      </w:r>
      <w:r>
        <w:rPr/>
        <w:t>5%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10%,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11" w:right="0" w:firstLine="0"/>
        <w:jc w:val="left"/>
        <w:rPr>
          <w:sz w:val="24"/>
        </w:rPr>
      </w:pPr>
      <w:r>
        <w:rPr/>
        <w:pict>
          <v:shape style="position:absolute;margin-left:116.940002pt;margin-top:74.513115pt;width:194.45pt;height:196.9pt;mso-position-horizontal-relative:page;mso-position-vertical-relative:paragraph;z-index:-25326592" coordorigin="2339,1490" coordsize="3889,3938" path="m3369,5210l3367,5180,3362,5149,3353,5118,3340,5085,3324,5052,3304,5017,3281,4983,3255,4949,3224,4914,3191,4878,2711,4399,2708,4396,2701,4394,2697,4394,2693,4394,2689,4395,2680,4400,2669,4408,2657,4421,2649,4431,2644,4441,2642,4445,2641,4449,2642,4453,2644,4460,2647,4463,3127,4943,3152,4969,3174,4994,3194,5019,3210,5043,3225,5066,3236,5089,3246,5111,3253,5132,3257,5152,3259,5172,3258,5191,3255,5209,3250,5226,3242,5242,3231,5258,3218,5272,3204,5285,3189,5295,3172,5303,3155,5308,3137,5311,3118,5312,3098,5310,3077,5305,3056,5298,3033,5289,3010,5277,2986,5262,2961,5245,2936,5225,2910,5202,2883,5176,2409,4701,2405,4699,2398,4696,2395,4696,2391,4696,2387,4698,2377,4703,2366,4711,2354,4724,2346,4734,2343,4740,2340,4748,2339,4752,2339,4755,2342,4762,2344,4766,2831,5253,2867,5287,2902,5317,2937,5344,2971,5367,3004,5386,3037,5401,3068,5413,3098,5421,3128,5426,3157,5427,3184,5425,3211,5420,3236,5411,3260,5399,3282,5384,3303,5365,3323,5342,3340,5319,3352,5293,3361,5267,3367,5239,3369,5210xm3958,4677l3956,4665,3954,4658,3946,4643,3940,4635,3932,4627,3209,3904,3207,3902,3200,3900,3195,3899,3187,3900,3182,3903,3167,3914,3155,3926,3143,3942,3141,3946,3139,3955,3140,3959,3143,3966,3145,3969,3571,4395,3770,4592,3770,4593,3696,4554,3543,4475,3482,4445,3385,4397,3081,4245,2993,4200,2972,4191,2951,4183,2940,4180,2931,4179,2923,4179,2914,4180,2901,4186,2893,4192,2847,4237,2845,4247,2846,4259,2848,4269,2853,4280,2861,4291,2872,4302,3591,5022,3597,5027,3605,5030,3608,5031,3612,5029,3616,5029,3626,5024,3631,5020,3636,5016,3649,5003,3654,4997,3657,4992,3662,4983,3663,4979,3664,4975,3664,4971,3662,4967,3661,4963,3659,4961,3141,4442,3005,4310,3006,4309,3076,4347,3150,4386,3344,4483,3567,4593,3804,4712,3818,4718,3842,4728,3857,4734,3869,4737,3879,4738,3890,4740,3899,4739,3906,4736,3913,4733,3920,4729,3952,4697,3954,4693,3958,4682,3958,4677xm4162,4477l4162,4473,4159,4466,4157,4463,4154,4460,3402,3708,3399,3706,3391,3703,3388,3703,3384,3704,3376,3707,3370,3710,3360,3718,3348,3730,3340,3740,3335,3750,3333,3754,3332,3758,3332,3762,3335,3769,3337,3773,4092,4528,4095,4530,4102,4533,4106,4533,4109,4532,4114,4531,4124,4526,4135,4518,4147,4505,4155,4495,4160,4485,4161,4481,4162,4477xm4485,4151l4483,4141,4481,4137,4477,4131,4434,4064,3899,3228,3889,3217,3884,3214,3880,3212,3875,3211,3870,3212,3864,3216,3853,3225,3831,3246,3823,3257,3821,3261,3820,3270,3820,3274,3824,3282,3873,3357,4349,4082,4349,4083,4283,4039,3553,3566,3544,3560,3540,3558,3536,3557,3524,3558,3520,3560,3511,3567,3489,3588,3474,3607,3472,3612,3474,3623,3476,3628,3482,3633,3488,3638,3507,3652,3575,3695,4391,4217,4398,4221,4401,4222,4404,4224,4407,4224,4414,4225,4417,4224,4420,4223,4427,4221,4430,4218,4443,4209,4471,4181,4480,4170,4482,4165,4485,4155,4485,4151xm4997,3643l4996,3636,4991,3626,4987,3621,4971,3602,4964,3595,4956,3587,4937,3570,4923,3563,4916,3562,4912,3562,4909,3563,4715,3758,4435,3479,4601,3314,4602,3311,4602,3305,4601,3301,4598,3293,4594,3288,4578,3270,4563,3255,4545,3238,4539,3234,4531,3230,4526,3229,4519,3229,4517,3230,4352,3395,4107,3150,4299,2958,4300,2956,4300,2949,4299,2945,4295,2936,4291,2930,4286,2924,4275,2912,4260,2897,4247,2885,4236,2877,4226,2872,4223,2871,4215,2871,4213,2872,3974,3110,3972,3119,3973,3130,3975,3139,3980,3149,3988,3160,3998,3171,4694,3867,4705,3877,4716,3885,4725,3889,4734,3891,4746,3893,4754,3891,4996,3649,4997,3647,4997,3643xm5431,3208l5430,3205,5429,3202,5427,3199,5424,3195,5421,3192,5418,3189,5413,3185,5406,3180,5369,3156,5185,3047,5167,3036,5135,3018,5118,3008,5085,2990,5070,2983,5056,2976,5042,2970,5028,2964,5015,2960,5002,2957,4990,2954,4981,2952,4978,2952,4967,2951,4956,2950,4946,2951,4935,2952,4940,2936,4942,2918,4944,2901,4945,2884,4944,2867,4942,2849,4938,2831,4933,2813,4926,2795,4918,2776,4909,2758,4897,2739,4884,2720,4869,2701,4852,2682,4848,2677,4848,2890,4846,2904,4843,2919,4837,2933,4830,2947,4820,2960,4809,2973,4745,3036,4483,2773,4537,2719,4546,2710,4555,2702,4563,2695,4570,2689,4579,2683,4588,2678,4597,2674,4619,2669,4641,2667,4663,2670,4685,2677,4708,2688,4730,2702,4753,2720,4776,2742,4789,2756,4802,2770,4813,2785,4823,2800,4831,2815,4838,2830,4843,2845,4846,2860,4848,2875,4848,2890,4848,2677,4838,2667,4834,2662,4813,2643,4793,2625,4773,2609,4752,2595,4732,2583,4712,2573,4691,2565,4671,2558,4651,2554,4631,2551,4611,2551,4592,2552,4573,2555,4554,2561,4536,2568,4517,2577,4510,2582,4501,2589,4492,2595,4485,2602,4477,2608,4469,2616,4460,2625,4408,2677,4356,2728,4351,2734,4348,2743,4349,2754,4352,2763,4357,2773,4364,2783,4375,2795,5100,3520,5103,3523,5107,3524,5110,3525,5113,3525,5117,3524,5122,3523,5126,3521,5132,3518,5136,3515,5142,3510,5155,3497,5159,3492,5163,3487,5166,3481,5168,3477,5168,3473,5169,3469,5170,3466,5168,3462,5167,3459,5164,3455,4931,3222,4829,3120,4851,3098,4872,3077,4884,3067,4896,3059,4908,3053,4921,3049,4934,3047,4948,3047,4963,3048,4978,3051,4993,3055,5010,3061,5026,3068,5043,3076,5061,3085,5079,3095,5098,3106,5117,3118,5289,3222,5346,3257,5352,3261,5357,3263,5362,3265,5366,3267,5370,3267,5375,3267,5380,3266,5384,3264,5389,3261,5394,3257,5400,3252,5414,3239,5419,3232,5423,3227,5427,3222,5429,3217,5431,3208xm5698,2877l5696,2851,5691,2825,5683,2798,5672,2771,5659,2744,5642,2716,5622,2689,5600,2661,5574,2634,5551,2612,5528,2593,5505,2576,5483,2562,5462,2551,5441,2542,5420,2535,5399,2528,5379,2525,5359,2522,5339,2521,5320,2521,5301,2522,5282,2523,5246,2528,5192,2536,5157,2540,5140,2541,5123,2542,5106,2541,5089,2539,5073,2535,5056,2531,5039,2524,5023,2516,5007,2506,4990,2493,4974,2477,4963,2466,4953,2455,4945,2443,4937,2430,4930,2418,4924,2406,4920,2393,4917,2381,4915,2369,4915,2357,4916,2345,4918,2333,4922,2321,4928,2310,4936,2300,4945,2289,4957,2279,4968,2270,4980,2263,4993,2258,5006,2254,5019,2251,5031,2249,5043,2247,5065,2246,5095,2245,5102,2243,5107,2238,5107,2233,5105,2226,5094,2211,5084,2199,5057,2172,5046,2163,5034,2153,5027,2149,5014,2145,5008,2144,4998,2144,4984,2145,4973,2146,4963,2148,4941,2153,4930,2157,4919,2162,4909,2167,4898,2172,4888,2178,4878,2185,4870,2193,4861,2201,4846,2217,4834,2235,4824,2253,4816,2273,4810,2294,4807,2315,4806,2337,4808,2359,4813,2383,4820,2406,4829,2430,4842,2454,4857,2479,4874,2504,4895,2529,4918,2553,4941,2576,4964,2595,4987,2611,5009,2624,5031,2636,5052,2646,5073,2653,5093,2659,5113,2664,5133,2667,5153,2668,5172,2668,5191,2668,5210,2666,5246,2662,5317,2651,5335,2650,5352,2649,5368,2648,5385,2649,5401,2651,5418,2655,5435,2659,5451,2666,5468,2674,5484,2685,5501,2697,5517,2713,5532,2728,5545,2744,5556,2759,5565,2774,5573,2790,5579,2805,5584,2820,5587,2834,5588,2849,5588,2863,5586,2877,5582,2890,5577,2903,5571,2916,5562,2927,5553,2938,5538,2951,5524,2962,5509,2970,5493,2976,5477,2981,5462,2985,5448,2988,5434,2990,5421,2992,5409,2992,5397,2993,5374,2992,5365,2994,5360,2999,5359,3002,5359,3008,5360,3011,5365,3021,5369,3026,5387,3046,5405,3064,5413,3071,5421,3077,5428,3082,5436,3089,5445,3093,5453,3095,5460,3097,5471,3097,5496,3096,5508,3094,5520,3092,5533,3089,5546,3085,5559,3081,5573,3075,5586,3068,5600,3060,5613,3051,5626,3041,5638,3030,5654,3012,5668,2992,5680,2971,5689,2949,5695,2926,5698,2902,5698,2877xm5942,2696l5942,2693,5940,2686,5937,2683,5934,2680,5182,1928,5179,1925,5172,1923,5168,1922,5164,1923,5156,1926,5151,1929,5140,1937,5128,1950,5124,1955,5120,1960,5115,1970,5114,1974,5113,1978,5113,1982,5115,1989,5117,1993,5872,2747,5876,2750,5883,2753,5886,2753,5890,2751,5894,2751,5904,2745,5915,2737,5927,2725,5935,2714,5938,2709,5940,2705,5942,2696xm6227,2412l6227,2408,6224,2401,6222,2398,5542,1718,5681,1580,5683,1577,5683,1573,5682,1566,5679,1561,5677,1557,5673,1552,5657,1533,5649,1525,5641,1517,5622,1500,5616,1496,5607,1491,5603,1490,5596,1490,5593,1491,5251,1834,5250,1836,5250,1840,5250,1843,5251,1847,5256,1856,5260,1862,5265,1868,5271,1875,5277,1882,5292,1897,5299,1903,5306,1908,5311,1913,5317,1917,5326,1922,5329,1923,5336,1923,5339,1922,5478,1783,6157,2463,6161,2465,6168,2468,6171,2468,6175,2467,6179,2466,6189,2461,6200,2452,6212,2440,6217,2434,6220,2429,6225,2420,6226,2415,6227,2412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Compiled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Author, 2014.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numPr>
          <w:ilvl w:val="1"/>
          <w:numId w:val="16"/>
        </w:numPr>
        <w:tabs>
          <w:tab w:pos="1531" w:val="left" w:leader="none"/>
          <w:tab w:pos="1532" w:val="left" w:leader="none"/>
        </w:tabs>
        <w:spacing w:line="240" w:lineRule="auto" w:before="79" w:after="0"/>
        <w:ind w:left="1531" w:right="0" w:hanging="721"/>
        <w:jc w:val="left"/>
      </w:pPr>
      <w:bookmarkStart w:name="_TOC_250006" w:id="67"/>
      <w:r>
        <w:rPr/>
        <w:t>The</w:t>
      </w:r>
      <w:r>
        <w:rPr>
          <w:spacing w:val="-3"/>
        </w:rPr>
        <w:t> </w:t>
      </w:r>
      <w:r>
        <w:rPr/>
        <w:t>Long</w:t>
      </w:r>
      <w:r>
        <w:rPr>
          <w:spacing w:val="-2"/>
        </w:rPr>
        <w:t> </w:t>
      </w:r>
      <w:r>
        <w:rPr/>
        <w:t>Run and</w:t>
      </w:r>
      <w:r>
        <w:rPr>
          <w:spacing w:val="-4"/>
        </w:rPr>
        <w:t> </w:t>
      </w:r>
      <w:r>
        <w:rPr/>
        <w:t>Short</w:t>
      </w:r>
      <w:r>
        <w:rPr>
          <w:spacing w:val="-2"/>
        </w:rPr>
        <w:t> </w:t>
      </w:r>
      <w:r>
        <w:rPr/>
        <w:t>Run</w:t>
      </w:r>
      <w:r>
        <w:rPr>
          <w:spacing w:val="3"/>
        </w:rPr>
        <w:t> </w:t>
      </w:r>
      <w:r>
        <w:rPr/>
        <w:t>Solutions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bookmarkEnd w:id="67"/>
      <w:r>
        <w:rPr/>
        <w:t>Pass-Through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7990912">
            <wp:simplePos x="0" y="0"/>
            <wp:positionH relativeFrom="page">
              <wp:posOffset>1485138</wp:posOffset>
            </wp:positionH>
            <wp:positionV relativeFrom="paragraph">
              <wp:posOffset>1265975</wp:posOffset>
            </wp:positionV>
            <wp:extent cx="5102225" cy="5044439"/>
            <wp:effectExtent l="0" t="0" r="0" b="0"/>
            <wp:wrapNone/>
            <wp:docPr id="23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exchange rate continues to dominate international trades,</w:t>
      </w:r>
      <w:r>
        <w:rPr>
          <w:spacing w:val="1"/>
        </w:rPr>
        <w:t> </w:t>
      </w:r>
      <w:r>
        <w:rPr/>
        <w:t>so also,</w:t>
      </w:r>
      <w:r>
        <w:rPr>
          <w:spacing w:val="1"/>
        </w:rPr>
        <w:t> </w:t>
      </w:r>
      <w:r>
        <w:rPr/>
        <w:t>it continues to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market</w:t>
      </w:r>
      <w:r>
        <w:rPr>
          <w:spacing w:val="-57"/>
        </w:rPr>
        <w:t> </w:t>
      </w:r>
      <w:r>
        <w:rPr/>
        <w:t>economy, a depreciation of domestic currency makes the acquisition of foreign currency</w:t>
      </w:r>
      <w:r>
        <w:rPr>
          <w:spacing w:val="1"/>
        </w:rPr>
        <w:t> </w:t>
      </w:r>
      <w:r>
        <w:rPr/>
        <w:t>expensive.</w:t>
      </w:r>
      <w:r>
        <w:rPr>
          <w:spacing w:val="1"/>
        </w:rPr>
        <w:t> </w:t>
      </w:r>
      <w:r>
        <w:rPr/>
        <w:t>The influence of exchange rate depreciation on imports of foreign goods and</w:t>
      </w:r>
      <w:r>
        <w:rPr>
          <w:spacing w:val="1"/>
        </w:rPr>
        <w:t> </w:t>
      </w:r>
      <w:r>
        <w:rPr/>
        <w:t>services is direct.</w:t>
      </w:r>
      <w:r>
        <w:rPr>
          <w:spacing w:val="60"/>
        </w:rPr>
        <w:t> </w:t>
      </w:r>
      <w:r>
        <w:rPr/>
        <w:t>It makes imports more costly even when there is no significant change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prices of foreign</w:t>
      </w:r>
      <w:r>
        <w:rPr>
          <w:spacing w:val="2"/>
        </w:rPr>
        <w:t> </w:t>
      </w:r>
      <w:r>
        <w:rPr/>
        <w:t>goods.</w:t>
      </w:r>
    </w:p>
    <w:p>
      <w:pPr>
        <w:pStyle w:val="BodyText"/>
        <w:spacing w:line="360" w:lineRule="auto" w:before="199"/>
        <w:ind w:left="811" w:right="994"/>
        <w:jc w:val="both"/>
      </w:pPr>
      <w:r>
        <w:rPr/>
        <w:t>In Sierra Leone, the impact of exchange</w:t>
      </w:r>
      <w:r>
        <w:rPr>
          <w:spacing w:val="60"/>
        </w:rPr>
        <w:t> </w:t>
      </w:r>
      <w:r>
        <w:rPr/>
        <w:t>rate movement on the consumer price index</w:t>
      </w:r>
      <w:r>
        <w:rPr>
          <w:spacing w:val="1"/>
        </w:rPr>
        <w:t> </w:t>
      </w:r>
      <w:r>
        <w:rPr/>
        <w:t>(CPI) is eminent.</w:t>
      </w:r>
      <w:r>
        <w:rPr>
          <w:spacing w:val="1"/>
        </w:rPr>
        <w:t> </w:t>
      </w:r>
      <w:r>
        <w:rPr/>
        <w:t>As shown in Panels A and B of Table 5.11, in both the long-run and</w:t>
      </w:r>
      <w:r>
        <w:rPr>
          <w:spacing w:val="1"/>
        </w:rPr>
        <w:t> </w:t>
      </w:r>
      <w:r>
        <w:rPr/>
        <w:t>short-run,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statistically the same in magnitude.</w:t>
      </w:r>
      <w:r>
        <w:rPr>
          <w:spacing w:val="1"/>
        </w:rPr>
        <w:t> </w:t>
      </w:r>
      <w:r>
        <w:rPr/>
        <w:t>According to the results, the long-run effect of the</w:t>
      </w:r>
      <w:r>
        <w:rPr>
          <w:spacing w:val="1"/>
        </w:rPr>
        <w:t> </w:t>
      </w:r>
      <w:r>
        <w:rPr/>
        <w:t>exchange rate depreciation on domestic price changes is 0.841 (84.1%), while that for the</w:t>
      </w:r>
      <w:r>
        <w:rPr>
          <w:spacing w:val="1"/>
        </w:rPr>
        <w:t> </w:t>
      </w:r>
      <w:r>
        <w:rPr/>
        <w:t>short-run is 0.847 (84.7%).</w:t>
      </w:r>
      <w:r>
        <w:rPr>
          <w:spacing w:val="1"/>
        </w:rPr>
        <w:t> </w:t>
      </w:r>
      <w:r>
        <w:rPr/>
        <w:t>Like with many studies completed for both developed and</w:t>
      </w:r>
      <w:r>
        <w:rPr>
          <w:spacing w:val="1"/>
        </w:rPr>
        <w:t> </w:t>
      </w:r>
      <w:r>
        <w:rPr/>
        <w:t>developing countries</w:t>
      </w:r>
      <w:r>
        <w:rPr>
          <w:spacing w:val="1"/>
        </w:rPr>
        <w:t> </w:t>
      </w:r>
      <w:r>
        <w:rPr/>
        <w:t>Razafimahefa (2012);</w:t>
      </w:r>
      <w:r>
        <w:rPr>
          <w:spacing w:val="1"/>
        </w:rPr>
        <w:t> </w:t>
      </w:r>
      <w:r>
        <w:rPr/>
        <w:t>others for individual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McCarthy</w:t>
      </w:r>
      <w:r>
        <w:rPr>
          <w:spacing w:val="1"/>
        </w:rPr>
        <w:t> </w:t>
      </w:r>
      <w:r>
        <w:rPr/>
        <w:t>(2000) for selected industrialized countries, Mwase (2006) for Tanzania,</w:t>
      </w:r>
      <w:r>
        <w:rPr>
          <w:spacing w:val="60"/>
        </w:rPr>
        <w:t> </w:t>
      </w:r>
      <w:r>
        <w:rPr/>
        <w:t>the exchange</w:t>
      </w:r>
      <w:r>
        <w:rPr>
          <w:spacing w:val="1"/>
        </w:rPr>
        <w:t> </w:t>
      </w:r>
      <w:r>
        <w:rPr/>
        <w:t>rate pass-through is incomplete but high.</w:t>
      </w:r>
      <w:r>
        <w:rPr>
          <w:spacing w:val="1"/>
        </w:rPr>
        <w:t> </w:t>
      </w:r>
      <w:r>
        <w:rPr/>
        <w:t>The estimate shows that over 80% of every</w:t>
      </w:r>
      <w:r>
        <w:rPr>
          <w:spacing w:val="1"/>
        </w:rPr>
        <w:t> </w:t>
      </w:r>
      <w:r>
        <w:rPr/>
        <w:t>depreciation of the exchange rate is transmitted to domestic consumers through hiking of</w:t>
      </w:r>
      <w:r>
        <w:rPr>
          <w:spacing w:val="1"/>
        </w:rPr>
        <w:t> </w:t>
      </w:r>
      <w:r>
        <w:rPr/>
        <w:t>consumer price index in both the long-run and short-run.</w:t>
      </w:r>
      <w:r>
        <w:rPr>
          <w:spacing w:val="1"/>
        </w:rPr>
        <w:t> </w:t>
      </w:r>
      <w:r>
        <w:rPr/>
        <w:t>This implies that producers and</w:t>
      </w:r>
      <w:r>
        <w:rPr>
          <w:spacing w:val="1"/>
        </w:rPr>
        <w:t> </w:t>
      </w:r>
      <w:r>
        <w:rPr/>
        <w:t>sellers have the tendency to pass on significant proportion of the high prices caused by</w:t>
      </w:r>
      <w:r>
        <w:rPr>
          <w:spacing w:val="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 depreciation</w:t>
      </w:r>
      <w:r>
        <w:rPr>
          <w:spacing w:val="1"/>
        </w:rPr>
        <w:t> </w:t>
      </w:r>
      <w:r>
        <w:rPr/>
        <w:t>to consumers in Sierra Leone.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spacing w:after="42"/>
      </w:pPr>
      <w:r>
        <w:rPr/>
        <w:drawing>
          <wp:anchor distT="0" distB="0" distL="0" distR="0" allowOverlap="1" layoutInCell="1" locked="0" behindDoc="1" simplePos="0" relativeHeight="477991424">
            <wp:simplePos x="0" y="0"/>
            <wp:positionH relativeFrom="page">
              <wp:posOffset>1485138</wp:posOffset>
            </wp:positionH>
            <wp:positionV relativeFrom="paragraph">
              <wp:posOffset>1642530</wp:posOffset>
            </wp:positionV>
            <wp:extent cx="5102225" cy="5044439"/>
            <wp:effectExtent l="0" t="0" r="0" b="0"/>
            <wp:wrapNone/>
            <wp:docPr id="2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5.12:</w:t>
      </w:r>
      <w:r>
        <w:rPr>
          <w:spacing w:val="-2"/>
        </w:rPr>
        <w:t> </w:t>
      </w:r>
      <w:r>
        <w:rPr/>
        <w:t>Panels</w:t>
      </w:r>
      <w:r>
        <w:rPr>
          <w:spacing w:val="-1"/>
        </w:rPr>
        <w:t> </w:t>
      </w:r>
      <w:r>
        <w:rPr/>
        <w:t>of Exchange</w:t>
      </w:r>
      <w:r>
        <w:rPr>
          <w:spacing w:val="-2"/>
        </w:rPr>
        <w:t> </w:t>
      </w:r>
      <w:r>
        <w:rPr/>
        <w:t>Rate Pass-Through</w:t>
      </w:r>
      <w:r>
        <w:rPr>
          <w:spacing w:val="-1"/>
        </w:rPr>
        <w:t> </w:t>
      </w:r>
      <w:r>
        <w:rPr/>
        <w:t>Results</w:t>
      </w: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0"/>
        <w:gridCol w:w="2521"/>
        <w:gridCol w:w="2790"/>
      </w:tblGrid>
      <w:tr>
        <w:trPr>
          <w:trHeight w:val="441" w:hRule="atLeast"/>
        </w:trPr>
        <w:tc>
          <w:tcPr>
            <w:tcW w:w="8931" w:type="dxa"/>
            <w:gridSpan w:val="3"/>
          </w:tcPr>
          <w:p>
            <w:pPr>
              <w:pStyle w:val="TableParagraph"/>
              <w:spacing w:line="273" w:lineRule="exact"/>
              <w:ind w:left="1551" w:right="1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Panel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Run Exchange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Pass-Through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Result</w:t>
            </w:r>
          </w:p>
        </w:tc>
      </w:tr>
      <w:tr>
        <w:trPr>
          <w:trHeight w:val="438" w:hRule="atLeast"/>
        </w:trPr>
        <w:tc>
          <w:tcPr>
            <w:tcW w:w="362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521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345" w:hRule="atLeast"/>
        </w:trPr>
        <w:tc>
          <w:tcPr>
            <w:tcW w:w="362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525"/>
              <w:rPr>
                <w:sz w:val="24"/>
              </w:rPr>
            </w:pPr>
            <w:r>
              <w:rPr>
                <w:sz w:val="24"/>
              </w:rPr>
              <w:t>22.463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644"/>
              <w:rPr>
                <w:sz w:val="24"/>
              </w:rPr>
            </w:pPr>
            <w:r>
              <w:rPr>
                <w:sz w:val="24"/>
              </w:rPr>
              <w:t>5.417***</w:t>
            </w:r>
          </w:p>
        </w:tc>
      </w:tr>
      <w:tr>
        <w:trPr>
          <w:trHeight w:val="414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LNER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645"/>
              <w:rPr>
                <w:sz w:val="24"/>
              </w:rPr>
            </w:pPr>
            <w:r>
              <w:rPr>
                <w:sz w:val="24"/>
              </w:rPr>
              <w:t>0.841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644"/>
              <w:rPr>
                <w:sz w:val="24"/>
              </w:rPr>
            </w:pPr>
            <w:r>
              <w:rPr>
                <w:sz w:val="24"/>
              </w:rPr>
              <w:t>0.052***</w:t>
            </w:r>
          </w:p>
        </w:tc>
      </w:tr>
      <w:tr>
        <w:trPr>
          <w:trHeight w:val="437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d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585"/>
              <w:rPr>
                <w:sz w:val="24"/>
              </w:rPr>
            </w:pPr>
            <w:r>
              <w:rPr>
                <w:sz w:val="24"/>
              </w:rPr>
              <w:t>-0.276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644"/>
              <w:rPr>
                <w:sz w:val="24"/>
              </w:rPr>
            </w:pPr>
            <w:r>
              <w:rPr>
                <w:sz w:val="24"/>
              </w:rPr>
              <w:t>0.125**</w:t>
            </w:r>
          </w:p>
        </w:tc>
      </w:tr>
      <w:tr>
        <w:trPr>
          <w:trHeight w:val="435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f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585"/>
              <w:rPr>
                <w:sz w:val="24"/>
              </w:rPr>
            </w:pPr>
            <w:r>
              <w:rPr>
                <w:sz w:val="24"/>
              </w:rPr>
              <w:t>-4.440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644"/>
              <w:rPr>
                <w:sz w:val="24"/>
              </w:rPr>
            </w:pPr>
            <w:r>
              <w:rPr>
                <w:sz w:val="24"/>
              </w:rPr>
              <w:t>0.794***</w:t>
            </w:r>
          </w:p>
        </w:tc>
      </w:tr>
      <w:tr>
        <w:trPr>
          <w:trHeight w:val="533" w:hRule="atLeast"/>
        </w:trPr>
        <w:tc>
          <w:tcPr>
            <w:tcW w:w="3620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5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LMS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645"/>
              <w:rPr>
                <w:sz w:val="24"/>
              </w:rPr>
            </w:pPr>
            <w:r>
              <w:rPr>
                <w:sz w:val="24"/>
              </w:rPr>
              <w:t>0.262</w:t>
            </w: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644"/>
              <w:rPr>
                <w:sz w:val="24"/>
              </w:rPr>
            </w:pPr>
            <w:r>
              <w:rPr>
                <w:sz w:val="24"/>
              </w:rPr>
              <w:t>0.094***</w:t>
            </w:r>
          </w:p>
        </w:tc>
      </w:tr>
      <w:tr>
        <w:trPr>
          <w:trHeight w:val="415" w:hRule="atLeast"/>
        </w:trPr>
        <w:tc>
          <w:tcPr>
            <w:tcW w:w="8931" w:type="dxa"/>
            <w:gridSpan w:val="3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***,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1%,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respectively.</w:t>
            </w:r>
          </w:p>
        </w:tc>
      </w:tr>
      <w:tr>
        <w:trPr>
          <w:trHeight w:val="414" w:hRule="atLeast"/>
        </w:trPr>
        <w:tc>
          <w:tcPr>
            <w:tcW w:w="8931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Panel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Short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Run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Solution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Exchange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Rate Pass-Through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Result</w:t>
            </w:r>
          </w:p>
        </w:tc>
      </w:tr>
      <w:tr>
        <w:trPr>
          <w:trHeight w:val="412" w:hRule="atLeast"/>
        </w:trPr>
        <w:tc>
          <w:tcPr>
            <w:tcW w:w="362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521" w:type="dxa"/>
          </w:tcPr>
          <w:p>
            <w:pPr>
              <w:pStyle w:val="TableParagraph"/>
              <w:spacing w:line="275" w:lineRule="exact"/>
              <w:ind w:left="697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</w:tc>
        <w:tc>
          <w:tcPr>
            <w:tcW w:w="2790" w:type="dxa"/>
          </w:tcPr>
          <w:p>
            <w:pPr>
              <w:pStyle w:val="TableParagraph"/>
              <w:spacing w:line="275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274" w:hRule="atLeast"/>
        </w:trPr>
        <w:tc>
          <w:tcPr>
            <w:tcW w:w="3620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37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925" w:right="925"/>
              <w:jc w:val="center"/>
              <w:rPr>
                <w:sz w:val="24"/>
              </w:rPr>
            </w:pPr>
            <w:r>
              <w:rPr>
                <w:sz w:val="24"/>
              </w:rPr>
              <w:t>-0.016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572" w:right="920"/>
              <w:jc w:val="center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</w:tr>
      <w:tr>
        <w:trPr>
          <w:trHeight w:val="385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 w:before="42"/>
              <w:ind w:left="151"/>
              <w:rPr>
                <w:i/>
                <w:sz w:val="24"/>
              </w:rPr>
            </w:pPr>
            <w:r>
              <w:rPr>
                <w:i/>
                <w:sz w:val="24"/>
              </w:rPr>
              <w:t>DLCPI</w:t>
            </w:r>
            <w:r>
              <w:rPr>
                <w:i/>
                <w:sz w:val="24"/>
                <w:vertAlign w:val="superscript"/>
              </w:rPr>
              <w:t>d</w:t>
            </w:r>
          </w:p>
          <w:p>
            <w:pPr>
              <w:pStyle w:val="TableParagraph"/>
              <w:spacing w:line="106" w:lineRule="exact"/>
              <w:ind w:left="855"/>
              <w:rPr>
                <w:sz w:val="14"/>
              </w:rPr>
            </w:pPr>
            <w:r>
              <w:rPr>
                <w:i/>
                <w:sz w:val="14"/>
              </w:rPr>
              <w:t>t</w:t>
            </w:r>
            <w:r>
              <w:rPr>
                <w:i/>
                <w:spacing w:val="-20"/>
                <w:sz w:val="14"/>
              </w:rPr>
              <w:t> 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2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5" w:right="885"/>
              <w:jc w:val="center"/>
              <w:rPr>
                <w:sz w:val="24"/>
              </w:rPr>
            </w:pPr>
            <w:r>
              <w:rPr>
                <w:sz w:val="24"/>
              </w:rPr>
              <w:t>0.166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12" w:right="920"/>
              <w:jc w:val="center"/>
              <w:rPr>
                <w:sz w:val="24"/>
              </w:rPr>
            </w:pPr>
            <w:r>
              <w:rPr>
                <w:sz w:val="24"/>
              </w:rPr>
              <w:t>0.071**</w:t>
            </w:r>
          </w:p>
        </w:tc>
      </w:tr>
      <w:tr>
        <w:trPr>
          <w:trHeight w:val="748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51"/>
              <w:rPr>
                <w:i/>
                <w:sz w:val="14"/>
              </w:rPr>
            </w:pPr>
            <w:r>
              <w:rPr>
                <w:i/>
                <w:w w:val="105"/>
                <w:sz w:val="24"/>
              </w:rPr>
              <w:t>DLNER</w:t>
            </w:r>
            <w:r>
              <w:rPr>
                <w:i/>
                <w:w w:val="105"/>
                <w:position w:val="-5"/>
                <w:sz w:val="14"/>
              </w:rPr>
              <w:t>t</w:t>
            </w:r>
          </w:p>
          <w:p>
            <w:pPr>
              <w:pStyle w:val="TableParagraph"/>
              <w:spacing w:line="211" w:lineRule="exact" w:before="65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d</w:t>
            </w:r>
          </w:p>
          <w:p>
            <w:pPr>
              <w:pStyle w:val="TableParagraph"/>
              <w:spacing w:line="106" w:lineRule="exact"/>
              <w:ind w:left="908"/>
              <w:rPr>
                <w:sz w:val="14"/>
              </w:rPr>
            </w:pPr>
            <w:r>
              <w:rPr>
                <w:i/>
                <w:spacing w:val="-2"/>
                <w:sz w:val="14"/>
              </w:rPr>
              <w:t>t</w:t>
            </w:r>
            <w:r>
              <w:rPr>
                <w:i/>
                <w:spacing w:val="-22"/>
                <w:sz w:val="14"/>
              </w:rPr>
              <w:t> </w:t>
            </w:r>
            <w:r>
              <w:rPr>
                <w:rFonts w:ascii="Symbol" w:hAnsi="Symbol"/>
                <w:spacing w:val="-2"/>
                <w:sz w:val="14"/>
              </w:rPr>
              <w:t></w:t>
            </w:r>
            <w:r>
              <w:rPr>
                <w:spacing w:val="-2"/>
                <w:sz w:val="14"/>
              </w:rPr>
              <w:t>1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0"/>
              <w:ind w:left="925" w:right="885"/>
              <w:jc w:val="center"/>
              <w:rPr>
                <w:sz w:val="24"/>
              </w:rPr>
            </w:pPr>
            <w:r>
              <w:rPr>
                <w:sz w:val="24"/>
              </w:rPr>
              <w:t>0.247</w:t>
            </w:r>
          </w:p>
          <w:p>
            <w:pPr>
              <w:pStyle w:val="TableParagraph"/>
              <w:ind w:left="925" w:right="885"/>
              <w:jc w:val="center"/>
              <w:rPr>
                <w:sz w:val="24"/>
              </w:rPr>
            </w:pPr>
            <w:r>
              <w:rPr>
                <w:sz w:val="24"/>
              </w:rPr>
              <w:t>0.201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0"/>
              <w:ind w:left="944"/>
              <w:rPr>
                <w:sz w:val="24"/>
              </w:rPr>
            </w:pPr>
            <w:r>
              <w:rPr>
                <w:sz w:val="24"/>
              </w:rPr>
              <w:t>0.049***</w:t>
            </w:r>
          </w:p>
          <w:p>
            <w:pPr>
              <w:pStyle w:val="TableParagraph"/>
              <w:ind w:left="944"/>
              <w:rPr>
                <w:sz w:val="24"/>
              </w:rPr>
            </w:pPr>
            <w:r>
              <w:rPr>
                <w:sz w:val="24"/>
              </w:rPr>
              <w:t>0.229**</w:t>
            </w:r>
          </w:p>
        </w:tc>
      </w:tr>
      <w:tr>
        <w:trPr>
          <w:trHeight w:val="238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27"/>
              <w:ind w:left="152"/>
              <w:rPr>
                <w:i/>
                <w:sz w:val="24"/>
              </w:rPr>
            </w:pPr>
            <w:r>
              <w:rPr>
                <w:i/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f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6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06" w:lineRule="exact"/>
              <w:ind w:left="910"/>
              <w:rPr>
                <w:sz w:val="14"/>
              </w:rPr>
            </w:pPr>
            <w:r>
              <w:rPr>
                <w:i/>
                <w:sz w:val="14"/>
              </w:rPr>
              <w:t>t</w:t>
            </w:r>
            <w:r>
              <w:rPr>
                <w:i/>
                <w:spacing w:val="-20"/>
                <w:sz w:val="14"/>
              </w:rPr>
              <w:t> 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4</w:t>
            </w:r>
          </w:p>
          <w:p>
            <w:pPr>
              <w:pStyle w:val="TableParagraph"/>
              <w:spacing w:line="211" w:lineRule="exact" w:before="64"/>
              <w:ind w:left="151"/>
              <w:rPr>
                <w:i/>
                <w:sz w:val="24"/>
              </w:rPr>
            </w:pPr>
            <w:r>
              <w:rPr>
                <w:i/>
                <w:sz w:val="24"/>
              </w:rPr>
              <w:t>DLCPI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  <w:vertAlign w:val="superscript"/>
              </w:rPr>
              <w:t>f</w:t>
            </w:r>
          </w:p>
          <w:p>
            <w:pPr>
              <w:pStyle w:val="TableParagraph"/>
              <w:spacing w:line="106" w:lineRule="exact"/>
              <w:ind w:left="855"/>
              <w:rPr>
                <w:sz w:val="14"/>
              </w:rPr>
            </w:pPr>
            <w:r>
              <w:rPr>
                <w:i/>
                <w:sz w:val="14"/>
              </w:rPr>
              <w:t>t</w:t>
            </w:r>
            <w:r>
              <w:rPr>
                <w:i/>
                <w:spacing w:val="-20"/>
                <w:sz w:val="14"/>
              </w:rPr>
              <w:t> 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4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847" w:right="925"/>
              <w:jc w:val="center"/>
              <w:rPr>
                <w:sz w:val="24"/>
              </w:rPr>
            </w:pPr>
            <w:r>
              <w:rPr>
                <w:sz w:val="24"/>
              </w:rPr>
              <w:t>3.361</w:t>
            </w:r>
          </w:p>
          <w:p>
            <w:pPr>
              <w:pStyle w:val="TableParagraph"/>
              <w:spacing w:line="249" w:lineRule="exact"/>
              <w:ind w:left="847" w:right="925"/>
              <w:jc w:val="center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944"/>
              <w:rPr>
                <w:sz w:val="24"/>
              </w:rPr>
            </w:pPr>
            <w:r>
              <w:rPr>
                <w:sz w:val="24"/>
              </w:rPr>
              <w:t>1.765**</w:t>
            </w:r>
          </w:p>
          <w:p>
            <w:pPr>
              <w:pStyle w:val="TableParagraph"/>
              <w:spacing w:line="249" w:lineRule="exact"/>
              <w:ind w:left="944"/>
              <w:rPr>
                <w:sz w:val="24"/>
              </w:rPr>
            </w:pPr>
            <w:r>
              <w:rPr>
                <w:sz w:val="24"/>
              </w:rPr>
              <w:t>0.657*</w:t>
            </w:r>
          </w:p>
        </w:tc>
      </w:tr>
      <w:tr>
        <w:trPr>
          <w:trHeight w:val="296" w:hRule="atLeast"/>
        </w:trPr>
        <w:tc>
          <w:tcPr>
            <w:tcW w:w="36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51"/>
              <w:rPr>
                <w:sz w:val="14"/>
              </w:rPr>
            </w:pPr>
            <w:r>
              <w:rPr>
                <w:i/>
                <w:spacing w:val="-1"/>
                <w:sz w:val="24"/>
              </w:rPr>
              <w:t>DLMS</w:t>
            </w:r>
            <w:r>
              <w:rPr>
                <w:i/>
                <w:spacing w:val="-1"/>
                <w:position w:val="-5"/>
                <w:sz w:val="14"/>
              </w:rPr>
              <w:t>t</w:t>
            </w:r>
            <w:r>
              <w:rPr>
                <w:i/>
                <w:spacing w:val="-22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 w:before="6"/>
              <w:ind w:left="847" w:right="925"/>
              <w:jc w:val="center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 w:before="6"/>
              <w:ind w:left="812" w:right="920"/>
              <w:jc w:val="center"/>
              <w:rPr>
                <w:sz w:val="24"/>
              </w:rPr>
            </w:pPr>
            <w:r>
              <w:rPr>
                <w:sz w:val="24"/>
              </w:rPr>
              <w:t>0.148**</w:t>
            </w:r>
          </w:p>
        </w:tc>
      </w:tr>
      <w:tr>
        <w:trPr>
          <w:trHeight w:val="589" w:hRule="atLeast"/>
        </w:trPr>
        <w:tc>
          <w:tcPr>
            <w:tcW w:w="3620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52"/>
              <w:rPr>
                <w:sz w:val="14"/>
              </w:rPr>
            </w:pPr>
            <w:r>
              <w:rPr>
                <w:i/>
                <w:sz w:val="24"/>
              </w:rPr>
              <w:t>ECM</w:t>
            </w:r>
            <w:r>
              <w:rPr>
                <w:i/>
                <w:position w:val="-5"/>
                <w:sz w:val="14"/>
              </w:rPr>
              <w:t>t</w:t>
            </w:r>
            <w:r>
              <w:rPr>
                <w:i/>
                <w:spacing w:val="-21"/>
                <w:position w:val="-5"/>
                <w:sz w:val="14"/>
              </w:rPr>
              <w:t> </w:t>
            </w:r>
            <w:r>
              <w:rPr>
                <w:rFonts w:ascii="Symbol" w:hAnsi="Symbol"/>
                <w:position w:val="-5"/>
                <w:sz w:val="14"/>
              </w:rPr>
              <w:t>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825"/>
              <w:rPr>
                <w:sz w:val="24"/>
              </w:rPr>
            </w:pPr>
            <w:r>
              <w:rPr>
                <w:sz w:val="24"/>
              </w:rPr>
              <w:t>-0.453</w:t>
            </w: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920" w:right="920"/>
              <w:jc w:val="center"/>
              <w:rPr>
                <w:sz w:val="24"/>
              </w:rPr>
            </w:pPr>
            <w:r>
              <w:rPr>
                <w:sz w:val="24"/>
              </w:rPr>
              <w:t>0.057***</w:t>
            </w:r>
          </w:p>
        </w:tc>
      </w:tr>
      <w:tr>
        <w:trPr>
          <w:trHeight w:val="274" w:hRule="atLeast"/>
        </w:trPr>
        <w:tc>
          <w:tcPr>
            <w:tcW w:w="614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R-bar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884"/>
              <w:rPr>
                <w:sz w:val="24"/>
              </w:rPr>
            </w:pPr>
            <w:r>
              <w:rPr>
                <w:sz w:val="24"/>
              </w:rPr>
              <w:t>0.338</w:t>
            </w:r>
          </w:p>
        </w:tc>
      </w:tr>
      <w:tr>
        <w:trPr>
          <w:trHeight w:val="274" w:hRule="atLeast"/>
        </w:trPr>
        <w:tc>
          <w:tcPr>
            <w:tcW w:w="614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DW-Statistic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884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</w:tr>
      <w:tr>
        <w:trPr>
          <w:trHeight w:val="281" w:hRule="atLeast"/>
        </w:trPr>
        <w:tc>
          <w:tcPr>
            <w:tcW w:w="614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824"/>
              <w:rPr>
                <w:sz w:val="24"/>
              </w:rPr>
            </w:pPr>
            <w:r>
              <w:rPr>
                <w:sz w:val="24"/>
              </w:rPr>
              <w:t>9.737[0.000]</w:t>
            </w:r>
          </w:p>
        </w:tc>
      </w:tr>
    </w:tbl>
    <w:p>
      <w:pPr>
        <w:pStyle w:val="BodyText"/>
        <w:ind w:left="811"/>
      </w:pPr>
      <w:r>
        <w:rPr/>
        <w:t>Note:</w:t>
      </w:r>
      <w:r>
        <w:rPr>
          <w:spacing w:val="-2"/>
        </w:rPr>
        <w:t> </w:t>
      </w:r>
      <w:r>
        <w:rPr/>
        <w:t>***,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1%,</w:t>
      </w:r>
      <w:r>
        <w:rPr>
          <w:spacing w:val="1"/>
        </w:rPr>
        <w:t> </w:t>
      </w:r>
      <w:r>
        <w:rPr/>
        <w:t>5%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10%,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811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Compiled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Author, 2014.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1"/>
        <w:numPr>
          <w:ilvl w:val="1"/>
          <w:numId w:val="16"/>
        </w:numPr>
        <w:tabs>
          <w:tab w:pos="1531" w:val="left" w:leader="none"/>
          <w:tab w:pos="1532" w:val="left" w:leader="none"/>
        </w:tabs>
        <w:spacing w:line="240" w:lineRule="auto" w:before="89" w:after="0"/>
        <w:ind w:left="1531" w:right="0" w:hanging="721"/>
        <w:jc w:val="left"/>
      </w:pPr>
      <w:bookmarkStart w:name="_TOC_250005" w:id="68"/>
      <w:r>
        <w:rPr/>
        <w:t>Diagnostic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bookmarkEnd w:id="68"/>
      <w:r>
        <w:rPr/>
        <w:t>Models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0" w:lineRule="auto"/>
        <w:ind w:left="811" w:right="999" w:firstLine="60"/>
        <w:jc w:val="both"/>
      </w:pPr>
      <w:r>
        <w:rPr/>
        <w:t>As reported in sub-section 5.2.1, the unrestricted error correction model of balance of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Appendices</w:t>
      </w:r>
      <w:r>
        <w:rPr>
          <w:spacing w:val="-1"/>
        </w:rPr>
        <w:t> </w:t>
      </w:r>
      <w:r>
        <w:rPr/>
        <w:t>5-20.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test results are</w:t>
      </w:r>
      <w:r>
        <w:rPr>
          <w:spacing w:val="-1"/>
        </w:rPr>
        <w:t> </w:t>
      </w:r>
      <w:r>
        <w:rPr/>
        <w:t>reported: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532" w:val="left" w:leader="none"/>
        </w:tabs>
        <w:spacing w:line="357" w:lineRule="auto" w:before="0" w:after="0"/>
        <w:ind w:left="1598" w:right="995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991936">
            <wp:simplePos x="0" y="0"/>
            <wp:positionH relativeFrom="page">
              <wp:posOffset>1485138</wp:posOffset>
            </wp:positionH>
            <wp:positionV relativeFrom="paragraph">
              <wp:posOffset>89718</wp:posOffset>
            </wp:positionV>
            <wp:extent cx="5102225" cy="5044439"/>
            <wp:effectExtent l="0" t="0" r="0" b="0"/>
            <wp:wrapNone/>
            <wp:docPr id="2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correlogram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squared</w:t>
      </w:r>
      <w:r>
        <w:rPr>
          <w:spacing w:val="1"/>
          <w:sz w:val="24"/>
        </w:rPr>
        <w:t> </w:t>
      </w:r>
      <w:r>
        <w:rPr>
          <w:sz w:val="24"/>
        </w:rPr>
        <w:t>residuals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check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autoregressive</w:t>
      </w:r>
      <w:r>
        <w:rPr>
          <w:spacing w:val="1"/>
          <w:sz w:val="24"/>
        </w:rPr>
        <w:t> </w:t>
      </w:r>
      <w:r>
        <w:rPr>
          <w:sz w:val="24"/>
        </w:rPr>
        <w:t>conditional heteroskedasticity (ARCH) in the residual.</w:t>
      </w:r>
      <w:r>
        <w:rPr>
          <w:spacing w:val="1"/>
          <w:sz w:val="24"/>
        </w:rPr>
        <w:t> </w:t>
      </w:r>
      <w:r>
        <w:rPr>
          <w:sz w:val="24"/>
        </w:rPr>
        <w:t>The condition here is that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ARCH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residual,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autocorrelations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partial</w:t>
      </w:r>
      <w:r>
        <w:rPr>
          <w:spacing w:val="1"/>
          <w:sz w:val="24"/>
        </w:rPr>
        <w:t> </w:t>
      </w:r>
      <w:r>
        <w:rPr>
          <w:sz w:val="24"/>
        </w:rPr>
        <w:t>autocorrelations should be zero at all lags and the Q-statistics should not be</w:t>
      </w:r>
      <w:r>
        <w:rPr>
          <w:spacing w:val="1"/>
          <w:sz w:val="24"/>
        </w:rPr>
        <w:t> </w:t>
      </w:r>
      <w:r>
        <w:rPr>
          <w:sz w:val="24"/>
        </w:rPr>
        <w:t>statistically</w:t>
      </w:r>
      <w:r>
        <w:rPr>
          <w:spacing w:val="-5"/>
          <w:sz w:val="24"/>
        </w:rPr>
        <w:t> </w:t>
      </w:r>
      <w:r>
        <w:rPr>
          <w:sz w:val="24"/>
        </w:rPr>
        <w:t>significant.</w:t>
      </w:r>
    </w:p>
    <w:p>
      <w:pPr>
        <w:pStyle w:val="ListParagraph"/>
        <w:numPr>
          <w:ilvl w:val="0"/>
          <w:numId w:val="17"/>
        </w:numPr>
        <w:tabs>
          <w:tab w:pos="1532" w:val="left" w:leader="none"/>
        </w:tabs>
        <w:spacing w:line="352" w:lineRule="auto" w:before="205" w:after="0"/>
        <w:ind w:left="1598" w:right="1001" w:hanging="360"/>
        <w:jc w:val="both"/>
        <w:rPr>
          <w:sz w:val="24"/>
        </w:rPr>
      </w:pPr>
      <w:r>
        <w:rPr>
          <w:sz w:val="24"/>
        </w:rPr>
        <w:t>The other tests that considered were the Jarque-Bera Statistics, Serial correction</w:t>
      </w:r>
      <w:r>
        <w:rPr>
          <w:spacing w:val="1"/>
          <w:sz w:val="24"/>
        </w:rPr>
        <w:t> </w:t>
      </w:r>
      <w:r>
        <w:rPr>
          <w:sz w:val="24"/>
        </w:rPr>
        <w:t>LM</w:t>
      </w:r>
      <w:r>
        <w:rPr>
          <w:spacing w:val="-1"/>
          <w:sz w:val="24"/>
        </w:rPr>
        <w:t> </w:t>
      </w:r>
      <w:r>
        <w:rPr>
          <w:sz w:val="24"/>
        </w:rPr>
        <w:t>test and the</w:t>
      </w:r>
      <w:r>
        <w:rPr>
          <w:spacing w:val="1"/>
          <w:sz w:val="24"/>
        </w:rPr>
        <w:t> </w:t>
      </w:r>
      <w:r>
        <w:rPr>
          <w:sz w:val="24"/>
        </w:rPr>
        <w:t>white Heteroskedasticity</w:t>
      </w:r>
      <w:r>
        <w:rPr>
          <w:spacing w:val="-5"/>
          <w:sz w:val="24"/>
        </w:rPr>
        <w:t> </w:t>
      </w:r>
      <w:r>
        <w:rPr>
          <w:sz w:val="24"/>
        </w:rPr>
        <w:t>test</w:t>
      </w:r>
    </w:p>
    <w:p>
      <w:pPr>
        <w:pStyle w:val="ListParagraph"/>
        <w:numPr>
          <w:ilvl w:val="0"/>
          <w:numId w:val="17"/>
        </w:numPr>
        <w:tabs>
          <w:tab w:pos="1532" w:val="left" w:leader="none"/>
        </w:tabs>
        <w:spacing w:line="357" w:lineRule="auto" w:before="208" w:after="0"/>
        <w:ind w:left="1598" w:right="998" w:hanging="360"/>
        <w:jc w:val="both"/>
        <w:rPr>
          <w:sz w:val="24"/>
        </w:rPr>
      </w:pPr>
      <w:r>
        <w:rPr>
          <w:sz w:val="24"/>
        </w:rPr>
        <w:t>The Cumulative Sum (CUSUM) and CUSUM squares of the recursive residuals</w:t>
      </w:r>
      <w:r>
        <w:rPr>
          <w:spacing w:val="1"/>
          <w:sz w:val="24"/>
        </w:rPr>
        <w:t> </w:t>
      </w:r>
      <w:r>
        <w:rPr>
          <w:sz w:val="24"/>
        </w:rPr>
        <w:t>were used to determine the stability and</w:t>
      </w:r>
      <w:r>
        <w:rPr>
          <w:spacing w:val="1"/>
          <w:sz w:val="24"/>
        </w:rPr>
        <w:t> </w:t>
      </w:r>
      <w:r>
        <w:rPr>
          <w:sz w:val="24"/>
        </w:rPr>
        <w:t>reliability of the parameter</w:t>
      </w:r>
      <w:r>
        <w:rPr>
          <w:spacing w:val="60"/>
          <w:sz w:val="24"/>
        </w:rPr>
        <w:t> </w:t>
      </w:r>
      <w:r>
        <w:rPr>
          <w:sz w:val="24"/>
        </w:rPr>
        <w:t>estimates.</w:t>
      </w:r>
      <w:r>
        <w:rPr>
          <w:spacing w:val="1"/>
          <w:sz w:val="24"/>
        </w:rPr>
        <w:t> </w:t>
      </w:r>
      <w:r>
        <w:rPr>
          <w:sz w:val="24"/>
        </w:rPr>
        <w:t>The CUSUM test is based on the cumulative sum of the recursive residuals.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option plots the cumulative sum together with the 5 percent critical lines. The test</w:t>
      </w:r>
      <w:r>
        <w:rPr>
          <w:spacing w:val="-57"/>
          <w:sz w:val="24"/>
        </w:rPr>
        <w:t> </w:t>
      </w:r>
      <w:r>
        <w:rPr>
          <w:sz w:val="24"/>
        </w:rPr>
        <w:t>finds parameter instability if the cumulative sum goes outside the area 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two critical lines.</w:t>
      </w:r>
    </w:p>
    <w:p>
      <w:pPr>
        <w:pStyle w:val="ListParagraph"/>
        <w:numPr>
          <w:ilvl w:val="0"/>
          <w:numId w:val="17"/>
        </w:numPr>
        <w:tabs>
          <w:tab w:pos="1532" w:val="left" w:leader="none"/>
        </w:tabs>
        <w:spacing w:line="357" w:lineRule="auto" w:before="207" w:after="0"/>
        <w:ind w:left="1598" w:right="997" w:hanging="360"/>
        <w:jc w:val="both"/>
        <w:rPr>
          <w:sz w:val="24"/>
        </w:rPr>
      </w:pPr>
      <w:r>
        <w:rPr>
          <w:sz w:val="24"/>
        </w:rPr>
        <w:t>The recursive residuals show a plot of the recursive residuals about the zero line,</w:t>
      </w:r>
      <w:r>
        <w:rPr>
          <w:spacing w:val="1"/>
          <w:sz w:val="24"/>
        </w:rPr>
        <w:t> </w:t>
      </w:r>
      <w:r>
        <w:rPr>
          <w:sz w:val="24"/>
        </w:rPr>
        <w:t>plus and minus two</w:t>
      </w:r>
      <w:r>
        <w:rPr>
          <w:spacing w:val="1"/>
          <w:sz w:val="24"/>
        </w:rPr>
        <w:t> </w:t>
      </w:r>
      <w:r>
        <w:rPr>
          <w:sz w:val="24"/>
        </w:rPr>
        <w:t>standard errors and also shown at each point.</w:t>
      </w:r>
      <w:r>
        <w:rPr>
          <w:spacing w:val="61"/>
          <w:sz w:val="24"/>
        </w:rPr>
        <w:t> </w:t>
      </w:r>
      <w:r>
        <w:rPr>
          <w:sz w:val="24"/>
        </w:rPr>
        <w:t>Residual</w:t>
      </w:r>
      <w:r>
        <w:rPr>
          <w:spacing w:val="1"/>
          <w:sz w:val="24"/>
        </w:rPr>
        <w:t> </w:t>
      </w:r>
      <w:r>
        <w:rPr>
          <w:sz w:val="24"/>
        </w:rPr>
        <w:t>outside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bands</w:t>
      </w:r>
      <w:r>
        <w:rPr>
          <w:spacing w:val="1"/>
          <w:sz w:val="24"/>
        </w:rPr>
        <w:t> </w:t>
      </w:r>
      <w:r>
        <w:rPr>
          <w:sz w:val="24"/>
        </w:rPr>
        <w:t>suggeste</w:t>
      </w:r>
      <w:r>
        <w:rPr>
          <w:spacing w:val="1"/>
          <w:sz w:val="24"/>
        </w:rPr>
        <w:t> </w:t>
      </w:r>
      <w:r>
        <w:rPr>
          <w:sz w:val="24"/>
        </w:rPr>
        <w:t>instabilityin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equation.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1015" w:top="1500" w:bottom="1200" w:left="1320" w:right="440"/>
        </w:sectPr>
      </w:pPr>
    </w:p>
    <w:p>
      <w:pPr>
        <w:pStyle w:val="Heading2"/>
        <w:tabs>
          <w:tab w:pos="2251" w:val="left" w:leader="none"/>
        </w:tabs>
      </w:pPr>
      <w:r>
        <w:rPr/>
        <w:drawing>
          <wp:anchor distT="0" distB="0" distL="0" distR="0" allowOverlap="1" layoutInCell="1" locked="0" behindDoc="1" simplePos="0" relativeHeight="477992448">
            <wp:simplePos x="0" y="0"/>
            <wp:positionH relativeFrom="page">
              <wp:posOffset>1485138</wp:posOffset>
            </wp:positionH>
            <wp:positionV relativeFrom="paragraph">
              <wp:posOffset>1642530</wp:posOffset>
            </wp:positionV>
            <wp:extent cx="5102225" cy="5044439"/>
            <wp:effectExtent l="0" t="0" r="0" b="0"/>
            <wp:wrapNone/>
            <wp:docPr id="24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5.13:</w:t>
        <w:tab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1352"/>
        <w:gridCol w:w="1563"/>
        <w:gridCol w:w="4198"/>
      </w:tblGrid>
      <w:tr>
        <w:trPr>
          <w:trHeight w:val="614" w:hRule="atLeast"/>
        </w:trPr>
        <w:tc>
          <w:tcPr>
            <w:tcW w:w="190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352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Coverage</w:t>
            </w:r>
          </w:p>
        </w:tc>
        <w:tc>
          <w:tcPr>
            <w:tcW w:w="1563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419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Findings</w:t>
            </w:r>
          </w:p>
        </w:tc>
      </w:tr>
      <w:tr>
        <w:trPr>
          <w:trHeight w:val="4176" w:hRule="atLeast"/>
        </w:trPr>
        <w:tc>
          <w:tcPr>
            <w:tcW w:w="1908" w:type="dxa"/>
          </w:tcPr>
          <w:p>
            <w:pPr>
              <w:pStyle w:val="TableParagraph"/>
              <w:spacing w:line="360" w:lineRule="auto"/>
              <w:ind w:left="107" w:right="144"/>
              <w:rPr>
                <w:sz w:val="24"/>
              </w:rPr>
            </w:pPr>
            <w:r>
              <w:rPr>
                <w:sz w:val="24"/>
              </w:rPr>
              <w:t>Pentti J.K. Kouri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(1976)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360" w:lineRule="auto"/>
              <w:ind w:left="105" w:right="111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exchange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short-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run and long-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run.</w:t>
            </w:r>
          </w:p>
        </w:tc>
        <w:tc>
          <w:tcPr>
            <w:tcW w:w="4198" w:type="dxa"/>
          </w:tcPr>
          <w:p>
            <w:pPr>
              <w:pStyle w:val="TableParagraph"/>
              <w:spacing w:line="360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In the long-run there is symmetry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 the regime of fixed and flexible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 rates</w:t>
            </w:r>
            <w:r>
              <w:rPr>
                <w:sz w:val="24"/>
                <w:vertAlign w:val="superscript"/>
              </w:rPr>
              <w:t>37</w:t>
            </w:r>
            <w:r>
              <w:rPr>
                <w:sz w:val="24"/>
                <w:vertAlign w:val="baseline"/>
              </w:rPr>
              <w:t>.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The link between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monetary policy and the inflow or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outflow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capital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goes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through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the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effect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 monetary policy on aggregate demand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output and thereby on the current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account, which thus determines the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capital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account.</w:t>
            </w:r>
          </w:p>
        </w:tc>
      </w:tr>
      <w:tr>
        <w:trPr>
          <w:trHeight w:val="344" w:hRule="atLeast"/>
        </w:trPr>
        <w:tc>
          <w:tcPr>
            <w:tcW w:w="190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Magda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Kandil</w:t>
            </w:r>
          </w:p>
        </w:tc>
        <w:tc>
          <w:tcPr>
            <w:tcW w:w="1352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Developing</w:t>
            </w:r>
          </w:p>
        </w:tc>
        <w:tc>
          <w:tcPr>
            <w:tcW w:w="1563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Rational-</w:t>
            </w:r>
          </w:p>
        </w:tc>
        <w:tc>
          <w:tcPr>
            <w:tcW w:w="419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Currency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</w:t>
            </w:r>
          </w:p>
        </w:tc>
      </w:tr>
      <w:tr>
        <w:trPr>
          <w:trHeight w:val="413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(2009)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expectation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exports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imports in many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developing</w:t>
            </w:r>
          </w:p>
        </w:tc>
      </w:tr>
      <w:tr>
        <w:trPr>
          <w:trHeight w:val="414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Developed</w:t>
            </w: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countries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countries,</w:t>
            </w:r>
          </w:p>
        </w:tc>
      </w:tr>
      <w:tr>
        <w:trPr>
          <w:trHeight w:val="413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Countries:</w:t>
            </w: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currency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appreciation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  <w:tr>
        <w:trPr>
          <w:trHeight w:val="414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1971-2000</w:t>
            </w: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significant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</w:tr>
      <w:tr>
        <w:trPr>
          <w:trHeight w:val="414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balance.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effects of currency</w:t>
            </w:r>
          </w:p>
        </w:tc>
      </w:tr>
      <w:tr>
        <w:trPr>
          <w:trHeight w:val="413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fluctuations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appeared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</w:tr>
      <w:tr>
        <w:trPr>
          <w:trHeight w:val="413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investments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flows.</w:t>
            </w:r>
          </w:p>
        </w:tc>
      </w:tr>
      <w:tr>
        <w:trPr>
          <w:trHeight w:val="413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Currency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</w:t>
            </w:r>
          </w:p>
        </w:tc>
      </w:tr>
      <w:tr>
        <w:trPr>
          <w:trHeight w:val="413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countries.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deterioration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</w:tr>
      <w:tr>
        <w:trPr>
          <w:trHeight w:val="414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balance correlated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</w:t>
            </w:r>
          </w:p>
        </w:tc>
      </w:tr>
      <w:tr>
        <w:trPr>
          <w:trHeight w:val="414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414" w:hRule="atLeast"/>
        </w:trPr>
        <w:tc>
          <w:tcPr>
            <w:tcW w:w="19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across</w:t>
            </w:r>
          </w:p>
        </w:tc>
      </w:tr>
      <w:tr>
        <w:trPr>
          <w:trHeight w:val="683" w:hRule="atLeast"/>
        </w:trPr>
        <w:tc>
          <w:tcPr>
            <w:tcW w:w="190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8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developing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countries.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2"/>
        <w:ind w:left="811" w:right="993" w:firstLine="0"/>
        <w:jc w:val="left"/>
        <w:rPr>
          <w:rFonts w:ascii="Calibri"/>
          <w:sz w:val="20"/>
        </w:rPr>
      </w:pPr>
      <w:r>
        <w:rPr/>
        <w:pict>
          <v:rect style="position:absolute;margin-left:106.580002pt;margin-top:5.265511pt;width:144.020pt;height:.71997pt;mso-position-horizontal-relative:page;mso-position-vertical-relative:paragraph;z-index:-25323520" filled="true" fillcolor="#000000" stroked="false">
            <v:fill type="solid"/>
            <w10:wrap type="none"/>
          </v:rect>
        </w:pict>
      </w:r>
      <w:r>
        <w:rPr>
          <w:rFonts w:ascii="Calibri"/>
          <w:sz w:val="20"/>
          <w:vertAlign w:val="superscript"/>
        </w:rPr>
        <w:t>37</w:t>
      </w:r>
      <w:r>
        <w:rPr>
          <w:rFonts w:ascii="Calibri"/>
          <w:sz w:val="20"/>
          <w:vertAlign w:val="baseline"/>
        </w:rPr>
        <w:t> Under fixed exchange rates, the exchange rate is exogenous and money supply endogenous. The</w:t>
      </w:r>
      <w:r>
        <w:rPr>
          <w:rFonts w:ascii="Calibri"/>
          <w:spacing w:val="-4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contrary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holds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under flexible</w:t>
      </w:r>
      <w:r>
        <w:rPr>
          <w:rFonts w:ascii="Calibri"/>
          <w:spacing w:val="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exchange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ratesregimes.</w:t>
      </w:r>
    </w:p>
    <w:p>
      <w:pPr>
        <w:spacing w:after="0"/>
        <w:jc w:val="left"/>
        <w:rPr>
          <w:rFonts w:ascii="Calibri"/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251" w:val="left" w:leader="none"/>
        </w:tabs>
      </w:pPr>
      <w:r>
        <w:rPr/>
        <w:drawing>
          <wp:anchor distT="0" distB="0" distL="0" distR="0" allowOverlap="1" layoutInCell="1" locked="0" behindDoc="1" simplePos="0" relativeHeight="477993472">
            <wp:simplePos x="0" y="0"/>
            <wp:positionH relativeFrom="page">
              <wp:posOffset>1485138</wp:posOffset>
            </wp:positionH>
            <wp:positionV relativeFrom="page">
              <wp:posOffset>2506217</wp:posOffset>
            </wp:positionV>
            <wp:extent cx="5102225" cy="5044439"/>
            <wp:effectExtent l="0" t="0" r="0" b="0"/>
            <wp:wrapNone/>
            <wp:docPr id="2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5.13:</w:t>
        <w:tab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Selected Findings (cont.)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1"/>
        <w:gridCol w:w="2223"/>
        <w:gridCol w:w="2221"/>
        <w:gridCol w:w="2807"/>
      </w:tblGrid>
      <w:tr>
        <w:trPr>
          <w:trHeight w:val="614" w:hRule="atLeast"/>
        </w:trPr>
        <w:tc>
          <w:tcPr>
            <w:tcW w:w="2221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2223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Coverage</w:t>
            </w:r>
          </w:p>
        </w:tc>
        <w:tc>
          <w:tcPr>
            <w:tcW w:w="2221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2807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Findings</w:t>
            </w:r>
          </w:p>
        </w:tc>
      </w:tr>
      <w:tr>
        <w:trPr>
          <w:trHeight w:val="5169" w:hRule="atLeast"/>
        </w:trPr>
        <w:tc>
          <w:tcPr>
            <w:tcW w:w="2221" w:type="dxa"/>
          </w:tcPr>
          <w:p>
            <w:pPr>
              <w:pStyle w:val="TableParagraph"/>
              <w:spacing w:line="36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Baharumshah,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A.Z.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al,. (2004)</w:t>
            </w:r>
          </w:p>
        </w:tc>
        <w:tc>
          <w:tcPr>
            <w:tcW w:w="2223" w:type="dxa"/>
          </w:tcPr>
          <w:p>
            <w:pPr>
              <w:pStyle w:val="TableParagraph"/>
              <w:tabs>
                <w:tab w:pos="1764" w:val="left" w:leader="none"/>
              </w:tabs>
              <w:spacing w:line="36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Singapore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Malaysia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Economies:1976-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1999</w:t>
            </w:r>
          </w:p>
        </w:tc>
        <w:tc>
          <w:tcPr>
            <w:tcW w:w="2221" w:type="dxa"/>
          </w:tcPr>
          <w:p>
            <w:pPr>
              <w:pStyle w:val="TableParagraph"/>
              <w:tabs>
                <w:tab w:pos="1150" w:val="left" w:leader="none"/>
                <w:tab w:pos="1457" w:val="left" w:leader="none"/>
              </w:tabs>
              <w:spacing w:line="360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Standard</w:t>
              <w:tab/>
            </w:r>
            <w:r>
              <w:rPr>
                <w:spacing w:val="-1"/>
                <w:sz w:val="24"/>
              </w:rPr>
              <w:t>Monetary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Model,</w:t>
              <w:tab/>
            </w:r>
            <w:r>
              <w:rPr>
                <w:spacing w:val="-1"/>
                <w:sz w:val="24"/>
              </w:rPr>
              <w:t>Johansen-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Juselius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Cointegration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Technique:</w:t>
              <w:tab/>
            </w:r>
            <w:r>
              <w:rPr>
                <w:spacing w:val="-1"/>
                <w:sz w:val="24"/>
              </w:rPr>
              <w:t>Vector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Error-Correction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(VECM)</w:t>
            </w:r>
          </w:p>
        </w:tc>
        <w:tc>
          <w:tcPr>
            <w:tcW w:w="2807" w:type="dxa"/>
          </w:tcPr>
          <w:p>
            <w:pPr>
              <w:pStyle w:val="TableParagraph"/>
              <w:tabs>
                <w:tab w:pos="1893" w:val="left" w:leader="none"/>
              </w:tabs>
              <w:spacing w:line="36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cointegration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</w:t>
              <w:tab/>
            </w:r>
            <w:r>
              <w:rPr>
                <w:spacing w:val="-1"/>
                <w:sz w:val="24"/>
              </w:rPr>
              <w:t>between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GDP,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adjusted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inflows was found to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cause structural changes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early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1990s.</w:t>
            </w:r>
          </w:p>
        </w:tc>
      </w:tr>
      <w:tr>
        <w:trPr>
          <w:trHeight w:val="4755" w:hRule="atLeast"/>
        </w:trPr>
        <w:tc>
          <w:tcPr>
            <w:tcW w:w="2221" w:type="dxa"/>
          </w:tcPr>
          <w:p>
            <w:pPr>
              <w:pStyle w:val="TableParagraph"/>
              <w:spacing w:line="360" w:lineRule="auto"/>
              <w:ind w:left="107" w:right="157"/>
              <w:jc w:val="both"/>
              <w:rPr>
                <w:sz w:val="24"/>
              </w:rPr>
            </w:pPr>
            <w:r>
              <w:rPr>
                <w:sz w:val="24"/>
              </w:rPr>
              <w:t>Keshab R. Bhattarai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Mark K. Armah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(2005)</w:t>
            </w:r>
          </w:p>
        </w:tc>
        <w:tc>
          <w:tcPr>
            <w:tcW w:w="2223" w:type="dxa"/>
          </w:tcPr>
          <w:p>
            <w:pPr>
              <w:pStyle w:val="TableParagraph"/>
              <w:spacing w:line="360" w:lineRule="auto"/>
              <w:ind w:left="107" w:right="161"/>
              <w:rPr>
                <w:sz w:val="24"/>
              </w:rPr>
            </w:pPr>
            <w:r>
              <w:rPr>
                <w:sz w:val="24"/>
              </w:rPr>
              <w:t>Analysis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Ghanaian Trade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1970-2000</w:t>
            </w:r>
          </w:p>
        </w:tc>
        <w:tc>
          <w:tcPr>
            <w:tcW w:w="2221" w:type="dxa"/>
          </w:tcPr>
          <w:p>
            <w:pPr>
              <w:pStyle w:val="TableParagraph"/>
              <w:spacing w:line="360" w:lineRule="auto"/>
              <w:ind w:left="106" w:right="387"/>
              <w:rPr>
                <w:sz w:val="24"/>
              </w:rPr>
            </w:pPr>
            <w:r>
              <w:rPr>
                <w:sz w:val="24"/>
              </w:rPr>
              <w:t>Vector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Autoregressive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(VAR) and Error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Correction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(ECM)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Analysis.</w:t>
            </w:r>
          </w:p>
        </w:tc>
        <w:tc>
          <w:tcPr>
            <w:tcW w:w="2807" w:type="dxa"/>
          </w:tcPr>
          <w:p>
            <w:pPr>
              <w:pStyle w:val="TableParagraph"/>
              <w:spacing w:line="360" w:lineRule="auto"/>
              <w:ind w:left="106" w:right="126"/>
              <w:rPr>
                <w:sz w:val="24"/>
              </w:rPr>
            </w:pPr>
            <w:r>
              <w:rPr>
                <w:sz w:val="24"/>
              </w:rPr>
              <w:t>Study confirmed a stable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long-run relationship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exports, imports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rate.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short-run elasticities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exports and imports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indicated contractionary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effects of devaluation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terms of the Marshall-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Lerner-Robinson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long-run.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tabs>
          <w:tab w:pos="2251" w:val="left" w:leader="none"/>
        </w:tabs>
        <w:spacing w:before="79"/>
        <w:ind w:left="81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7993984">
            <wp:simplePos x="0" y="0"/>
            <wp:positionH relativeFrom="page">
              <wp:posOffset>1485138</wp:posOffset>
            </wp:positionH>
            <wp:positionV relativeFrom="page">
              <wp:posOffset>2506217</wp:posOffset>
            </wp:positionV>
            <wp:extent cx="5102225" cy="5044439"/>
            <wp:effectExtent l="0" t="0" r="0" b="0"/>
            <wp:wrapNone/>
            <wp:docPr id="24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5.13:</w:t>
        <w:tab/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Selected Findings (cont.)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529"/>
        <w:gridCol w:w="1711"/>
        <w:gridCol w:w="3869"/>
      </w:tblGrid>
      <w:tr>
        <w:trPr>
          <w:trHeight w:val="614" w:hRule="atLeast"/>
        </w:trPr>
        <w:tc>
          <w:tcPr>
            <w:tcW w:w="1639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529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Coverage</w:t>
            </w:r>
          </w:p>
        </w:tc>
        <w:tc>
          <w:tcPr>
            <w:tcW w:w="1711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3869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Findings</w:t>
            </w:r>
          </w:p>
        </w:tc>
      </w:tr>
      <w:tr>
        <w:trPr>
          <w:trHeight w:val="1857" w:hRule="atLeast"/>
        </w:trPr>
        <w:tc>
          <w:tcPr>
            <w:tcW w:w="1639" w:type="dxa"/>
          </w:tcPr>
          <w:p>
            <w:pPr>
              <w:pStyle w:val="TableParagraph"/>
              <w:spacing w:line="360" w:lineRule="auto"/>
              <w:ind w:left="107" w:right="157"/>
              <w:rPr>
                <w:sz w:val="24"/>
              </w:rPr>
            </w:pPr>
            <w:r>
              <w:rPr>
                <w:spacing w:val="-1"/>
                <w:sz w:val="24"/>
              </w:rPr>
              <w:t>Frimpong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  <w:tc>
          <w:tcPr>
            <w:tcW w:w="152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Ghana,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1990-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171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Models</w:t>
            </w:r>
          </w:p>
        </w:tc>
        <w:tc>
          <w:tcPr>
            <w:tcW w:w="3869" w:type="dxa"/>
          </w:tcPr>
          <w:p>
            <w:pPr>
              <w:pStyle w:val="TableParagraph"/>
              <w:spacing w:line="360" w:lineRule="auto"/>
              <w:ind w:left="106" w:right="200"/>
              <w:rPr>
                <w:sz w:val="24"/>
              </w:rPr>
            </w:pPr>
            <w:r>
              <w:rPr>
                <w:sz w:val="24"/>
              </w:rPr>
              <w:t>Exchange rate pass-through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 is incomplete and gradually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decreases. The short run influence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highly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significant.</w:t>
            </w:r>
          </w:p>
        </w:tc>
      </w:tr>
      <w:tr>
        <w:trPr>
          <w:trHeight w:val="3098" w:hRule="atLeast"/>
        </w:trPr>
        <w:tc>
          <w:tcPr>
            <w:tcW w:w="1639" w:type="dxa"/>
          </w:tcPr>
          <w:p>
            <w:pPr>
              <w:pStyle w:val="TableParagraph"/>
              <w:spacing w:line="360" w:lineRule="auto"/>
              <w:ind w:left="107" w:right="135"/>
              <w:rPr>
                <w:sz w:val="24"/>
              </w:rPr>
            </w:pPr>
            <w:r>
              <w:rPr>
                <w:sz w:val="24"/>
              </w:rPr>
              <w:t>Al-Abri, A. S.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Goodwin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B.K.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(2007)</w:t>
            </w:r>
          </w:p>
        </w:tc>
        <w:tc>
          <w:tcPr>
            <w:tcW w:w="1529" w:type="dxa"/>
          </w:tcPr>
          <w:p>
            <w:pPr>
              <w:pStyle w:val="TableParagraph"/>
              <w:spacing w:line="360" w:lineRule="auto"/>
              <w:ind w:left="105" w:right="347"/>
              <w:rPr>
                <w:sz w:val="24"/>
              </w:rPr>
            </w:pPr>
            <w:r>
              <w:rPr>
                <w:sz w:val="24"/>
              </w:rPr>
              <w:t>5 out of 16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OECD</w:t>
            </w:r>
          </w:p>
          <w:p>
            <w:pPr>
              <w:pStyle w:val="TableParagraph"/>
              <w:spacing w:line="360" w:lineRule="auto"/>
              <w:ind w:left="105" w:right="371"/>
              <w:rPr>
                <w:sz w:val="24"/>
              </w:rPr>
            </w:pPr>
            <w:r>
              <w:rPr>
                <w:sz w:val="24"/>
              </w:rPr>
              <w:t>countries: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1975-2002</w:t>
            </w:r>
          </w:p>
        </w:tc>
        <w:tc>
          <w:tcPr>
            <w:tcW w:w="1711" w:type="dxa"/>
          </w:tcPr>
          <w:p>
            <w:pPr>
              <w:pStyle w:val="TableParagraph"/>
              <w:spacing w:line="360" w:lineRule="auto"/>
              <w:ind w:left="108" w:right="266"/>
              <w:rPr>
                <w:sz w:val="24"/>
              </w:rPr>
            </w:pPr>
            <w:r>
              <w:rPr>
                <w:sz w:val="24"/>
              </w:rPr>
              <w:t>Threshold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Cointegration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Model.</w:t>
            </w:r>
          </w:p>
        </w:tc>
        <w:tc>
          <w:tcPr>
            <w:tcW w:w="3869" w:type="dxa"/>
          </w:tcPr>
          <w:p>
            <w:pPr>
              <w:pStyle w:val="TableParagraph"/>
              <w:spacing w:line="360" w:lineRule="auto"/>
              <w:ind w:left="106" w:right="165"/>
              <w:rPr>
                <w:sz w:val="24"/>
              </w:rPr>
            </w:pPr>
            <w:r>
              <w:rPr>
                <w:sz w:val="24"/>
              </w:rPr>
              <w:t>A significant threshold cointegrating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 between the 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nominal exchange rate and import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prices.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 prices respond faster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(exceeding the 50% average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documented)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nominal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exchange rate changes.</w:t>
            </w:r>
          </w:p>
        </w:tc>
      </w:tr>
      <w:tr>
        <w:trPr>
          <w:trHeight w:val="2270" w:hRule="atLeast"/>
        </w:trPr>
        <w:tc>
          <w:tcPr>
            <w:tcW w:w="1639" w:type="dxa"/>
          </w:tcPr>
          <w:p>
            <w:pPr>
              <w:pStyle w:val="TableParagraph"/>
              <w:spacing w:line="360" w:lineRule="auto"/>
              <w:ind w:left="107" w:right="528"/>
              <w:rPr>
                <w:sz w:val="24"/>
              </w:rPr>
            </w:pPr>
            <w:r>
              <w:rPr>
                <w:sz w:val="24"/>
              </w:rPr>
              <w:t>McCarthy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(2000)</w:t>
            </w:r>
          </w:p>
        </w:tc>
        <w:tc>
          <w:tcPr>
            <w:tcW w:w="1529" w:type="dxa"/>
          </w:tcPr>
          <w:p>
            <w:pPr>
              <w:pStyle w:val="TableParagraph"/>
              <w:spacing w:line="360" w:lineRule="auto"/>
              <w:ind w:left="105" w:right="108"/>
              <w:rPr>
                <w:sz w:val="24"/>
              </w:rPr>
            </w:pPr>
            <w:r>
              <w:rPr>
                <w:sz w:val="24"/>
              </w:rPr>
              <w:t>Selected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Industrialised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Economies,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1976-1998</w:t>
            </w:r>
          </w:p>
        </w:tc>
        <w:tc>
          <w:tcPr>
            <w:tcW w:w="171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3869" w:type="dxa"/>
          </w:tcPr>
          <w:p>
            <w:pPr>
              <w:pStyle w:val="TableParagraph"/>
              <w:spacing w:line="360" w:lineRule="auto"/>
              <w:ind w:left="106" w:right="326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unpretentious effect on domestic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price inflation. The pass-through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 and stronger in countries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import share.</w:t>
            </w:r>
          </w:p>
        </w:tc>
      </w:tr>
      <w:tr>
        <w:trPr>
          <w:trHeight w:val="3098" w:hRule="atLeast"/>
        </w:trPr>
        <w:tc>
          <w:tcPr>
            <w:tcW w:w="16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Mwase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(2006)</w:t>
            </w:r>
          </w:p>
        </w:tc>
        <w:tc>
          <w:tcPr>
            <w:tcW w:w="1529" w:type="dxa"/>
          </w:tcPr>
          <w:p>
            <w:pPr>
              <w:pStyle w:val="TableParagraph"/>
              <w:spacing w:line="360" w:lineRule="auto"/>
              <w:ind w:left="105" w:right="371"/>
              <w:rPr>
                <w:sz w:val="24"/>
              </w:rPr>
            </w:pPr>
            <w:r>
              <w:rPr>
                <w:sz w:val="24"/>
              </w:rPr>
              <w:t>Tanzania,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1990-2005</w:t>
            </w:r>
          </w:p>
        </w:tc>
        <w:tc>
          <w:tcPr>
            <w:tcW w:w="171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3869" w:type="dxa"/>
          </w:tcPr>
          <w:p>
            <w:pPr>
              <w:pStyle w:val="TableParagraph"/>
              <w:spacing w:line="360" w:lineRule="auto"/>
              <w:ind w:left="106" w:right="252"/>
              <w:rPr>
                <w:sz w:val="24"/>
              </w:rPr>
            </w:pPr>
            <w:r>
              <w:rPr>
                <w:sz w:val="24"/>
              </w:rPr>
              <w:t>Incomplete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pass-through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declined in the 1990s despite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depreciation of the exchange rate.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Rise in imports were 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acted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indicator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pass-through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short-run.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251" w:val="left" w:leader="none"/>
        </w:tabs>
      </w:pPr>
      <w:r>
        <w:rPr/>
        <w:pict>
          <v:shape style="position:absolute;margin-left:116.940002pt;margin-top:397.679993pt;width:194.45pt;height:196.9pt;mso-position-horizontal-relative:page;mso-position-vertical-relative:page;z-index:-25321984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197.339966pt;width:237.4pt;height:230.5pt;mso-position-horizontal-relative:page;mso-position-vertical-relative:page;z-index:-25321472" coordorigin="5626,3947" coordsize="4748,4610" path="m6603,8500l6602,8496,6600,8489,6597,8486,6306,8195,6268,8123,6080,7762,6004,7618,5993,7597,5983,7585,5979,7583,5969,7580,5964,7582,5957,7586,5944,7597,5928,7613,5923,7619,5916,7628,5914,7633,5912,7641,5912,7644,5917,7657,5921,7662,6079,7955,6115,8020,6178,8128,6177,8128,6002,8029,5929,7989,5783,7911,5705,7869,5696,7865,5692,7864,5684,7866,5680,7867,5675,7870,5670,7873,5658,7883,5642,7899,5632,7911,5628,7917,5626,7922,5628,7932,5631,7936,5637,7941,5643,7946,5664,7958,5736,7996,6098,8184,6242,8260,6532,8551,6536,8553,6542,8556,6546,8556,6550,8555,6554,8554,6564,8549,6569,8545,6575,8541,6587,8529,6592,8523,6595,8518,6600,8508,6601,8504,6603,8500xm7274,7768l7274,7730,7268,7692,7258,7652,7242,7611,7223,7569,7199,7526,7170,7481,7161,7469,7161,7740,7157,7766,7148,7791,7133,7815,7115,7837,7093,7856,7070,7870,7045,7880,7020,7884,6994,7885,6967,7883,6939,7876,6909,7865,6880,7851,6849,7834,6818,7813,6786,7789,6753,7763,6720,7734,6687,7703,6652,7670,6622,7638,6594,7607,6567,7575,6541,7544,6518,7512,6499,7481,6482,7450,6469,7420,6458,7390,6451,7361,6447,7333,6447,7306,6451,7279,6460,7255,6474,7232,6493,7210,6515,7191,6537,7177,6562,7167,6587,7163,6614,7162,6641,7165,6669,7171,6698,7182,6728,7196,6759,7213,6790,7233,6821,7256,6854,7282,6886,7310,6919,7341,6952,7373,6983,7404,7012,7436,7039,7468,7064,7500,7088,7532,7108,7563,7125,7594,7139,7625,7150,7655,7157,7684,7161,7712,7161,7740,7161,7469,7137,7436,7100,7390,7059,7344,7013,7297,6966,7251,6921,7210,6876,7174,6860,7162,6832,7141,6790,7114,6749,7091,6709,7072,6670,7058,6633,7049,6596,7044,6562,7045,6528,7049,6496,7058,6465,7073,6436,7093,6408,7117,6383,7146,6363,7176,6348,7209,6339,7243,6335,7279,6336,7316,6341,7354,6351,7394,6366,7435,6386,7477,6409,7520,6438,7564,6470,7609,6507,7654,6547,7700,6591,7745,6639,7792,6685,7833,6731,7870,6775,7903,6817,7932,6859,7955,6899,7974,6938,7988,6975,7998,7011,8003,7046,8003,7080,7998,7113,7989,7144,7974,7173,7955,7201,7930,7227,7901,7237,7885,7247,7870,7261,7838,7270,7803,7274,7768xm7572,7530l7572,7527,7569,7519,7567,7516,7239,7188,7409,7018,7410,7015,7410,7008,7409,7004,7404,6995,7400,6989,7385,6971,7369,6955,7361,6948,7355,6943,7349,6938,7344,6935,7336,6931,7332,6930,7328,6930,7325,6931,7323,6932,7153,7102,6887,6837,7068,6656,7069,6654,7069,6651,7068,6643,7063,6635,7059,6629,7043,6610,7035,6602,7027,6594,7008,6577,6993,6569,6989,6568,6982,6568,6980,6568,6753,6795,6750,6804,6752,6815,6754,6824,6759,6834,6767,6844,6777,6856,7502,7581,7505,7583,7513,7586,7516,7586,7520,7585,7524,7584,7534,7579,7539,7576,7545,7571,7557,7558,7565,7548,7570,7538,7571,7534,7572,7530xm8101,7002l8100,6998,8098,6991,8095,6988,8092,6985,7340,6233,7337,6230,7330,6228,7327,6228,7322,6228,7318,6230,7309,6235,7298,6243,7286,6255,7278,6265,7273,6275,7272,6279,7271,6283,7271,6287,7274,6294,7276,6298,8031,7053,8034,7055,8041,7058,8044,7058,8048,7057,8053,7056,8063,7051,8073,7042,8086,7030,8090,7024,8094,7019,8099,7010,8099,7005,8101,7002xm8456,6574l8456,6558,8454,6541,8451,6524,8448,6507,8442,6490,8436,6472,8428,6454,8419,6436,8409,6418,8397,6399,8383,6381,8369,6363,8352,6345,8346,6338,8346,6540,8345,6554,8343,6568,8340,6580,8335,6592,8328,6604,8320,6616,8310,6627,8216,6721,7941,6446,8018,6369,8024,6364,8034,6355,8049,6343,8063,6334,8078,6327,8093,6323,8108,6321,8124,6320,8139,6321,8155,6325,8171,6330,8188,6337,8204,6346,8221,6357,8238,6369,8255,6384,8273,6400,8288,6417,8301,6433,8313,6449,8323,6465,8331,6480,8337,6496,8341,6511,8344,6525,8346,6540,8346,6338,8335,6326,8328,6320,8315,6307,8295,6290,8275,6275,8254,6261,8234,6249,8214,6239,8195,6230,8190,6228,8176,6223,8158,6218,8139,6215,8122,6213,8105,6213,8089,6214,8073,6218,8059,6222,8046,6228,8048,6215,8048,6201,8048,6187,8046,6172,8043,6158,8039,6143,8034,6128,8028,6113,8021,6099,8013,6084,8004,6070,7993,6055,7982,6041,7971,6026,7964,6018,7964,6212,7964,6226,7962,6239,7958,6252,7952,6265,7943,6277,7932,6290,7859,6364,7606,6111,7673,6044,7686,6032,7700,6021,7713,6014,7726,6008,7739,6005,7751,6003,7765,6003,7777,6005,7791,6008,7805,6014,7818,6020,7832,6028,7846,6038,7860,6049,7874,6061,7888,6075,7900,6087,7912,6101,7923,6114,7933,6128,7941,6143,7949,6157,7955,6171,7959,6185,7962,6199,7964,6212,7964,6018,7958,6012,7950,6003,7945,5998,7921,5976,7898,5956,7875,5939,7852,5924,7829,5912,7806,5902,7784,5895,7762,5890,7740,5888,7719,5889,7698,5892,7677,5898,7656,5907,7635,5920,7614,5936,7592,5956,7481,6067,7476,6072,7473,6081,7474,6092,7477,6101,7482,6111,7489,6122,7500,6133,8195,6829,8206,6839,8217,6847,8227,6851,8236,6853,8247,6855,8256,6853,8387,6721,8389,6720,8402,6706,8413,6692,8423,6678,8431,6664,8438,6650,8444,6636,8449,6621,8452,6606,8454,6590,8456,6574xm9020,6089l9019,6084,9017,6079,9014,6073,9009,6068,9003,6063,8995,6058,8984,6050,8889,5990,8609,5813,8609,5924,8440,6093,8179,5688,8135,5621,8135,5620,8135,5620,8609,5924,8609,5813,8304,5620,8097,5489,8091,5486,8086,5483,8081,5482,8076,5481,8072,5481,8062,5484,8056,5487,8050,5492,8044,5496,8038,5503,8030,5511,8022,5519,8016,5525,8012,5530,8008,5536,8005,5541,8004,5546,8002,5551,8001,5555,8003,5560,8004,5564,8007,5569,8010,5575,8053,5643,8370,6145,8571,6462,8578,6473,8584,6481,8589,6487,8594,6492,8600,6495,8604,6497,8609,6498,8614,6497,8620,6493,8625,6489,8632,6484,8646,6469,8651,6463,8655,6458,8659,6453,8661,6449,8661,6444,8662,6440,8662,6436,8660,6432,8659,6428,8657,6424,8654,6420,8617,6363,8506,6192,8605,6093,8709,5990,8940,6138,8945,6140,8949,6142,8953,6144,8956,6145,8960,6145,8963,6144,8968,6143,8972,6141,8978,6137,8983,6133,9005,6111,9010,6104,9014,6099,9018,6094,9020,6089xm9323,5673l9321,5635,9314,5595,9302,5554,9285,5512,9263,5468,9236,5423,9213,5389,9213,5637,9212,5664,9207,5690,9198,5716,9186,5740,9168,5764,9147,5788,9080,5854,8473,5247,8539,5181,8565,5159,8590,5141,8617,5128,8644,5121,8672,5118,8700,5119,8729,5123,8759,5130,8790,5142,8821,5156,8852,5173,8884,5194,8916,5218,8948,5244,8980,5272,9012,5302,9049,5341,9083,5379,9113,5415,9138,5450,9160,5484,9178,5517,9193,5549,9203,5580,9210,5609,9213,5637,9213,5389,9204,5376,9166,5329,9124,5280,9076,5230,9032,5188,8988,5150,8947,5118,8945,5117,8902,5087,8860,5062,8819,5041,8778,5025,8738,5012,8700,5005,8662,5002,8625,5004,8590,5011,8555,5022,8522,5039,8489,5063,8457,5091,8341,5207,8338,5216,8339,5227,8342,5236,8347,5246,8354,5257,8365,5268,9060,5964,9072,5974,9082,5981,9092,5986,9101,5988,9112,5990,9121,5987,9230,5879,9252,5854,9258,5847,9282,5814,9300,5781,9313,5746,9320,5711,9323,5673xm9940,5169l9939,5164,9937,5159,9934,5153,9929,5148,9923,5143,9916,5137,9905,5130,9810,5070,9529,4893,9529,5004,9360,5173,9099,4768,9055,4701,9055,4700,9529,5004,9529,4893,9224,4700,9017,4569,9011,4566,9006,4563,8996,4560,8992,4561,8987,4563,8982,4564,8976,4567,8971,4572,8965,4576,8958,4583,8950,4591,8936,4605,8928,4616,8925,4621,8924,4626,8922,4631,8922,4635,8923,4639,8924,4644,8927,4649,8930,4654,9017,4791,9289,5224,9318,5269,9491,5542,9498,5553,9504,5561,9509,5566,9514,5572,9520,5575,9529,5578,9534,5576,9540,5573,9545,5569,9552,5563,9566,5549,9571,5543,9575,5538,9579,5533,9581,5528,9581,5523,9582,5519,9582,5516,9580,5511,9579,5508,9577,5504,9574,5499,9426,5272,9525,5173,9629,5070,9860,5218,9865,5220,9869,5222,9873,5223,9876,5225,9880,5225,9883,5224,9888,5223,9892,5221,9898,5217,9903,5213,9925,5191,9930,5184,9934,5179,9938,5174,9940,5169xm10374,4725l10372,4712,10369,4705,10362,4691,10356,4683,10348,4675,9625,3952,9622,3950,9615,3947,9611,3947,9602,3948,9598,3950,9593,3954,9582,3962,9570,3974,9559,3990,9556,3994,9555,4003,9556,4007,9557,4010,9558,4014,9560,4017,10011,4467,10186,4640,10186,4641,10037,4563,9959,4523,9898,4493,9801,4444,9573,4330,9421,4254,9397,4243,9378,4234,9366,4230,9356,4228,9347,4227,9338,4227,9330,4228,9316,4234,9309,4239,9263,4285,9260,4295,9261,4307,9264,4317,9269,4327,9277,4338,9287,4350,10010,5073,10013,5075,10016,5076,10020,5078,10024,5079,10028,5077,10032,5077,10042,5072,10052,5064,10065,5051,10073,5040,10076,5035,10078,5031,10078,5026,10080,5022,10080,5019,10078,5015,10077,5011,10075,5008,9533,4467,9421,4358,9422,4357,9468,4382,9565,4433,9686,4494,10057,4678,10204,4752,10233,4766,10272,4782,10285,4785,10295,4786,10305,4787,10314,4787,10321,4784,10329,4781,10336,4776,10367,4745,10370,4741,10373,4730,10374,4725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5.13:</w:t>
        <w:tab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Selected Findings (cont.)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592"/>
        <w:gridCol w:w="2583"/>
        <w:gridCol w:w="2967"/>
      </w:tblGrid>
      <w:tr>
        <w:trPr>
          <w:trHeight w:val="614" w:hRule="atLeast"/>
        </w:trPr>
        <w:tc>
          <w:tcPr>
            <w:tcW w:w="184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592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Coverage</w:t>
            </w:r>
          </w:p>
        </w:tc>
        <w:tc>
          <w:tcPr>
            <w:tcW w:w="2583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296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Findings</w:t>
            </w:r>
          </w:p>
        </w:tc>
      </w:tr>
      <w:tr>
        <w:trPr>
          <w:trHeight w:val="2685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494"/>
              <w:rPr>
                <w:sz w:val="24"/>
              </w:rPr>
            </w:pPr>
            <w:r>
              <w:rPr>
                <w:sz w:val="24"/>
              </w:rPr>
              <w:t>Bwire,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(2013)</w:t>
            </w:r>
          </w:p>
        </w:tc>
        <w:tc>
          <w:tcPr>
            <w:tcW w:w="1592" w:type="dxa"/>
          </w:tcPr>
          <w:p>
            <w:pPr>
              <w:pStyle w:val="TableParagraph"/>
              <w:spacing w:line="360" w:lineRule="auto"/>
              <w:ind w:left="108" w:right="432"/>
              <w:rPr>
                <w:sz w:val="24"/>
              </w:rPr>
            </w:pPr>
            <w:r>
              <w:rPr>
                <w:sz w:val="24"/>
              </w:rPr>
              <w:t>Uganda,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1999-2012</w:t>
            </w:r>
          </w:p>
        </w:tc>
        <w:tc>
          <w:tcPr>
            <w:tcW w:w="258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SVAR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>Statistically significant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 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 rate movements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inflation.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pass-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 was incomplete but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persistent.</w:t>
            </w:r>
          </w:p>
        </w:tc>
      </w:tr>
      <w:tr>
        <w:trPr>
          <w:trHeight w:val="2270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268"/>
              <w:rPr>
                <w:sz w:val="24"/>
              </w:rPr>
            </w:pPr>
            <w:r>
              <w:rPr>
                <w:sz w:val="24"/>
              </w:rPr>
              <w:t>Bangura,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(2012)</w:t>
            </w:r>
          </w:p>
        </w:tc>
        <w:tc>
          <w:tcPr>
            <w:tcW w:w="1592" w:type="dxa"/>
          </w:tcPr>
          <w:p>
            <w:pPr>
              <w:pStyle w:val="TableParagraph"/>
              <w:spacing w:line="360" w:lineRule="auto"/>
              <w:ind w:left="108" w:right="181"/>
              <w:rPr>
                <w:sz w:val="24"/>
              </w:rPr>
            </w:pPr>
            <w:r>
              <w:rPr>
                <w:sz w:val="24"/>
              </w:rPr>
              <w:t>Sierra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Leone,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1998-2011</w:t>
            </w:r>
          </w:p>
        </w:tc>
        <w:tc>
          <w:tcPr>
            <w:tcW w:w="2583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SVAR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401"/>
              <w:rPr>
                <w:sz w:val="24"/>
              </w:rPr>
            </w:pPr>
            <w:r>
              <w:rPr>
                <w:spacing w:val="-1"/>
                <w:sz w:val="24"/>
              </w:rPr>
              <w:t>Incomplete </w:t>
            </w:r>
            <w:r>
              <w:rPr>
                <w:sz w:val="24"/>
              </w:rPr>
              <w:t>pass-through.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Exchange rate behaviour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featured as one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possible sources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inflation.</w:t>
            </w:r>
          </w:p>
        </w:tc>
      </w:tr>
      <w:tr>
        <w:trPr>
          <w:trHeight w:val="2270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251"/>
              <w:rPr>
                <w:sz w:val="24"/>
              </w:rPr>
            </w:pPr>
            <w:r>
              <w:rPr>
                <w:sz w:val="24"/>
              </w:rPr>
              <w:t>Petrovic, P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Gligoric, 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(2009)</w:t>
            </w:r>
          </w:p>
        </w:tc>
        <w:tc>
          <w:tcPr>
            <w:tcW w:w="159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Serbia,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2002-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583" w:type="dxa"/>
          </w:tcPr>
          <w:p>
            <w:pPr>
              <w:pStyle w:val="TableParagraph"/>
              <w:spacing w:line="360" w:lineRule="auto"/>
              <w:ind w:left="105" w:right="510"/>
              <w:rPr>
                <w:sz w:val="24"/>
              </w:rPr>
            </w:pPr>
            <w:r>
              <w:rPr>
                <w:sz w:val="24"/>
              </w:rPr>
              <w:t>Johansen‘s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Autoregressive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(ARDL)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approaches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116"/>
              <w:rPr>
                <w:sz w:val="24"/>
              </w:rPr>
            </w:pPr>
            <w:r>
              <w:rPr>
                <w:sz w:val="24"/>
              </w:rPr>
              <w:t>Exchange rate depreciation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improved trade balance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long-run, while giving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rise to a J-curve effect in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short-run.</w:t>
            </w:r>
          </w:p>
        </w:tc>
      </w:tr>
      <w:tr>
        <w:trPr>
          <w:trHeight w:val="4339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266"/>
              <w:rPr>
                <w:sz w:val="24"/>
              </w:rPr>
            </w:pPr>
            <w:r>
              <w:rPr>
                <w:sz w:val="24"/>
              </w:rPr>
              <w:t>Hernan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Rincon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(1998)</w:t>
            </w:r>
          </w:p>
        </w:tc>
        <w:tc>
          <w:tcPr>
            <w:tcW w:w="1592" w:type="dxa"/>
          </w:tcPr>
          <w:p>
            <w:pPr>
              <w:pStyle w:val="TableParagraph"/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Colombia: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role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 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behaviour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Colombia:197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9:1-1995:4</w:t>
            </w:r>
          </w:p>
        </w:tc>
        <w:tc>
          <w:tcPr>
            <w:tcW w:w="2583" w:type="dxa"/>
          </w:tcPr>
          <w:p>
            <w:pPr>
              <w:pStyle w:val="TableParagraph"/>
              <w:spacing w:line="360" w:lineRule="auto"/>
              <w:ind w:left="105" w:right="208"/>
              <w:rPr>
                <w:sz w:val="24"/>
              </w:rPr>
            </w:pPr>
            <w:r>
              <w:rPr>
                <w:sz w:val="24"/>
              </w:rPr>
              <w:t>Multivariate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Cointegration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349"/>
              <w:rPr>
                <w:sz w:val="24"/>
              </w:rPr>
            </w:pPr>
            <w:r>
              <w:rPr>
                <w:sz w:val="24"/>
              </w:rPr>
              <w:t>Exchange rates do play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role in determining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short-and-long run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equilibrium behaviour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Colombian trade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data 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supported the Bickerdike-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Robinson-Metzler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(BRM)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 Marshall-Lerner (ML)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tabs>
          <w:tab w:pos="2251" w:val="left" w:leader="none"/>
        </w:tabs>
        <w:spacing w:before="79"/>
        <w:ind w:left="81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7995520">
            <wp:simplePos x="0" y="0"/>
            <wp:positionH relativeFrom="page">
              <wp:posOffset>1485138</wp:posOffset>
            </wp:positionH>
            <wp:positionV relativeFrom="page">
              <wp:posOffset>2506217</wp:posOffset>
            </wp:positionV>
            <wp:extent cx="5102225" cy="5044439"/>
            <wp:effectExtent l="0" t="0" r="0" b="0"/>
            <wp:wrapNone/>
            <wp:docPr id="24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5.13:</w:t>
        <w:tab/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Selected Findings (cont.)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321"/>
        <w:gridCol w:w="1981"/>
        <w:gridCol w:w="3781"/>
      </w:tblGrid>
      <w:tr>
        <w:trPr>
          <w:trHeight w:val="614" w:hRule="atLeast"/>
        </w:trPr>
        <w:tc>
          <w:tcPr>
            <w:tcW w:w="184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321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Coverage</w:t>
            </w:r>
          </w:p>
        </w:tc>
        <w:tc>
          <w:tcPr>
            <w:tcW w:w="1981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3781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Findings</w:t>
            </w:r>
          </w:p>
        </w:tc>
      </w:tr>
      <w:tr>
        <w:trPr>
          <w:trHeight w:val="10738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495"/>
              <w:rPr>
                <w:sz w:val="24"/>
              </w:rPr>
            </w:pPr>
            <w:r>
              <w:rPr>
                <w:sz w:val="24"/>
              </w:rPr>
              <w:t>Ali,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Z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Anwar, 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  <w:tc>
          <w:tcPr>
            <w:tcW w:w="1321" w:type="dxa"/>
          </w:tcPr>
          <w:p>
            <w:pPr>
              <w:pStyle w:val="TableParagraph"/>
              <w:spacing w:line="360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Least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Developed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Countries</w:t>
            </w:r>
          </w:p>
        </w:tc>
        <w:tc>
          <w:tcPr>
            <w:tcW w:w="1981" w:type="dxa"/>
          </w:tcPr>
          <w:p>
            <w:pPr>
              <w:pStyle w:val="TableParagraph"/>
              <w:spacing w:line="360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Small Open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Economy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Firm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Microeconomic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Foundations.</w:t>
            </w:r>
          </w:p>
        </w:tc>
        <w:tc>
          <w:tcPr>
            <w:tcW w:w="3781" w:type="dxa"/>
          </w:tcPr>
          <w:p>
            <w:pPr>
              <w:pStyle w:val="TableParagraph"/>
              <w:spacing w:line="36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competitiveness.</w:t>
            </w:r>
          </w:p>
          <w:p>
            <w:pPr>
              <w:pStyle w:val="TableParagraph"/>
              <w:spacing w:line="360" w:lineRule="auto" w:before="194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aggregate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rate.</w:t>
            </w:r>
          </w:p>
          <w:p>
            <w:pPr>
              <w:pStyle w:val="TableParagraph"/>
              <w:spacing w:line="360" w:lineRule="auto" w:before="202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side,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depreciation had negative 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domestic firm adjusted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their prices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prices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foreign firms.</w:t>
            </w:r>
          </w:p>
          <w:p>
            <w:pPr>
              <w:pStyle w:val="TableParagraph"/>
              <w:tabs>
                <w:tab w:pos="1394" w:val="left" w:leader="none"/>
              </w:tabs>
              <w:spacing w:line="360" w:lineRule="auto" w:before="200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Depreciation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nominal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 rate results in depreciation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channel reaction was that 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 depreciation, along with the real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interest rate effect, contributed 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prices.</w:t>
              <w:tab/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Marshall-Lerner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Condition and the form of 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role.</w:t>
            </w:r>
          </w:p>
        </w:tc>
      </w:tr>
    </w:tbl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tabs>
          <w:tab w:pos="2251" w:val="left" w:leader="none"/>
        </w:tabs>
      </w:pPr>
      <w:r>
        <w:rPr/>
        <w:drawing>
          <wp:anchor distT="0" distB="0" distL="0" distR="0" allowOverlap="1" layoutInCell="1" locked="0" behindDoc="1" simplePos="0" relativeHeight="477996032">
            <wp:simplePos x="0" y="0"/>
            <wp:positionH relativeFrom="page">
              <wp:posOffset>1485138</wp:posOffset>
            </wp:positionH>
            <wp:positionV relativeFrom="page">
              <wp:posOffset>2506217</wp:posOffset>
            </wp:positionV>
            <wp:extent cx="5102225" cy="5044439"/>
            <wp:effectExtent l="0" t="0" r="0" b="0"/>
            <wp:wrapNone/>
            <wp:docPr id="2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5.13:</w:t>
        <w:tab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Selected Findings (cont.)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592"/>
        <w:gridCol w:w="1981"/>
        <w:gridCol w:w="3690"/>
      </w:tblGrid>
      <w:tr>
        <w:trPr>
          <w:trHeight w:val="614" w:hRule="atLeast"/>
        </w:trPr>
        <w:tc>
          <w:tcPr>
            <w:tcW w:w="184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592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Coverage</w:t>
            </w:r>
          </w:p>
        </w:tc>
        <w:tc>
          <w:tcPr>
            <w:tcW w:w="1981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3690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Findings</w:t>
            </w:r>
          </w:p>
        </w:tc>
      </w:tr>
      <w:tr>
        <w:trPr>
          <w:trHeight w:val="3098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Combes et al.,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  <w:tc>
          <w:tcPr>
            <w:tcW w:w="159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spacing w:line="360" w:lineRule="auto" w:before="137"/>
              <w:ind w:left="108" w:right="171"/>
              <w:rPr>
                <w:sz w:val="24"/>
              </w:rPr>
            </w:pPr>
            <w:r>
              <w:rPr>
                <w:sz w:val="24"/>
              </w:rPr>
              <w:t>Developing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countries (of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Africa)</w:t>
            </w:r>
          </w:p>
        </w:tc>
        <w:tc>
          <w:tcPr>
            <w:tcW w:w="1981" w:type="dxa"/>
          </w:tcPr>
          <w:p>
            <w:pPr>
              <w:pStyle w:val="TableParagraph"/>
              <w:spacing w:line="360" w:lineRule="auto"/>
              <w:ind w:left="105" w:right="394"/>
              <w:rPr>
                <w:sz w:val="24"/>
              </w:rPr>
            </w:pPr>
            <w:r>
              <w:rPr>
                <w:spacing w:val="-1"/>
                <w:sz w:val="24"/>
              </w:rPr>
              <w:t>Dynamic </w:t>
            </w:r>
            <w:r>
              <w:rPr>
                <w:sz w:val="24"/>
              </w:rPr>
              <w:t>panel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cointegration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techniques.</w:t>
            </w:r>
          </w:p>
        </w:tc>
        <w:tc>
          <w:tcPr>
            <w:tcW w:w="3690" w:type="dxa"/>
          </w:tcPr>
          <w:p>
            <w:pPr>
              <w:pStyle w:val="TableParagraph"/>
              <w:spacing w:line="360" w:lineRule="auto"/>
              <w:ind w:left="104" w:right="14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conclusion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reached,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real exchange rate appreciation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stemmed from capital inflows.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this, portfolio investment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commanded the highest 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exceeded that of foreign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investment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 times.</w:t>
            </w:r>
          </w:p>
        </w:tc>
      </w:tr>
      <w:tr>
        <w:trPr>
          <w:trHeight w:val="1857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425"/>
              <w:rPr>
                <w:sz w:val="24"/>
              </w:rPr>
            </w:pPr>
            <w:r>
              <w:rPr>
                <w:sz w:val="24"/>
              </w:rPr>
              <w:t>Kodongo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Ojah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  <w:tc>
          <w:tcPr>
            <w:tcW w:w="1592" w:type="dxa"/>
          </w:tcPr>
          <w:p>
            <w:pPr>
              <w:pStyle w:val="TableParagraph"/>
              <w:spacing w:line="360" w:lineRule="auto"/>
              <w:ind w:left="108" w:right="432"/>
              <w:rPr>
                <w:sz w:val="24"/>
              </w:rPr>
            </w:pPr>
            <w:r>
              <w:rPr>
                <w:sz w:val="24"/>
              </w:rPr>
              <w:t>Selected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African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Countries,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1993-2009</w:t>
            </w:r>
          </w:p>
        </w:tc>
        <w:tc>
          <w:tcPr>
            <w:tcW w:w="1981" w:type="dxa"/>
          </w:tcPr>
          <w:p>
            <w:pPr>
              <w:pStyle w:val="TableParagraph"/>
              <w:spacing w:line="360" w:lineRule="auto"/>
              <w:ind w:left="105" w:right="761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techniques</w:t>
            </w:r>
          </w:p>
        </w:tc>
        <w:tc>
          <w:tcPr>
            <w:tcW w:w="3690" w:type="dxa"/>
          </w:tcPr>
          <w:p>
            <w:pPr>
              <w:pStyle w:val="TableParagraph"/>
              <w:spacing w:line="360" w:lineRule="auto"/>
              <w:ind w:left="104" w:right="109"/>
              <w:rPr>
                <w:sz w:val="24"/>
              </w:rPr>
            </w:pPr>
            <w:r>
              <w:rPr>
                <w:sz w:val="24"/>
              </w:rPr>
              <w:t>Depreciation of exchange rate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improving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payments position especially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 run.</w:t>
            </w:r>
          </w:p>
        </w:tc>
      </w:tr>
      <w:tr>
        <w:trPr>
          <w:trHeight w:val="2683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Rowland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(2004)</w:t>
            </w:r>
          </w:p>
        </w:tc>
        <w:tc>
          <w:tcPr>
            <w:tcW w:w="1592" w:type="dxa"/>
          </w:tcPr>
          <w:p>
            <w:pPr>
              <w:pStyle w:val="TableParagraph"/>
              <w:spacing w:line="360" w:lineRule="auto"/>
              <w:ind w:left="108" w:right="432"/>
              <w:rPr>
                <w:sz w:val="24"/>
              </w:rPr>
            </w:pPr>
            <w:r>
              <w:rPr>
                <w:sz w:val="24"/>
              </w:rPr>
              <w:t>Colombia,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1983-2002</w:t>
            </w:r>
          </w:p>
        </w:tc>
        <w:tc>
          <w:tcPr>
            <w:tcW w:w="1981" w:type="dxa"/>
          </w:tcPr>
          <w:p>
            <w:pPr>
              <w:pStyle w:val="TableParagraph"/>
              <w:spacing w:line="360" w:lineRule="auto"/>
              <w:ind w:left="105" w:right="107"/>
              <w:rPr>
                <w:sz w:val="24"/>
              </w:rPr>
            </w:pPr>
            <w:r>
              <w:rPr>
                <w:sz w:val="24"/>
              </w:rPr>
              <w:t>Unrestricted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3690" w:type="dxa"/>
          </w:tcPr>
          <w:p>
            <w:pPr>
              <w:pStyle w:val="TableParagraph"/>
              <w:spacing w:line="360" w:lineRule="auto"/>
              <w:ind w:left="104" w:right="309"/>
              <w:rPr>
                <w:sz w:val="24"/>
              </w:rPr>
            </w:pPr>
            <w:r>
              <w:rPr>
                <w:sz w:val="24"/>
              </w:rPr>
              <w:t>The pass-through is incomplete.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 prices is found to respond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speedily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greater percentages passed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onto prices of imports within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year.</w:t>
            </w:r>
          </w:p>
        </w:tc>
      </w:tr>
      <w:tr>
        <w:trPr>
          <w:trHeight w:val="2685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526"/>
              <w:rPr>
                <w:sz w:val="24"/>
              </w:rPr>
            </w:pPr>
            <w:r>
              <w:rPr>
                <w:spacing w:val="-1"/>
                <w:sz w:val="24"/>
              </w:rPr>
              <w:t>Bleaney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Greenaway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(1998)</w:t>
            </w:r>
          </w:p>
        </w:tc>
        <w:tc>
          <w:tcPr>
            <w:tcW w:w="1592" w:type="dxa"/>
          </w:tcPr>
          <w:p>
            <w:pPr>
              <w:pStyle w:val="TableParagraph"/>
              <w:spacing w:line="360" w:lineRule="auto"/>
              <w:ind w:left="108" w:right="238"/>
              <w:rPr>
                <w:sz w:val="24"/>
              </w:rPr>
            </w:pPr>
            <w:r>
              <w:rPr>
                <w:spacing w:val="-1"/>
                <w:sz w:val="24"/>
              </w:rPr>
              <w:t>Sub-Saharan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Africa,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1980-1995</w:t>
            </w:r>
          </w:p>
        </w:tc>
        <w:tc>
          <w:tcPr>
            <w:tcW w:w="1981" w:type="dxa"/>
          </w:tcPr>
          <w:p>
            <w:pPr>
              <w:pStyle w:val="TableParagraph"/>
              <w:spacing w:line="360" w:lineRule="auto"/>
              <w:ind w:left="105" w:right="814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3690" w:type="dxa"/>
          </w:tcPr>
          <w:p>
            <w:pPr>
              <w:pStyle w:val="TableParagraph"/>
              <w:spacing w:line="360" w:lineRule="auto"/>
              <w:ind w:left="104" w:right="104"/>
              <w:rPr>
                <w:sz w:val="24"/>
              </w:rPr>
            </w:pPr>
            <w:r>
              <w:rPr>
                <w:sz w:val="24"/>
              </w:rPr>
              <w:t>Real exchange rate instability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negatively affects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investment,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balance.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Improvement occurs when 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currencies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eradicated.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16.940002pt;margin-top:397.679993pt;width:194.45pt;height:196.9pt;mso-position-horizontal-relative:page;mso-position-vertical-relative:page;z-index:-25319936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</w:p>
    <w:p>
      <w:pPr>
        <w:tabs>
          <w:tab w:pos="2251" w:val="left" w:leader="none"/>
        </w:tabs>
        <w:spacing w:before="218"/>
        <w:ind w:left="811" w:right="0" w:firstLine="0"/>
        <w:jc w:val="left"/>
        <w:rPr>
          <w:b/>
          <w:sz w:val="24"/>
        </w:rPr>
      </w:pPr>
      <w:r>
        <w:rPr/>
        <w:pict>
          <v:shape style="position:absolute;margin-left:281.300018pt;margin-top:110.823105pt;width:237.4pt;height:230.5pt;mso-position-horizontal-relative:page;mso-position-vertical-relative:paragraph;z-index:-25319424" coordorigin="5626,2216" coordsize="4748,4610" path="m6603,6769l6602,6766,6600,6759,6597,6756,6306,6465,6268,6393,6080,6032,6004,5887,5993,5867,5983,5855,5979,5852,5969,5850,5964,5852,5957,5856,5944,5867,5928,5882,5923,5888,5916,5898,5914,5902,5912,5910,5912,5914,5917,5927,5921,5932,6079,6225,6115,6289,6178,6397,6177,6398,6002,6298,5929,6259,5783,6181,5705,6138,5696,6135,5692,6134,5684,6135,5680,6137,5675,6139,5670,6143,5658,6153,5642,6169,5632,6181,5628,6187,5626,6192,5628,6202,5631,6206,5637,6211,5643,6216,5664,6227,5736,6266,6098,6454,6242,6530,6532,6820,6536,6823,6542,6826,6546,6826,6550,6824,6554,6824,6564,6818,6569,6815,6575,6811,6587,6798,6592,6792,6595,6788,6600,6778,6601,6773,6603,6769xm7274,6037l7274,6000,7268,5961,7258,5921,7242,5881,7223,5839,7199,5795,7170,5751,7161,5738,7161,6010,7157,6036,7148,6061,7133,6085,7115,6106,7093,6126,7070,6140,7045,6150,7020,6154,6994,6155,6967,6152,6939,6145,6909,6134,6880,6120,6849,6103,6818,6083,6786,6059,6753,6032,6720,6004,6687,5973,6652,5939,6622,5908,6594,5877,6567,5845,6541,5813,6518,5782,6499,5751,6482,5720,6469,5689,6458,5660,6451,5631,6447,5603,6447,5575,6451,5549,6460,5524,6474,5501,6493,5479,6515,5461,6537,5446,6562,5437,6587,5432,6614,5432,6641,5435,6669,5441,6698,5451,6728,5466,6759,5483,6790,5503,6821,5526,6854,5552,6886,5580,6919,5610,6952,5642,6983,5674,7012,5706,7039,5738,7064,5770,7088,5802,7108,5833,7125,5864,7139,5894,7150,5924,7157,5954,7161,5982,7161,6010,7161,5738,7137,5706,7100,5660,7059,5614,7013,5566,6966,5521,6921,5480,6876,5443,6860,5432,6832,5411,6790,5383,6749,5360,6709,5342,6670,5328,6633,5318,6596,5314,6562,5314,6528,5319,6496,5328,6465,5343,6436,5362,6408,5387,6383,5415,6363,5446,6348,5478,6339,5512,6335,5549,6336,5586,6341,5624,6351,5663,6366,5704,6386,5746,6409,5790,6438,5834,6470,5878,6507,5924,6547,5969,6591,6015,6639,6061,6685,6103,6731,6140,6775,6173,6817,6201,6859,6225,6899,6244,6938,6258,6975,6268,7011,6272,7046,6272,7080,6268,7113,6259,7144,6244,7173,6224,7201,6199,7227,6171,7237,6155,7247,6140,7261,6107,7270,6073,7274,6037xm7572,5800l7572,5796,7569,5788,7567,5786,7239,5458,7409,5287,7410,5285,7410,5278,7409,5274,7404,5265,7400,5259,7385,5241,7369,5225,7361,5218,7355,5213,7349,5208,7344,5205,7336,5201,7332,5200,7328,5200,7325,5200,7323,5201,7153,5372,6887,5106,7068,4926,7069,4924,7069,4920,7068,4913,7063,4904,7059,4898,7043,4880,7035,4872,7027,4864,7008,4847,6993,4838,6989,4837,6982,4837,6980,4838,6753,5065,6750,5073,6752,5084,6754,5094,6759,5103,6767,5114,6777,5125,7502,5850,7505,5852,7513,5856,7516,5856,7520,5855,7524,5854,7534,5849,7539,5845,7545,5840,7557,5828,7565,5817,7570,5808,7571,5803,7572,5800xm8101,5271l8100,5268,8098,5261,8095,5257,8092,5254,7340,4503,7337,4500,7330,4497,7327,4497,7322,4498,7318,4499,7309,4504,7298,4512,7286,4524,7278,4535,7273,4544,7272,4548,7271,4553,7271,4557,7274,4564,7276,4567,8031,5322,8034,5325,8041,5327,8044,5328,8048,5326,8053,5325,8063,5320,8073,5312,8086,5300,8090,5294,8094,5289,8099,5279,8099,5275,8101,5271xm8456,4843l8456,4827,8454,4810,8451,4794,8448,4777,8442,4759,8436,4742,8428,4724,8419,4706,8409,4688,8397,4669,8383,4651,8369,4633,8352,4614,8346,4607,8346,4810,8345,4824,8343,4837,8340,4850,8335,4862,8328,4874,8320,4886,8310,4897,8216,4991,7941,4716,8018,4639,8024,4633,8034,4625,8049,4613,8063,4604,8078,4597,8093,4593,8108,4590,8124,4590,8139,4591,8155,4595,8171,4600,8188,4607,8204,4615,8221,4626,8238,4639,8255,4654,8273,4670,8288,4686,8301,4703,8313,4719,8323,4734,8331,4750,8337,4766,8341,4781,8344,4795,8346,4810,8346,4607,8335,4596,8328,4590,8315,4577,8295,4560,8275,4544,8254,4531,8234,4518,8214,4508,8195,4500,8190,4498,8176,4493,8158,4488,8139,4485,8122,4483,8105,4482,8089,4484,8073,4487,8059,4492,8046,4498,8048,4485,8048,4471,8048,4457,8046,4442,8043,4428,8039,4413,8034,4398,8028,4383,8021,4369,8013,4354,8004,4339,7993,4325,7982,4310,7971,4296,7964,4288,7964,4482,7964,4495,7962,4508,7958,4521,7952,4534,7943,4547,7932,4560,7859,4633,7606,4381,7673,4314,7686,4301,7700,4291,7713,4283,7726,4278,7739,4274,7751,4273,7765,4273,7777,4274,7791,4278,7805,4283,7818,4290,7832,4298,7846,4308,7860,4319,7874,4331,7888,4344,7900,4357,7912,4370,7923,4384,7933,4398,7941,4412,7949,4427,7955,4441,7959,4454,7962,4468,7964,4482,7964,4288,7958,4282,7950,4273,7945,4267,7921,4246,7898,4226,7875,4209,7852,4194,7829,4181,7806,4172,7784,4164,7762,4159,7740,4158,7719,4158,7698,4162,7677,4168,7656,4177,7635,4189,7614,4206,7592,4226,7481,4336,7476,4342,7473,4351,7474,4362,7477,4371,7482,4381,7489,4391,7500,4403,8195,5098,8206,5109,8217,5116,8227,5121,8236,5123,8247,5125,8256,5122,8387,4991,8389,4989,8402,4976,8413,4962,8423,4948,8431,4934,8438,4920,8444,4906,8449,4891,8452,4875,8454,4859,8456,4843xm9020,4358l9019,4353,9017,4348,9014,4343,9009,4338,9003,4333,8995,4327,8984,4320,8889,4259,8609,4083,8609,4194,8440,4363,8179,3958,8135,3890,8135,3890,8135,3890,8609,4194,8609,4083,8304,3890,8097,3759,8091,3756,8086,3752,8081,3751,8076,3750,8072,3751,8062,3754,8056,3757,8050,3761,8044,3766,8038,3773,8030,3781,8022,3788,8016,3794,8012,3800,8008,3805,8005,3811,8004,3815,8002,3821,8001,3825,8003,3829,8004,3834,8007,3839,8010,3844,8053,3912,8370,4415,8571,4732,8578,4743,8584,4751,8589,4756,8594,4762,8600,4765,8604,4766,8609,4767,8614,4766,8620,4762,8625,4759,8632,4753,8646,4739,8651,4733,8655,4727,8659,4723,8661,4718,8661,4713,8662,4709,8662,4705,8660,4701,8659,4698,8657,4694,8654,4689,8617,4632,8506,4462,8605,4363,8709,4259,8940,4407,8945,4410,8949,4412,8953,4413,8956,4414,8960,4415,8963,4413,8968,4413,8972,4411,8978,4406,8983,4402,9005,4381,9010,4374,9014,4368,9018,4363,9020,4358xm9323,3943l9321,3904,9314,3865,9302,3824,9285,3781,9263,3738,9236,3692,9213,3659,9213,3907,9212,3934,9207,3960,9198,3985,9186,4010,9168,4034,9147,4057,9080,4124,8473,3517,8539,3451,8565,3428,8590,3411,8617,3398,8644,3391,8672,3388,8700,3388,8729,3392,8759,3400,8790,3411,8821,3425,8852,3443,8884,3463,8916,3487,8948,3513,8980,3541,9012,3572,9049,3611,9083,3649,9113,3685,9138,3720,9160,3754,9178,3787,9193,3819,9203,3849,9210,3879,9213,3907,9213,3659,9204,3646,9166,3598,9124,3550,9076,3499,9032,3458,8988,3420,8947,3388,8945,3386,8902,3357,8860,3332,8819,3311,8778,3294,8738,3282,8700,3275,8662,3272,8625,3274,8590,3280,8555,3292,8522,3309,8489,3332,8457,3361,8341,3477,8338,3486,8339,3496,8342,3506,8347,3516,8354,3526,8365,3538,9060,4233,9072,4244,9082,4251,9092,4256,9101,4258,9112,4260,9121,4257,9230,4148,9252,4124,9258,4116,9282,4084,9300,4050,9313,4016,9320,3980,9323,3943xm9940,3438l9939,3433,9937,3428,9934,3423,9929,3418,9923,3412,9916,3407,9905,3400,9810,3339,9529,3163,9529,3274,9360,3443,9099,3038,9055,2970,9055,2970,9529,3274,9529,3163,9224,2970,9017,2838,9011,2835,9006,2832,8996,2830,8992,2831,8987,2832,8982,2834,8976,2837,8971,2841,8965,2846,8958,2853,8950,2861,8936,2874,8928,2885,8925,2890,8924,2895,8922,2901,8922,2905,8923,2909,8924,2914,8927,2919,8930,2924,9017,3060,9289,3493,9318,3539,9491,3812,9498,3823,9504,3831,9509,3836,9514,3842,9520,3845,9529,3847,9534,3846,9540,3842,9545,3839,9552,3833,9566,3819,9571,3813,9575,3807,9579,3803,9581,3798,9581,3793,9582,3789,9582,3785,9580,3781,9579,3778,9577,3773,9574,3769,9426,3542,9525,3443,9629,3339,9860,3487,9865,3490,9869,3492,9873,3493,9876,3494,9880,3495,9883,3493,9888,3493,9892,3491,9898,3486,9903,3482,9925,3460,9930,3454,9934,3448,9938,3443,9940,3438xm10374,2994l10372,2982,10369,2975,10362,2960,10356,2952,10348,2944,9625,2222,9622,2220,9615,2217,9611,2216,9602,2218,9598,2220,9593,2223,9582,2232,9570,2244,9559,2259,9556,2264,9555,2273,9556,2277,9557,2280,9558,2284,9560,2286,10011,2737,10186,2910,10186,2910,10037,2832,9959,2792,9898,2763,9801,2714,9573,2600,9421,2524,9397,2513,9378,2504,9366,2500,9356,2497,9347,2496,9338,2496,9330,2497,9316,2504,9309,2509,9263,2555,9260,2565,9261,2577,9264,2586,9269,2597,9277,2608,9287,2620,10010,3343,10013,3345,10016,3346,10020,3348,10024,3348,10028,3347,10032,3346,10042,3341,10052,3333,10065,3321,10073,3310,10076,3305,10078,3300,10078,3296,10080,3292,10080,3288,10078,3284,10077,3281,10075,3278,9533,2737,9421,2627,9422,2626,9468,2652,9565,2703,9686,2764,10057,2948,10204,3022,10233,3035,10272,3051,10285,3054,10295,3055,10305,3057,10314,3056,10321,3053,10329,3051,10336,3046,10367,3014,10370,3010,10373,3000,10374,299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5.13:</w:t>
        <w:tab/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Selected Findings (cont.)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592"/>
        <w:gridCol w:w="2583"/>
        <w:gridCol w:w="2967"/>
      </w:tblGrid>
      <w:tr>
        <w:trPr>
          <w:trHeight w:val="611" w:hRule="atLeast"/>
        </w:trPr>
        <w:tc>
          <w:tcPr>
            <w:tcW w:w="184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Coverage</w:t>
            </w:r>
          </w:p>
        </w:tc>
        <w:tc>
          <w:tcPr>
            <w:tcW w:w="2583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296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Findings</w:t>
            </w:r>
          </w:p>
        </w:tc>
      </w:tr>
      <w:tr>
        <w:trPr>
          <w:trHeight w:val="1442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360"/>
              <w:rPr>
                <w:sz w:val="24"/>
              </w:rPr>
            </w:pPr>
            <w:r>
              <w:rPr>
                <w:sz w:val="24"/>
              </w:rPr>
              <w:t>Bolling,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(2007)</w:t>
            </w:r>
          </w:p>
        </w:tc>
        <w:tc>
          <w:tcPr>
            <w:tcW w:w="159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USA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1983-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2583" w:type="dxa"/>
          </w:tcPr>
          <w:p>
            <w:pPr>
              <w:pStyle w:val="TableParagraph"/>
              <w:spacing w:line="360" w:lineRule="auto"/>
              <w:ind w:left="105" w:right="563"/>
              <w:rPr>
                <w:sz w:val="24"/>
              </w:rPr>
            </w:pPr>
            <w:r>
              <w:rPr>
                <w:sz w:val="24"/>
              </w:rPr>
              <w:t>Log-Log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288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fluctuations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discourage U.S. FDI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industries.</w:t>
            </w:r>
          </w:p>
        </w:tc>
      </w:tr>
      <w:tr>
        <w:trPr>
          <w:trHeight w:val="1442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611"/>
              <w:rPr>
                <w:sz w:val="24"/>
              </w:rPr>
            </w:pPr>
            <w:r>
              <w:rPr>
                <w:sz w:val="24"/>
              </w:rPr>
              <w:t>Gust, et 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(2009)</w:t>
            </w:r>
          </w:p>
        </w:tc>
        <w:tc>
          <w:tcPr>
            <w:tcW w:w="1592" w:type="dxa"/>
          </w:tcPr>
          <w:p>
            <w:pPr>
              <w:pStyle w:val="TableParagraph"/>
              <w:spacing w:line="360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U.S.A. 2000-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2008</w:t>
            </w:r>
          </w:p>
        </w:tc>
        <w:tc>
          <w:tcPr>
            <w:tcW w:w="2583" w:type="dxa"/>
          </w:tcPr>
          <w:p>
            <w:pPr>
              <w:pStyle w:val="TableParagraph"/>
              <w:spacing w:line="360" w:lineRule="auto"/>
              <w:ind w:left="105" w:right="294"/>
              <w:rPr>
                <w:sz w:val="24"/>
              </w:rPr>
            </w:pPr>
            <w:r>
              <w:rPr>
                <w:spacing w:val="-1"/>
                <w:sz w:val="24"/>
              </w:rPr>
              <w:t>Open-economy </w:t>
            </w:r>
            <w:r>
              <w:rPr>
                <w:sz w:val="24"/>
              </w:rPr>
              <w:t>DSGE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404"/>
              <w:jc w:val="both"/>
              <w:rPr>
                <w:sz w:val="24"/>
              </w:rPr>
            </w:pPr>
            <w:r>
              <w:rPr>
                <w:sz w:val="24"/>
              </w:rPr>
              <w:t>An incomplete 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 pass-through to trade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prices.</w:t>
            </w:r>
          </w:p>
        </w:tc>
      </w:tr>
      <w:tr>
        <w:trPr>
          <w:trHeight w:val="2270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281"/>
              <w:rPr>
                <w:sz w:val="24"/>
              </w:rPr>
            </w:pPr>
            <w:r>
              <w:rPr>
                <w:sz w:val="24"/>
              </w:rPr>
              <w:t>Cuyvers,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(2009)</w:t>
            </w:r>
          </w:p>
        </w:tc>
        <w:tc>
          <w:tcPr>
            <w:tcW w:w="1592" w:type="dxa"/>
          </w:tcPr>
          <w:p>
            <w:pPr>
              <w:pStyle w:val="TableParagraph"/>
              <w:spacing w:line="360" w:lineRule="auto"/>
              <w:ind w:left="108" w:right="425"/>
              <w:rPr>
                <w:sz w:val="24"/>
              </w:rPr>
            </w:pPr>
            <w:r>
              <w:rPr>
                <w:sz w:val="24"/>
              </w:rPr>
              <w:t>Cambodia,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1995-2005</w:t>
            </w:r>
          </w:p>
        </w:tc>
        <w:tc>
          <w:tcPr>
            <w:tcW w:w="258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150"/>
              <w:rPr>
                <w:sz w:val="24"/>
              </w:rPr>
            </w:pPr>
            <w:r>
              <w:rPr>
                <w:sz w:val="24"/>
              </w:rPr>
              <w:t>The main determinants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statistically impact inward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FDI include domestic GDP,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bilateral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depreciation.</w:t>
            </w:r>
          </w:p>
        </w:tc>
      </w:tr>
      <w:tr>
        <w:trPr>
          <w:trHeight w:val="1857" w:hRule="atLeast"/>
        </w:trPr>
        <w:tc>
          <w:tcPr>
            <w:tcW w:w="1848" w:type="dxa"/>
          </w:tcPr>
          <w:p>
            <w:pPr>
              <w:pStyle w:val="TableParagraph"/>
              <w:spacing w:line="362" w:lineRule="auto"/>
              <w:ind w:left="107" w:right="288"/>
              <w:rPr>
                <w:sz w:val="24"/>
              </w:rPr>
            </w:pPr>
            <w:r>
              <w:rPr>
                <w:sz w:val="24"/>
              </w:rPr>
              <w:t>Xing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Zhao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(2006)</w:t>
            </w:r>
          </w:p>
        </w:tc>
        <w:tc>
          <w:tcPr>
            <w:tcW w:w="1592" w:type="dxa"/>
          </w:tcPr>
          <w:p>
            <w:pPr>
              <w:pStyle w:val="TableParagraph"/>
              <w:spacing w:line="360" w:lineRule="auto"/>
              <w:ind w:left="108" w:right="432"/>
              <w:rPr>
                <w:sz w:val="24"/>
              </w:rPr>
            </w:pPr>
            <w:r>
              <w:rPr>
                <w:sz w:val="24"/>
              </w:rPr>
              <w:t>Japanese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1994-2005</w:t>
            </w:r>
          </w:p>
        </w:tc>
        <w:tc>
          <w:tcPr>
            <w:tcW w:w="2583" w:type="dxa"/>
          </w:tcPr>
          <w:p>
            <w:pPr>
              <w:pStyle w:val="TableParagraph"/>
              <w:spacing w:line="362" w:lineRule="auto"/>
              <w:ind w:left="105" w:right="425"/>
              <w:rPr>
                <w:sz w:val="24"/>
              </w:rPr>
            </w:pPr>
            <w:r>
              <w:rPr>
                <w:sz w:val="24"/>
              </w:rPr>
              <w:t>Structural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Appreciation of the Yen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encouraged outflows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investment to neighbouring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countries.</w:t>
            </w:r>
          </w:p>
        </w:tc>
      </w:tr>
      <w:tr>
        <w:trPr>
          <w:trHeight w:val="1854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Halil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Fidan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(2006)</w:t>
            </w:r>
          </w:p>
        </w:tc>
        <w:tc>
          <w:tcPr>
            <w:tcW w:w="159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Turkey,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1970-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25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The short-run- and-long-run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effects of exchange rate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exports and imports are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variant.</w:t>
            </w:r>
          </w:p>
        </w:tc>
      </w:tr>
      <w:tr>
        <w:trPr>
          <w:trHeight w:val="1857" w:hRule="atLeast"/>
        </w:trPr>
        <w:tc>
          <w:tcPr>
            <w:tcW w:w="1848" w:type="dxa"/>
          </w:tcPr>
          <w:p>
            <w:pPr>
              <w:pStyle w:val="TableParagraph"/>
              <w:spacing w:line="360" w:lineRule="auto"/>
              <w:ind w:left="107" w:right="380"/>
              <w:rPr>
                <w:sz w:val="24"/>
              </w:rPr>
            </w:pPr>
            <w:r>
              <w:rPr>
                <w:sz w:val="24"/>
              </w:rPr>
              <w:t>Qureshi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  <w:tc>
          <w:tcPr>
            <w:tcW w:w="1592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SSA,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1972-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2583" w:type="dxa"/>
          </w:tcPr>
          <w:p>
            <w:pPr>
              <w:pStyle w:val="TableParagraph"/>
              <w:spacing w:line="360" w:lineRule="auto"/>
              <w:ind w:left="105" w:right="415"/>
              <w:rPr>
                <w:sz w:val="24"/>
              </w:rPr>
            </w:pPr>
            <w:r>
              <w:rPr>
                <w:sz w:val="24"/>
              </w:rPr>
              <w:t>Augumented Gravity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2967" w:type="dxa"/>
          </w:tcPr>
          <w:p>
            <w:pPr>
              <w:pStyle w:val="TableParagraph"/>
              <w:spacing w:line="360" w:lineRule="auto"/>
              <w:ind w:left="107" w:right="534"/>
              <w:rPr>
                <w:sz w:val="24"/>
              </w:rPr>
            </w:pPr>
            <w:r>
              <w:rPr>
                <w:sz w:val="24"/>
              </w:rPr>
              <w:t>Direct pegs controlled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volatility,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thus, positively impact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trade.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header="0" w:footer="1015" w:top="1500" w:bottom="1200" w:left="1320" w:right="440"/>
        </w:sectPr>
      </w:pPr>
    </w:p>
    <w:p>
      <w:pPr>
        <w:tabs>
          <w:tab w:pos="2251" w:val="left" w:leader="none"/>
        </w:tabs>
        <w:spacing w:before="79"/>
        <w:ind w:left="81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7997568">
            <wp:simplePos x="0" y="0"/>
            <wp:positionH relativeFrom="page">
              <wp:posOffset>1485138</wp:posOffset>
            </wp:positionH>
            <wp:positionV relativeFrom="page">
              <wp:posOffset>2506217</wp:posOffset>
            </wp:positionV>
            <wp:extent cx="5102225" cy="5044439"/>
            <wp:effectExtent l="0" t="0" r="0" b="0"/>
            <wp:wrapNone/>
            <wp:docPr id="25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5.13:</w:t>
        <w:tab/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Selected Findings (cont.)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589"/>
        <w:gridCol w:w="1740"/>
        <w:gridCol w:w="3691"/>
      </w:tblGrid>
      <w:tr>
        <w:trPr>
          <w:trHeight w:val="614" w:hRule="atLeast"/>
        </w:trPr>
        <w:tc>
          <w:tcPr>
            <w:tcW w:w="1639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589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Coverage</w:t>
            </w:r>
          </w:p>
        </w:tc>
        <w:tc>
          <w:tcPr>
            <w:tcW w:w="1740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3691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Findings</w:t>
            </w:r>
          </w:p>
        </w:tc>
      </w:tr>
      <w:tr>
        <w:trPr>
          <w:trHeight w:val="1029" w:hRule="atLeast"/>
        </w:trPr>
        <w:tc>
          <w:tcPr>
            <w:tcW w:w="1639" w:type="dxa"/>
          </w:tcPr>
          <w:p>
            <w:pPr>
              <w:pStyle w:val="TableParagraph"/>
              <w:spacing w:line="360" w:lineRule="auto"/>
              <w:ind w:left="107" w:right="688"/>
              <w:rPr>
                <w:sz w:val="24"/>
              </w:rPr>
            </w:pPr>
            <w:r>
              <w:rPr>
                <w:sz w:val="24"/>
              </w:rPr>
              <w:t>Sekansti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  <w:tc>
          <w:tcPr>
            <w:tcW w:w="1589" w:type="dxa"/>
          </w:tcPr>
          <w:p>
            <w:pPr>
              <w:pStyle w:val="TableParagraph"/>
              <w:spacing w:line="360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Africa,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1995-2007</w:t>
            </w:r>
          </w:p>
        </w:tc>
        <w:tc>
          <w:tcPr>
            <w:tcW w:w="174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ARDL</w:t>
            </w:r>
          </w:p>
        </w:tc>
        <w:tc>
          <w:tcPr>
            <w:tcW w:w="3691" w:type="dxa"/>
          </w:tcPr>
          <w:p>
            <w:pPr>
              <w:pStyle w:val="TableParagraph"/>
              <w:spacing w:line="360" w:lineRule="auto"/>
              <w:ind w:left="108" w:right="16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negative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volatility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is evidenced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exports.</w:t>
            </w:r>
          </w:p>
        </w:tc>
      </w:tr>
      <w:tr>
        <w:trPr>
          <w:trHeight w:val="1441" w:hRule="atLeast"/>
        </w:trPr>
        <w:tc>
          <w:tcPr>
            <w:tcW w:w="1639" w:type="dxa"/>
          </w:tcPr>
          <w:p>
            <w:pPr>
              <w:pStyle w:val="TableParagraph"/>
              <w:spacing w:line="360" w:lineRule="auto"/>
              <w:ind w:left="107" w:right="292"/>
              <w:rPr>
                <w:sz w:val="24"/>
              </w:rPr>
            </w:pPr>
            <w:r>
              <w:rPr>
                <w:sz w:val="24"/>
              </w:rPr>
              <w:t>Masha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(2012)</w:t>
            </w:r>
          </w:p>
        </w:tc>
        <w:tc>
          <w:tcPr>
            <w:tcW w:w="1589" w:type="dxa"/>
          </w:tcPr>
          <w:p>
            <w:pPr>
              <w:pStyle w:val="TableParagraph"/>
              <w:spacing w:line="360" w:lineRule="auto"/>
              <w:ind w:left="105" w:right="431"/>
              <w:rPr>
                <w:sz w:val="24"/>
              </w:rPr>
            </w:pPr>
            <w:r>
              <w:rPr>
                <w:sz w:val="24"/>
              </w:rPr>
              <w:t>Maldives,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1994-2010</w:t>
            </w:r>
          </w:p>
        </w:tc>
        <w:tc>
          <w:tcPr>
            <w:tcW w:w="17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</w:t>
            </w:r>
          </w:p>
        </w:tc>
        <w:tc>
          <w:tcPr>
            <w:tcW w:w="369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exchange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  <w:p>
            <w:pPr>
              <w:pStyle w:val="TableParagraph"/>
              <w:spacing w:line="360" w:lineRule="auto" w:before="139"/>
              <w:ind w:left="108" w:right="113"/>
              <w:rPr>
                <w:sz w:val="24"/>
              </w:rPr>
            </w:pPr>
            <w:r>
              <w:rPr>
                <w:sz w:val="24"/>
              </w:rPr>
              <w:t>pass-through is high but incomplete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theoretically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expected.</w:t>
            </w:r>
          </w:p>
        </w:tc>
      </w:tr>
      <w:tr>
        <w:trPr>
          <w:trHeight w:val="3511" w:hRule="atLeast"/>
        </w:trPr>
        <w:tc>
          <w:tcPr>
            <w:tcW w:w="1639" w:type="dxa"/>
          </w:tcPr>
          <w:p>
            <w:pPr>
              <w:pStyle w:val="TableParagraph"/>
              <w:spacing w:line="360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Razafimahefa (2012)</w:t>
            </w:r>
          </w:p>
        </w:tc>
        <w:tc>
          <w:tcPr>
            <w:tcW w:w="1589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SSA,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1985-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1740" w:type="dxa"/>
          </w:tcPr>
          <w:p>
            <w:pPr>
              <w:pStyle w:val="TableParagraph"/>
              <w:spacing w:line="360" w:lineRule="auto"/>
              <w:ind w:left="108" w:right="570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3691" w:type="dxa"/>
          </w:tcPr>
          <w:p>
            <w:pPr>
              <w:pStyle w:val="TableParagraph"/>
              <w:spacing w:line="360" w:lineRule="auto"/>
              <w:ind w:left="108" w:right="1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pass-through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incomplete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highly preceded by depreciation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 appreciation of the various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 currencies.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average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elasticities is estimated to be 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 0.5 and common 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countries with flexible 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regimes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 income.</w:t>
            </w:r>
          </w:p>
        </w:tc>
      </w:tr>
      <w:tr>
        <w:trPr>
          <w:trHeight w:val="2685" w:hRule="atLeast"/>
        </w:trPr>
        <w:tc>
          <w:tcPr>
            <w:tcW w:w="1639" w:type="dxa"/>
          </w:tcPr>
          <w:p>
            <w:pPr>
              <w:pStyle w:val="TableParagraph"/>
              <w:spacing w:line="360" w:lineRule="auto"/>
              <w:ind w:left="107" w:right="577"/>
              <w:rPr>
                <w:sz w:val="24"/>
              </w:rPr>
            </w:pPr>
            <w:r>
              <w:rPr>
                <w:sz w:val="24"/>
              </w:rPr>
              <w:t>Arize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Nippani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  <w:tc>
          <w:tcPr>
            <w:tcW w:w="1589" w:type="dxa"/>
          </w:tcPr>
          <w:p>
            <w:pPr>
              <w:pStyle w:val="TableParagraph"/>
              <w:spacing w:line="360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Selected SSA,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1973-2005</w:t>
            </w:r>
          </w:p>
        </w:tc>
        <w:tc>
          <w:tcPr>
            <w:tcW w:w="174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ECM</w:t>
            </w:r>
          </w:p>
        </w:tc>
        <w:tc>
          <w:tcPr>
            <w:tcW w:w="3691" w:type="dxa"/>
          </w:tcPr>
          <w:p>
            <w:pPr>
              <w:pStyle w:val="TableParagraph"/>
              <w:spacing w:line="360" w:lineRule="auto"/>
              <w:ind w:left="108" w:right="88"/>
              <w:rPr>
                <w:sz w:val="24"/>
              </w:rPr>
            </w:pPr>
            <w:r>
              <w:rPr>
                <w:sz w:val="24"/>
              </w:rPr>
              <w:t>While mixed elasticities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obtained, real income and prices 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statistically significant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influencing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imports.</w:t>
            </w:r>
          </w:p>
          <w:p>
            <w:pPr>
              <w:pStyle w:val="TableParagraph"/>
              <w:spacing w:line="360" w:lineRule="auto"/>
              <w:ind w:left="108" w:right="740"/>
              <w:rPr>
                <w:sz w:val="24"/>
              </w:rPr>
            </w:pPr>
            <w:r>
              <w:rPr>
                <w:sz w:val="24"/>
              </w:rPr>
              <w:t>Marshall-Lerner Condition 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satisfied.</w:t>
            </w:r>
          </w:p>
        </w:tc>
      </w:tr>
      <w:tr>
        <w:trPr>
          <w:trHeight w:val="1855" w:hRule="atLeast"/>
        </w:trPr>
        <w:tc>
          <w:tcPr>
            <w:tcW w:w="1639" w:type="dxa"/>
          </w:tcPr>
          <w:p>
            <w:pPr>
              <w:pStyle w:val="TableParagraph"/>
              <w:spacing w:line="360" w:lineRule="auto"/>
              <w:ind w:left="107" w:right="475"/>
              <w:rPr>
                <w:sz w:val="24"/>
              </w:rPr>
            </w:pPr>
            <w:r>
              <w:rPr>
                <w:sz w:val="24"/>
              </w:rPr>
              <w:t>Thorbecke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  <w:tc>
          <w:tcPr>
            <w:tcW w:w="158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China, 1993-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17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DOLS</w:t>
            </w:r>
          </w:p>
        </w:tc>
        <w:tc>
          <w:tcPr>
            <w:tcW w:w="3691" w:type="dxa"/>
          </w:tcPr>
          <w:p>
            <w:pPr>
              <w:pStyle w:val="TableParagraph"/>
              <w:spacing w:line="360" w:lineRule="auto"/>
              <w:ind w:left="108" w:right="205"/>
              <w:rPr>
                <w:sz w:val="24"/>
              </w:rPr>
            </w:pPr>
            <w:r>
              <w:rPr>
                <w:sz w:val="24"/>
              </w:rPr>
              <w:t>Appreciation of exchange 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 East Asia negatively affects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exports. While the effects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appreciation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China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negligible.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spacing w:line="636" w:lineRule="auto"/>
        <w:ind w:left="3075" w:right="3255" w:firstLine="1118"/>
        <w:jc w:val="left"/>
      </w:pPr>
      <w:r>
        <w:rPr/>
        <w:drawing>
          <wp:anchor distT="0" distB="0" distL="0" distR="0" allowOverlap="1" layoutInCell="1" locked="0" behindDoc="1" simplePos="0" relativeHeight="477998080">
            <wp:simplePos x="0" y="0"/>
            <wp:positionH relativeFrom="page">
              <wp:posOffset>1485138</wp:posOffset>
            </wp:positionH>
            <wp:positionV relativeFrom="paragraph">
              <wp:posOffset>1143511</wp:posOffset>
            </wp:positionV>
            <wp:extent cx="5102225" cy="5044439"/>
            <wp:effectExtent l="0" t="0" r="0" b="0"/>
            <wp:wrapNone/>
            <wp:docPr id="25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 SIX</w:t>
      </w:r>
      <w:r>
        <w:rPr>
          <w:spacing w:val="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CONCLUSION</w:t>
      </w:r>
    </w:p>
    <w:p>
      <w:pPr>
        <w:pStyle w:val="BodyText"/>
        <w:spacing w:line="360" w:lineRule="auto" w:before="239"/>
        <w:ind w:left="811" w:right="995"/>
        <w:jc w:val="both"/>
      </w:pPr>
      <w:r>
        <w:rPr/>
        <w:t>The conclusion of the research is organized into three sub sections.</w:t>
      </w:r>
      <w:r>
        <w:rPr>
          <w:spacing w:val="1"/>
        </w:rPr>
        <w:t> </w:t>
      </w:r>
      <w:r>
        <w:rPr/>
        <w:t>Summary of findings</w:t>
      </w:r>
      <w:r>
        <w:rPr>
          <w:spacing w:val="1"/>
        </w:rPr>
        <w:t> </w:t>
      </w:r>
      <w:r>
        <w:rPr/>
        <w:t>are presented in subsection one, lessons for policy in sub section two.</w:t>
      </w:r>
      <w:r>
        <w:rPr>
          <w:spacing w:val="1"/>
        </w:rPr>
        <w:t> </w:t>
      </w:r>
      <w:r>
        <w:rPr/>
        <w:t>While limitation 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and area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 in sub</w:t>
      </w:r>
      <w:r>
        <w:rPr>
          <w:spacing w:val="-1"/>
        </w:rPr>
        <w:t> </w:t>
      </w:r>
      <w:r>
        <w:rPr/>
        <w:t>section three.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18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21"/>
        <w:jc w:val="left"/>
      </w:pPr>
      <w:bookmarkStart w:name="_TOC_250004" w:id="69"/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bookmarkEnd w:id="69"/>
      <w:r>
        <w:rPr/>
        <w:t>Findings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5"/>
        <w:jc w:val="both"/>
      </w:pP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Bretton</w:t>
      </w:r>
      <w:r>
        <w:rPr>
          <w:spacing w:val="1"/>
        </w:rPr>
        <w:t> </w:t>
      </w:r>
      <w:r>
        <w:rPr/>
        <w:t>Woods</w:t>
      </w:r>
      <w:r>
        <w:rPr>
          <w:spacing w:val="1"/>
        </w:rPr>
        <w:t> </w:t>
      </w:r>
      <w:r>
        <w:rPr/>
        <w:t>era,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challenging for most countries, especially in sub-Sahara Africa.</w:t>
      </w:r>
      <w:r>
        <w:rPr>
          <w:spacing w:val="1"/>
        </w:rPr>
        <w:t> </w:t>
      </w:r>
      <w:r>
        <w:rPr/>
        <w:t>Specifically, 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policy tool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concurrently influences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 and external sectors of an economy.</w:t>
      </w:r>
      <w:r>
        <w:rPr>
          <w:spacing w:val="1"/>
        </w:rPr>
        <w:t> </w:t>
      </w:r>
      <w:r>
        <w:rPr/>
        <w:t>The IMF on its part has exchange rate</w:t>
      </w:r>
      <w:r>
        <w:rPr>
          <w:spacing w:val="1"/>
        </w:rPr>
        <w:t> </w:t>
      </w:r>
      <w:r>
        <w:rPr/>
        <w:t>devaluation as a main policy instrument in addressing difficulties in the external sector of</w:t>
      </w:r>
      <w:r>
        <w:rPr>
          <w:spacing w:val="1"/>
        </w:rPr>
        <w:t> </w:t>
      </w:r>
      <w:r>
        <w:rPr/>
        <w:t>most economies.</w:t>
      </w:r>
      <w:r>
        <w:rPr>
          <w:spacing w:val="1"/>
        </w:rPr>
        <w:t> </w:t>
      </w:r>
      <w:r>
        <w:rPr/>
        <w:t>This policy has, however, continued to exacerbate problems of these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export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immediate spillover to domestic prices.</w:t>
      </w:r>
      <w:r>
        <w:rPr>
          <w:spacing w:val="1"/>
        </w:rPr>
        <w:t> </w:t>
      </w:r>
      <w:r>
        <w:rPr/>
        <w:t>Several attempts have been made by previous</w:t>
      </w:r>
      <w:r>
        <w:rPr>
          <w:spacing w:val="1"/>
        </w:rPr>
        <w:t> </w:t>
      </w:r>
      <w:r>
        <w:rPr/>
        <w:t>studies to examine the effect of exchange rate movements on the balance of payments</w:t>
      </w:r>
      <w:r>
        <w:rPr>
          <w:spacing w:val="1"/>
        </w:rPr>
        <w:t> </w:t>
      </w:r>
      <w:r>
        <w:rPr/>
        <w:t>through concentrating on either the trade balance or the current account balance.  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complements to the current account balance of the balance of payments.</w:t>
      </w:r>
      <w:r>
        <w:rPr>
          <w:spacing w:val="1"/>
        </w:rPr>
        <w:t> </w:t>
      </w:r>
      <w:r>
        <w:rPr/>
        <w:t>If changes in</w:t>
      </w:r>
      <w:r>
        <w:rPr>
          <w:spacing w:val="1"/>
        </w:rPr>
        <w:t> </w:t>
      </w:r>
      <w:r>
        <w:rPr/>
        <w:t>exchange rate behaviour have been justified to influence the position of current account</w:t>
      </w:r>
      <w:r>
        <w:rPr>
          <w:spacing w:val="1"/>
        </w:rPr>
        <w:t> </w:t>
      </w:r>
      <w:r>
        <w:rPr/>
        <w:t>balance and its sub components, it is, therefore, permissible to conclude that both the</w:t>
      </w:r>
      <w:r>
        <w:rPr>
          <w:spacing w:val="1"/>
        </w:rPr>
        <w:t> </w:t>
      </w:r>
      <w:r>
        <w:rPr/>
        <w:t>financial account balance and the capital account balance also respond to changes in</w:t>
      </w:r>
      <w:r>
        <w:rPr>
          <w:spacing w:val="1"/>
        </w:rPr>
        <w:t> </w:t>
      </w:r>
      <w:r>
        <w:rPr/>
        <w:t>exchange rate behaviour.</w:t>
      </w:r>
      <w:r>
        <w:rPr>
          <w:spacing w:val="1"/>
        </w:rPr>
        <w:t> </w:t>
      </w:r>
      <w:r>
        <w:rPr/>
        <w:t>Nevertheless, the level of these responses has not been given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 payments, in</w:t>
      </w:r>
      <w:r>
        <w:rPr>
          <w:spacing w:val="2"/>
        </w:rPr>
        <w:t> </w:t>
      </w:r>
      <w:r>
        <w:rPr/>
        <w:t>general.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line="360" w:lineRule="auto" w:before="74"/>
        <w:ind w:left="811" w:right="997"/>
        <w:jc w:val="both"/>
      </w:pPr>
      <w:r>
        <w:rPr/>
        <w:t>It is against this background that this study has focused on exchange rate behaviour on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 of the</w:t>
      </w:r>
      <w:r>
        <w:rPr>
          <w:spacing w:val="-3"/>
        </w:rPr>
        <w:t> </w:t>
      </w:r>
      <w:r>
        <w:rPr/>
        <w:t>balance</w:t>
      </w:r>
      <w:r>
        <w:rPr>
          <w:spacing w:val="-1"/>
        </w:rPr>
        <w:t> </w:t>
      </w:r>
      <w:r>
        <w:rPr/>
        <w:t>of payments in Sierra Leone.</w:t>
      </w:r>
    </w:p>
    <w:p>
      <w:pPr>
        <w:pStyle w:val="BodyText"/>
        <w:spacing w:line="360" w:lineRule="auto" w:before="200"/>
        <w:ind w:left="811" w:right="991"/>
        <w:jc w:val="both"/>
      </w:pPr>
      <w:r>
        <w:rPr/>
        <w:drawing>
          <wp:anchor distT="0" distB="0" distL="0" distR="0" allowOverlap="1" layoutInCell="1" locked="0" behindDoc="1" simplePos="0" relativeHeight="477998592">
            <wp:simplePos x="0" y="0"/>
            <wp:positionH relativeFrom="page">
              <wp:posOffset>1485138</wp:posOffset>
            </wp:positionH>
            <wp:positionV relativeFrom="paragraph">
              <wp:posOffset>1069887</wp:posOffset>
            </wp:positionV>
            <wp:extent cx="5102225" cy="5044439"/>
            <wp:effectExtent l="0" t="0" r="0" b="0"/>
            <wp:wrapNone/>
            <wp:docPr id="25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analysis presented evidence on the behaviour of exchange rate changes on the overall</w:t>
      </w:r>
      <w:r>
        <w:rPr>
          <w:spacing w:val="-57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components-trade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(exports and imports), the</w:t>
      </w:r>
      <w:r>
        <w:rPr>
          <w:spacing w:val="1"/>
        </w:rPr>
        <w:t> </w:t>
      </w:r>
      <w:r>
        <w:rPr/>
        <w:t>financial account balance and the</w:t>
      </w:r>
      <w:r>
        <w:rPr>
          <w:spacing w:val="1"/>
        </w:rPr>
        <w:t> </w:t>
      </w:r>
      <w:r>
        <w:rPr/>
        <w:t>capital 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1970-2010.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macroeconomic variables such as domestic GDP, foreign GDP, money supply, consumer</w:t>
      </w:r>
      <w:r>
        <w:rPr>
          <w:spacing w:val="1"/>
        </w:rPr>
        <w:t> </w:t>
      </w:r>
      <w:r>
        <w:rPr/>
        <w:t>price index, treasury bearer bonds‘ rates, trade openness and world price index, amongst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on the performance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 payments</w:t>
      </w:r>
      <w:r>
        <w:rPr>
          <w:spacing w:val="1"/>
        </w:rPr>
        <w:t> </w:t>
      </w:r>
      <w:r>
        <w:rPr/>
        <w:t>over these</w:t>
      </w:r>
      <w:r>
        <w:rPr>
          <w:spacing w:val="3"/>
        </w:rPr>
        <w:t> </w:t>
      </w:r>
      <w:r>
        <w:rPr/>
        <w:t>years.</w:t>
      </w:r>
    </w:p>
    <w:p>
      <w:pPr>
        <w:pStyle w:val="BodyText"/>
        <w:spacing w:line="360" w:lineRule="auto" w:before="201"/>
        <w:ind w:left="811" w:right="993"/>
        <w:jc w:val="both"/>
      </w:pPr>
      <w:r>
        <w:rPr/>
        <w:t>Also, considering exchange rate being a price that influences largely international trades</w:t>
      </w:r>
      <w:r>
        <w:rPr>
          <w:spacing w:val="1"/>
        </w:rPr>
        <w:t> </w:t>
      </w:r>
      <w:r>
        <w:rPr/>
        <w:t>and consumer price index, also being a price but manipulates essentially both domestic</w:t>
      </w:r>
      <w:r>
        <w:rPr>
          <w:spacing w:val="1"/>
        </w:rPr>
        <w:t> </w:t>
      </w:r>
      <w:r>
        <w:rPr/>
        <w:t>trade and consumption, it could be well thought-out that both prices share some levels of</w:t>
      </w:r>
      <w:r>
        <w:rPr>
          <w:spacing w:val="1"/>
        </w:rPr>
        <w:t> </w:t>
      </w:r>
      <w:r>
        <w:rPr/>
        <w:t>relationship.</w:t>
      </w:r>
      <w:r>
        <w:rPr>
          <w:spacing w:val="1"/>
        </w:rPr>
        <w:t> </w:t>
      </w:r>
      <w:r>
        <w:rPr/>
        <w:t>The study was, therefore, extended to assess the response of consumer price</w:t>
      </w:r>
      <w:r>
        <w:rPr>
          <w:spacing w:val="1"/>
        </w:rPr>
        <w:t> </w:t>
      </w:r>
      <w:r>
        <w:rPr/>
        <w:t>index to exchange rate depreciation, which literature had referred to as the pass-through</w:t>
      </w:r>
      <w:r>
        <w:rPr>
          <w:spacing w:val="1"/>
        </w:rPr>
        <w:t> </w:t>
      </w:r>
      <w:r>
        <w:rPr/>
        <w:t>effect.</w:t>
      </w:r>
    </w:p>
    <w:p>
      <w:pPr>
        <w:pStyle w:val="BodyText"/>
        <w:spacing w:line="360" w:lineRule="auto" w:before="199"/>
        <w:ind w:left="811" w:right="997"/>
        <w:jc w:val="both"/>
      </w:pPr>
      <w:r>
        <w:rPr/>
        <w:t>In an attempt to finding answers to these interactions, a structural macroeconomic model,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elasticity,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monetary theoretical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determination,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estimated.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disaggregated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Current</w:t>
      </w:r>
      <w:r>
        <w:rPr>
          <w:spacing w:val="60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 (CAB), Financial Account Balance (FAB), Capital Account Balance (KAB)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consumer price</w:t>
      </w:r>
      <w:r>
        <w:rPr>
          <w:spacing w:val="-1"/>
        </w:rPr>
        <w:t> </w:t>
      </w:r>
      <w:r>
        <w:rPr/>
        <w:t>index.</w:t>
      </w:r>
    </w:p>
    <w:p>
      <w:pPr>
        <w:pStyle w:val="BodyText"/>
        <w:spacing w:line="360" w:lineRule="auto" w:before="201"/>
        <w:ind w:left="811" w:right="992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autoregressive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lag</w:t>
      </w:r>
      <w:r>
        <w:rPr>
          <w:spacing w:val="1"/>
        </w:rPr>
        <w:t> </w:t>
      </w:r>
      <w:r>
        <w:rPr/>
        <w:t>bounds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cointegration using both quarterly and annual data to determine the dynamic (the short-</w:t>
      </w:r>
      <w:r>
        <w:rPr>
          <w:spacing w:val="1"/>
        </w:rPr>
        <w:t> </w:t>
      </w:r>
      <w:r>
        <w:rPr/>
        <w:t>run and long-run measured by elasticities) effects of exchange rate on the key variables.</w:t>
      </w:r>
      <w:r>
        <w:rPr>
          <w:spacing w:val="1"/>
        </w:rPr>
        <w:t> </w:t>
      </w:r>
      <w:r>
        <w:rPr/>
        <w:t>These elasticities were then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determine the time path</w:t>
      </w:r>
      <w:r>
        <w:rPr>
          <w:spacing w:val="1"/>
        </w:rPr>
        <w:t> </w:t>
      </w:r>
      <w:r>
        <w:rPr/>
        <w:t>of the changes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 CAB</w:t>
      </w:r>
      <w:r>
        <w:rPr>
          <w:spacing w:val="-57"/>
        </w:rPr>
        <w:t> </w:t>
      </w:r>
      <w:r>
        <w:rPr/>
        <w:t>and BoP, as postulated by the J-curve experience and the Marshall-Lerner condition. The</w:t>
      </w:r>
      <w:r>
        <w:rPr>
          <w:spacing w:val="1"/>
        </w:rPr>
        <w:t> </w:t>
      </w:r>
      <w:r>
        <w:rPr/>
        <w:t>data used for the estimations were mainly collected from the </w:t>
      </w:r>
      <w:r>
        <w:rPr>
          <w:i/>
        </w:rPr>
        <w:t>International Financial</w:t>
      </w:r>
      <w:r>
        <w:rPr>
          <w:i/>
          <w:spacing w:val="1"/>
        </w:rPr>
        <w:t> </w:t>
      </w:r>
      <w:r>
        <w:rPr>
          <w:i/>
        </w:rPr>
        <w:t>Statistics</w:t>
      </w:r>
      <w:r>
        <w:rPr>
          <w:i/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IMF.</w:t>
      </w:r>
    </w:p>
    <w:p>
      <w:pPr>
        <w:pStyle w:val="BodyText"/>
        <w:spacing w:line="276" w:lineRule="exact"/>
        <w:ind w:left="811"/>
        <w:jc w:val="both"/>
      </w:pP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econometric analysis,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completed:</w:t>
      </w:r>
    </w:p>
    <w:p>
      <w:pPr>
        <w:spacing w:after="0" w:line="276" w:lineRule="exact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ListParagraph"/>
        <w:numPr>
          <w:ilvl w:val="2"/>
          <w:numId w:val="18"/>
        </w:numPr>
        <w:tabs>
          <w:tab w:pos="1532" w:val="left" w:leader="none"/>
        </w:tabs>
        <w:spacing w:line="360" w:lineRule="auto" w:before="74" w:after="0"/>
        <w:ind w:left="1531" w:right="996" w:hanging="449"/>
        <w:jc w:val="both"/>
        <w:rPr>
          <w:sz w:val="24"/>
        </w:rPr>
      </w:pPr>
      <w:r>
        <w:rPr>
          <w:sz w:val="24"/>
        </w:rPr>
        <w:t>analysis of the country‘s exchange rate policies and development in the balance of</w:t>
      </w:r>
      <w:r>
        <w:rPr>
          <w:spacing w:val="-57"/>
          <w:sz w:val="24"/>
        </w:rPr>
        <w:t> </w:t>
      </w:r>
      <w:r>
        <w:rPr>
          <w:sz w:val="24"/>
        </w:rPr>
        <w:t>payments. Trend analyses of the relationship between exchange rate and each of</w:t>
      </w:r>
      <w:r>
        <w:rPr>
          <w:spacing w:val="1"/>
          <w:sz w:val="24"/>
        </w:rPr>
        <w:t> </w:t>
      </w:r>
      <w:r>
        <w:rPr>
          <w:sz w:val="24"/>
        </w:rPr>
        <w:t>the components of the balance of payments were critically considered. Further</w:t>
      </w:r>
      <w:r>
        <w:rPr>
          <w:spacing w:val="1"/>
          <w:sz w:val="24"/>
        </w:rPr>
        <w:t> </w:t>
      </w:r>
      <w:r>
        <w:rPr>
          <w:sz w:val="24"/>
        </w:rPr>
        <w:t>examinations on exchange rate and the sub components (trade balance-exports and</w:t>
      </w:r>
      <w:r>
        <w:rPr>
          <w:spacing w:val="-57"/>
          <w:sz w:val="24"/>
        </w:rPr>
        <w:t> </w:t>
      </w:r>
      <w:r>
        <w:rPr>
          <w:sz w:val="24"/>
        </w:rPr>
        <w:t>imports)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current account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2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in the analysis.</w:t>
      </w:r>
    </w:p>
    <w:p>
      <w:pPr>
        <w:pStyle w:val="ListParagraph"/>
        <w:numPr>
          <w:ilvl w:val="2"/>
          <w:numId w:val="18"/>
        </w:numPr>
        <w:tabs>
          <w:tab w:pos="1532" w:val="left" w:leader="none"/>
        </w:tabs>
        <w:spacing w:line="360" w:lineRule="auto" w:before="0" w:after="0"/>
        <w:ind w:left="1531" w:right="994" w:hanging="44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999104">
            <wp:simplePos x="0" y="0"/>
            <wp:positionH relativeFrom="page">
              <wp:posOffset>1485138</wp:posOffset>
            </wp:positionH>
            <wp:positionV relativeFrom="paragraph">
              <wp:posOffset>281471</wp:posOffset>
            </wp:positionV>
            <wp:extent cx="5102225" cy="5044439"/>
            <wp:effectExtent l="0" t="0" r="0" b="0"/>
            <wp:wrapNone/>
            <wp:docPr id="25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 order to have an in-depth knowledge of the research, review of the accessible</w:t>
      </w:r>
      <w:r>
        <w:rPr>
          <w:spacing w:val="1"/>
          <w:sz w:val="24"/>
        </w:rPr>
        <w:t> </w:t>
      </w:r>
      <w:r>
        <w:rPr>
          <w:sz w:val="24"/>
        </w:rPr>
        <w:t>literature that relate to exchange rate and the balance of payments were segregated</w:t>
      </w:r>
      <w:r>
        <w:rPr>
          <w:spacing w:val="-57"/>
          <w:sz w:val="24"/>
        </w:rPr>
        <w:t> </w:t>
      </w:r>
      <w:r>
        <w:rPr>
          <w:sz w:val="24"/>
        </w:rPr>
        <w:t>by components of the balance of payments.</w:t>
      </w:r>
      <w:r>
        <w:rPr>
          <w:spacing w:val="1"/>
          <w:sz w:val="24"/>
        </w:rPr>
        <w:t> </w:t>
      </w:r>
      <w:r>
        <w:rPr>
          <w:sz w:val="24"/>
        </w:rPr>
        <w:t>From the review, exchange rate</w:t>
      </w:r>
      <w:r>
        <w:rPr>
          <w:spacing w:val="1"/>
          <w:sz w:val="24"/>
        </w:rPr>
        <w:t> </w:t>
      </w:r>
      <w:r>
        <w:rPr>
          <w:sz w:val="24"/>
        </w:rPr>
        <w:t>behaviour influences all the three components of the balance of payments but at</w:t>
      </w:r>
      <w:r>
        <w:rPr>
          <w:spacing w:val="1"/>
          <w:sz w:val="24"/>
        </w:rPr>
        <w:t> </w:t>
      </w:r>
      <w:r>
        <w:rPr>
          <w:sz w:val="24"/>
        </w:rPr>
        <w:t>varying degree with the current account being highly receptive to exchange rate</w:t>
      </w:r>
      <w:r>
        <w:rPr>
          <w:spacing w:val="1"/>
          <w:sz w:val="24"/>
        </w:rPr>
        <w:t> </w:t>
      </w:r>
      <w:r>
        <w:rPr>
          <w:sz w:val="24"/>
        </w:rPr>
        <w:t>movements, while financial and capital account balances responses are relatively</w:t>
      </w:r>
      <w:r>
        <w:rPr>
          <w:spacing w:val="1"/>
          <w:sz w:val="24"/>
        </w:rPr>
        <w:t> </w:t>
      </w:r>
      <w:r>
        <w:rPr>
          <w:sz w:val="24"/>
        </w:rPr>
        <w:t>stumpy.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depreciation,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macroeconomic fundamentals such as gross domestic GDP, and foreign countries‘</w:t>
      </w:r>
      <w:r>
        <w:rPr>
          <w:spacing w:val="-57"/>
          <w:sz w:val="24"/>
        </w:rPr>
        <w:t> </w:t>
      </w:r>
      <w:r>
        <w:rPr>
          <w:sz w:val="24"/>
        </w:rPr>
        <w:t>GDP, world price index, among others have a tendency to positively influence the</w:t>
      </w:r>
      <w:r>
        <w:rPr>
          <w:spacing w:val="1"/>
          <w:sz w:val="24"/>
        </w:rPr>
        <w:t> </w:t>
      </w:r>
      <w:r>
        <w:rPr>
          <w:sz w:val="24"/>
        </w:rPr>
        <w:t>positions of the balance of payments and its components.</w:t>
      </w:r>
      <w:r>
        <w:rPr>
          <w:spacing w:val="1"/>
          <w:sz w:val="24"/>
        </w:rPr>
        <w:t> </w:t>
      </w:r>
      <w:r>
        <w:rPr>
          <w:sz w:val="24"/>
        </w:rPr>
        <w:t>Also reviewed, was</w:t>
      </w:r>
      <w:r>
        <w:rPr>
          <w:spacing w:val="1"/>
          <w:sz w:val="24"/>
        </w:rPr>
        <w:t> </w:t>
      </w:r>
      <w:r>
        <w:rPr>
          <w:sz w:val="24"/>
        </w:rPr>
        <w:t>exchange rate pass-through to domestic price, which was found to be incomplete</w:t>
      </w:r>
      <w:r>
        <w:rPr>
          <w:spacing w:val="1"/>
          <w:sz w:val="24"/>
        </w:rPr>
        <w:t> </w:t>
      </w:r>
      <w:r>
        <w:rPr>
          <w:sz w:val="24"/>
        </w:rPr>
        <w:t>but exceedingly higher than 70.0 percent for economies that are greatly import</w:t>
      </w:r>
      <w:r>
        <w:rPr>
          <w:spacing w:val="1"/>
          <w:sz w:val="24"/>
        </w:rPr>
        <w:t> </w:t>
      </w: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in nature, of which developing</w:t>
      </w:r>
      <w:r>
        <w:rPr>
          <w:spacing w:val="-3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dominated</w:t>
      </w:r>
      <w:r>
        <w:rPr>
          <w:spacing w:val="-2"/>
          <w:sz w:val="24"/>
        </w:rPr>
        <w:t> </w:t>
      </w:r>
      <w:r>
        <w:rPr>
          <w:sz w:val="24"/>
        </w:rPr>
        <w:t>the list.</w:t>
      </w:r>
    </w:p>
    <w:p>
      <w:pPr>
        <w:pStyle w:val="BodyText"/>
        <w:spacing w:before="201"/>
        <w:ind w:left="811"/>
        <w:jc w:val="both"/>
      </w:pPr>
      <w:r>
        <w:rPr/>
        <w:t>The</w:t>
      </w:r>
      <w:r>
        <w:rPr>
          <w:spacing w:val="-3"/>
        </w:rPr>
        <w:t> </w:t>
      </w:r>
      <w:r>
        <w:rPr/>
        <w:t>key</w:t>
      </w:r>
      <w:r>
        <w:rPr>
          <w:spacing w:val="-6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analyses conducted showed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line="360" w:lineRule="auto" w:before="139"/>
        <w:ind w:left="811" w:right="993"/>
        <w:jc w:val="both"/>
      </w:pPr>
      <w:r>
        <w:rPr/>
        <w:t>From the estimated coefficients, exchange rate had both short-run and long-run effects on</w:t>
      </w:r>
      <w:r>
        <w:rPr>
          <w:spacing w:val="1"/>
        </w:rPr>
        <w:t> </w:t>
      </w:r>
      <w:r>
        <w:rPr/>
        <w:t>the overall balance of payments.</w:t>
      </w:r>
      <w:r>
        <w:rPr>
          <w:spacing w:val="1"/>
        </w:rPr>
        <w:t> </w:t>
      </w:r>
      <w:r>
        <w:rPr/>
        <w:t>The effects of exchange rate on the components of 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differed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other.</w:t>
      </w:r>
      <w:r>
        <w:rPr>
          <w:spacing w:val="61"/>
        </w:rPr>
        <w:t> </w:t>
      </w:r>
      <w:r>
        <w:rPr/>
        <w:t>While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 of current account balance to exchange rate depreciation in both the short-run</w:t>
      </w:r>
      <w:r>
        <w:rPr>
          <w:spacing w:val="1"/>
        </w:rPr>
        <w:t> </w:t>
      </w:r>
      <w:r>
        <w:rPr/>
        <w:t>and long-run demonstrated evidence of the J-curve phenomenon and the Marshall-Lerner</w:t>
      </w:r>
      <w:r>
        <w:rPr>
          <w:spacing w:val="1"/>
        </w:rPr>
        <w:t> </w:t>
      </w:r>
      <w:r>
        <w:rPr/>
        <w:t>condition, the financial account balance and the capital account balance showed no such</w:t>
      </w:r>
      <w:r>
        <w:rPr>
          <w:spacing w:val="1"/>
        </w:rPr>
        <w:t> </w:t>
      </w:r>
      <w:r>
        <w:rPr/>
        <w:t>responses.</w:t>
      </w:r>
      <w:r>
        <w:rPr>
          <w:spacing w:val="1"/>
        </w:rPr>
        <w:t> </w:t>
      </w:r>
      <w:r>
        <w:rPr/>
        <w:t>Exchange rate movements have a stake in determining the outcomes of the</w:t>
      </w:r>
      <w:r>
        <w:rPr>
          <w:spacing w:val="1"/>
        </w:rPr>
        <w:t> </w:t>
      </w:r>
      <w:r>
        <w:rPr/>
        <w:t>country‘s current account balance.</w:t>
      </w:r>
      <w:r>
        <w:rPr>
          <w:spacing w:val="1"/>
        </w:rPr>
        <w:t> </w:t>
      </w:r>
      <w:r>
        <w:rPr/>
        <w:t>This finding is supported by other studies completed</w:t>
      </w:r>
      <w:r>
        <w:rPr>
          <w:spacing w:val="1"/>
        </w:rPr>
        <w:t> </w:t>
      </w:r>
      <w:r>
        <w:rPr/>
        <w:t>for both developing and developed economies (Baharumshad et al., 2004; Kandil, 2009;</w:t>
      </w:r>
      <w:r>
        <w:rPr>
          <w:spacing w:val="1"/>
        </w:rPr>
        <w:t> </w:t>
      </w:r>
      <w:r>
        <w:rPr/>
        <w:t>Bahmain-Oskooee and Satawatananon, 2011; Ali</w:t>
      </w:r>
      <w:r>
        <w:rPr>
          <w:spacing w:val="-1"/>
        </w:rPr>
        <w:t> </w:t>
      </w:r>
      <w:r>
        <w:rPr/>
        <w:t>and Anwar, 2011).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2"/>
        <w:jc w:val="both"/>
      </w:pPr>
      <w:r>
        <w:rPr/>
        <w:drawing>
          <wp:anchor distT="0" distB="0" distL="0" distR="0" allowOverlap="1" layoutInCell="1" locked="0" behindDoc="1" simplePos="0" relativeHeight="477999616">
            <wp:simplePos x="0" y="0"/>
            <wp:positionH relativeFrom="page">
              <wp:posOffset>1485138</wp:posOffset>
            </wp:positionH>
            <wp:positionV relativeFrom="paragraph">
              <wp:posOffset>1642403</wp:posOffset>
            </wp:positionV>
            <wp:extent cx="5102225" cy="5044439"/>
            <wp:effectExtent l="0" t="0" r="0" b="0"/>
            <wp:wrapNone/>
            <wp:docPr id="25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Fluctuations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Variability in exchange rate signals instability of a country‘s macroeconomic</w:t>
      </w:r>
      <w:r>
        <w:rPr>
          <w:spacing w:val="1"/>
        </w:rPr>
        <w:t> </w:t>
      </w:r>
      <w:r>
        <w:rPr/>
        <w:t>fundamentals, resulting in a reduction in financial inflows in the form of investment. This</w:t>
      </w:r>
      <w:r>
        <w:rPr>
          <w:spacing w:val="1"/>
        </w:rPr>
        <w:t> </w:t>
      </w:r>
      <w:r>
        <w:rPr/>
        <w:t>fluctuation has the tendency of increasing financial outflows, which may further worsen</w:t>
      </w:r>
      <w:r>
        <w:rPr>
          <w:spacing w:val="1"/>
        </w:rPr>
        <w:t> </w:t>
      </w:r>
      <w:r>
        <w:rPr/>
        <w:t>the country‘s financial account balance.</w:t>
      </w:r>
      <w:r>
        <w:rPr>
          <w:spacing w:val="1"/>
        </w:rPr>
        <w:t> </w:t>
      </w:r>
      <w:r>
        <w:rPr/>
        <w:t>The results, however, showed that, as exchange</w:t>
      </w:r>
      <w:r>
        <w:rPr>
          <w:spacing w:val="1"/>
        </w:rPr>
        <w:t> </w:t>
      </w:r>
      <w:r>
        <w:rPr/>
        <w:t>rate depreciated, the country experienced a positive net financial inflow.   Reasons for</w:t>
      </w:r>
      <w:r>
        <w:rPr>
          <w:spacing w:val="1"/>
        </w:rPr>
        <w:t> </w:t>
      </w:r>
      <w:r>
        <w:rPr/>
        <w:t>such outcomes are: most of the domestic investments during the period were in the 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locally</w:t>
      </w:r>
      <w:r>
        <w:rPr>
          <w:spacing w:val="-57"/>
        </w:rPr>
        <w:t> </w:t>
      </w:r>
      <w:r>
        <w:rPr/>
        <w:t>produced raw materials are cheap for foreign investors relatively to their home companies</w:t>
      </w:r>
      <w:r>
        <w:rPr>
          <w:spacing w:val="-57"/>
        </w:rPr>
        <w:t> </w:t>
      </w:r>
      <w:r>
        <w:rPr/>
        <w:t>located abroad, other than in Africa.</w:t>
      </w:r>
      <w:r>
        <w:rPr>
          <w:spacing w:val="1"/>
        </w:rPr>
        <w:t> </w:t>
      </w:r>
      <w:r>
        <w:rPr/>
        <w:t>Any depreciation of the local currency could leave</w:t>
      </w:r>
      <w:r>
        <w:rPr>
          <w:spacing w:val="1"/>
        </w:rPr>
        <w:t> </w:t>
      </w:r>
      <w:r>
        <w:rPr/>
        <w:t>foreign investors with adequate amount of local currency for almost the same amount of</w:t>
      </w:r>
      <w:r>
        <w:rPr>
          <w:spacing w:val="1"/>
        </w:rPr>
        <w:t> </w:t>
      </w:r>
      <w:r>
        <w:rPr/>
        <w:t>foreign currency to meet their expenditures. Also, the civil war could be used to explain</w:t>
      </w:r>
      <w:r>
        <w:rPr>
          <w:spacing w:val="1"/>
        </w:rPr>
        <w:t> </w:t>
      </w:r>
      <w:r>
        <w:rPr/>
        <w:t>the inflow of more foreign investment during the period.</w:t>
      </w:r>
      <w:r>
        <w:rPr>
          <w:spacing w:val="1"/>
        </w:rPr>
        <w:t> </w:t>
      </w:r>
      <w:r>
        <w:rPr/>
        <w:t>The artisanal</w:t>
      </w:r>
      <w:r>
        <w:rPr>
          <w:vertAlign w:val="superscript"/>
        </w:rPr>
        <w:t>38</w:t>
      </w:r>
      <w:r>
        <w:rPr>
          <w:vertAlign w:val="baseline"/>
        </w:rPr>
        <w:t> diamond mining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 to attract foreign investment.</w:t>
      </w:r>
      <w:r>
        <w:rPr>
          <w:spacing w:val="1"/>
          <w:vertAlign w:val="baseline"/>
        </w:rPr>
        <w:t> </w:t>
      </w:r>
      <w:r>
        <w:rPr>
          <w:vertAlign w:val="baseline"/>
        </w:rPr>
        <w:t>Due to the war, it was difficult for the 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to monitor the registration and activities of investment in this sector.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proceeds were not adequately accounted for during the period.   Similarly, there was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depreciation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capital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could be attributed to the followings during the period: the capital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 was mostly driven by aid from other countries</w:t>
      </w:r>
      <w:r>
        <w:rPr>
          <w:vertAlign w:val="superscript"/>
        </w:rPr>
        <w:t>39</w:t>
      </w:r>
      <w:r>
        <w:rPr>
          <w:vertAlign w:val="baseline"/>
        </w:rPr>
        <w:t> in the form of logistics for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government‘s operations, training of military and police personnel, medical aid, food aid,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 materials, financing of programmes and projects proposed in the Poverty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 Strategy Papers (PRSP: 1 and 2), and the financing of HIPC initiative projects.</w:t>
      </w:r>
      <w:r>
        <w:rPr>
          <w:spacing w:val="1"/>
          <w:vertAlign w:val="baseline"/>
        </w:rPr>
        <w:t> </w:t>
      </w:r>
      <w:r>
        <w:rPr>
          <w:vertAlign w:val="baseline"/>
        </w:rPr>
        <w:t>Funds for the financing of all these capital projects</w:t>
      </w:r>
      <w:r>
        <w:rPr>
          <w:spacing w:val="60"/>
          <w:vertAlign w:val="baseline"/>
        </w:rPr>
        <w:t> </w:t>
      </w:r>
      <w:r>
        <w:rPr>
          <w:vertAlign w:val="baseline"/>
        </w:rPr>
        <w:t>greatly depended on policies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-1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movements.</w:t>
      </w:r>
    </w:p>
    <w:p>
      <w:pPr>
        <w:pStyle w:val="BodyText"/>
        <w:spacing w:line="360" w:lineRule="auto" w:before="201"/>
        <w:ind w:left="811" w:right="995"/>
        <w:jc w:val="both"/>
      </w:pPr>
      <w:r>
        <w:rPr/>
        <w:t>On the part of exchange rate pass-through to consumer prices, even though the degree of</w:t>
      </w:r>
      <w:r>
        <w:rPr>
          <w:spacing w:val="1"/>
        </w:rPr>
        <w:t> </w:t>
      </w:r>
      <w:r>
        <w:rPr/>
        <w:t>pass-through was found to be incomplete with a coefficient of 0.80 for Sierra Leone,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coefficients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around</w:t>
      </w:r>
      <w:r>
        <w:rPr>
          <w:spacing w:val="7"/>
        </w:rPr>
        <w:t> </w:t>
      </w:r>
      <w:r>
        <w:rPr/>
        <w:t>0.70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/>
        <w:t>less</w:t>
      </w:r>
      <w:r>
        <w:rPr>
          <w:spacing w:val="9"/>
        </w:rPr>
        <w:t> </w:t>
      </w:r>
      <w:r>
        <w:rPr/>
        <w:t>(McCarthy,</w:t>
      </w:r>
      <w:r>
        <w:rPr>
          <w:spacing w:val="9"/>
        </w:rPr>
        <w:t> </w:t>
      </w:r>
      <w:r>
        <w:rPr/>
        <w:t>2000;</w:t>
      </w:r>
      <w:r>
        <w:rPr>
          <w:spacing w:val="6"/>
        </w:rPr>
        <w:t> </w:t>
      </w:r>
      <w:r>
        <w:rPr/>
        <w:t>Frimpong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Adam,</w:t>
      </w:r>
      <w:r>
        <w:rPr>
          <w:spacing w:val="7"/>
        </w:rPr>
        <w:t> </w:t>
      </w:r>
      <w:r>
        <w:rPr/>
        <w:t>2010;</w:t>
      </w:r>
      <w:r>
        <w:rPr>
          <w:spacing w:val="9"/>
        </w:rPr>
        <w:t> </w:t>
      </w:r>
      <w:r>
        <w:rPr/>
        <w:t>Bwire,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811" w:right="993" w:firstLine="0"/>
        <w:jc w:val="left"/>
        <w:rPr>
          <w:sz w:val="20"/>
        </w:rPr>
      </w:pPr>
      <w:r>
        <w:rPr/>
        <w:pict>
          <v:rect style="position:absolute;margin-left:106.580002pt;margin-top:-5.490091pt;width:144.020pt;height:.72003pt;mso-position-horizontal-relative:page;mso-position-vertical-relative:paragraph;z-index:-2531635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38</w:t>
      </w:r>
      <w:r>
        <w:rPr>
          <w:sz w:val="20"/>
          <w:vertAlign w:val="baseline"/>
        </w:rPr>
        <w:t> Surface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easy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mining diamond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Kimberley mining, using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less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expensive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tools such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shovels,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pick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axes,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cutlasses, among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others.</w:t>
      </w:r>
    </w:p>
    <w:p>
      <w:pPr>
        <w:spacing w:line="228" w:lineRule="exact" w:before="0"/>
        <w:ind w:left="811" w:right="0" w:firstLine="0"/>
        <w:jc w:val="left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Such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Britain,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USA,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France,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China,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UN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(WFP,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UNICEF,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WHO),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DFID,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among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others.</w:t>
      </w:r>
    </w:p>
    <w:p>
      <w:pPr>
        <w:spacing w:after="0" w:line="228" w:lineRule="exact"/>
        <w:jc w:val="left"/>
        <w:rPr>
          <w:sz w:val="20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5"/>
        <w:jc w:val="both"/>
      </w:pPr>
      <w:r>
        <w:rPr/>
        <w:t>et al., 2013).</w:t>
      </w:r>
      <w:r>
        <w:rPr>
          <w:spacing w:val="60"/>
        </w:rPr>
        <w:t> </w:t>
      </w:r>
      <w:r>
        <w:rPr/>
        <w:t>This result means that about 80.0 percent of depreciation in the exchange</w:t>
      </w:r>
      <w:r>
        <w:rPr>
          <w:spacing w:val="1"/>
        </w:rPr>
        <w:t> </w:t>
      </w:r>
      <w:r>
        <w:rPr/>
        <w:t>rate is swiftly passed onto consumer prices. The implication is that disproportionate pass-</w:t>
      </w:r>
      <w:r>
        <w:rPr>
          <w:spacing w:val="1"/>
        </w:rPr>
        <w:t> </w:t>
      </w:r>
      <w:r>
        <w:rPr/>
        <w:t>through is inflationary and has the tendency to exacerbate the general living condition if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curbed with the</w:t>
      </w:r>
      <w:r>
        <w:rPr>
          <w:spacing w:val="-1"/>
        </w:rPr>
        <w:t> </w:t>
      </w:r>
      <w:r>
        <w:rPr/>
        <w:t>right</w:t>
      </w:r>
      <w:r>
        <w:rPr>
          <w:spacing w:val="2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instrument(s).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8"/>
        </w:numPr>
        <w:tabs>
          <w:tab w:pos="1531" w:val="left" w:leader="none"/>
          <w:tab w:pos="1532" w:val="left" w:leader="none"/>
        </w:tabs>
        <w:spacing w:line="240" w:lineRule="auto" w:before="186" w:after="0"/>
        <w:ind w:left="1531" w:right="0" w:hanging="721"/>
        <w:jc w:val="left"/>
      </w:pPr>
      <w:r>
        <w:rPr/>
        <w:drawing>
          <wp:anchor distT="0" distB="0" distL="0" distR="0" allowOverlap="1" layoutInCell="1" locked="0" behindDoc="1" simplePos="0" relativeHeight="478000640">
            <wp:simplePos x="0" y="0"/>
            <wp:positionH relativeFrom="page">
              <wp:posOffset>1485138</wp:posOffset>
            </wp:positionH>
            <wp:positionV relativeFrom="paragraph">
              <wp:posOffset>353861</wp:posOffset>
            </wp:positionV>
            <wp:extent cx="5102225" cy="5044439"/>
            <wp:effectExtent l="0" t="0" r="0" b="0"/>
            <wp:wrapNone/>
            <wp:docPr id="2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70"/>
      <w:r>
        <w:rPr/>
        <w:t>Lessons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bookmarkEnd w:id="70"/>
      <w:r>
        <w:rPr/>
        <w:t>Policy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6"/>
        <w:jc w:val="both"/>
      </w:pPr>
      <w:r>
        <w:rPr/>
        <w:t>Exchange rate is a price that wholly influences an economy‘s trading activities.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devaluation or depreciation affects the country‘s competitiveness with the rest of 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Therefore, understanding its behaviour and impacts on an economy by policy</w:t>
      </w:r>
      <w:r>
        <w:rPr>
          <w:spacing w:val="1"/>
        </w:rPr>
        <w:t> </w:t>
      </w:r>
      <w:r>
        <w:rPr/>
        <w:t>makers</w:t>
      </w:r>
      <w:r>
        <w:rPr>
          <w:spacing w:val="-1"/>
        </w:rPr>
        <w:t> </w:t>
      </w:r>
      <w:r>
        <w:rPr/>
        <w:t>and practitioners</w:t>
      </w:r>
      <w:r>
        <w:rPr>
          <w:spacing w:val="3"/>
        </w:rPr>
        <w:t> </w:t>
      </w:r>
      <w:r>
        <w:rPr/>
        <w:t>is indispensable.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11" w:right="992"/>
        <w:jc w:val="both"/>
      </w:pP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61"/>
        </w:rPr>
        <w:t> </w:t>
      </w:r>
      <w:r>
        <w:rPr/>
        <w:t>policy</w:t>
      </w:r>
      <w:r>
        <w:rPr>
          <w:spacing w:val="1"/>
        </w:rPr>
        <w:t> </w:t>
      </w:r>
      <w:r>
        <w:rPr/>
        <w:t>considerations.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responds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exchange rate behaviour, the authorities should design policies that would encourage and</w:t>
      </w:r>
      <w:r>
        <w:rPr>
          <w:spacing w:val="1"/>
        </w:rPr>
        <w:t> </w:t>
      </w:r>
      <w:r>
        <w:rPr/>
        <w:t>broaden domestic production and further promote the export sectors of the economy.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imports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consumption and this will exacerbate the balance of payments position.    Depreciation as</w:t>
      </w:r>
      <w:r>
        <w:rPr>
          <w:spacing w:val="1"/>
        </w:rPr>
        <w:t> </w:t>
      </w:r>
      <w:r>
        <w:rPr/>
        <w:t>a policy tool is to increase the value of imports thereby causing it to be expensive in the</w:t>
      </w:r>
      <w:r>
        <w:rPr>
          <w:spacing w:val="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market.  This would</w:t>
      </w:r>
      <w:r>
        <w:rPr>
          <w:spacing w:val="-1"/>
        </w:rPr>
        <w:t> </w:t>
      </w:r>
      <w:r>
        <w:rPr/>
        <w:t>encourage</w:t>
      </w:r>
      <w:r>
        <w:rPr>
          <w:spacing w:val="-1"/>
        </w:rPr>
        <w:t> </w:t>
      </w:r>
      <w:r>
        <w:rPr/>
        <w:t>the consumption of</w:t>
      </w:r>
      <w:r>
        <w:rPr>
          <w:spacing w:val="1"/>
        </w:rPr>
        <w:t> </w:t>
      </w:r>
      <w:r>
        <w:rPr/>
        <w:t>locally</w:t>
      </w:r>
      <w:r>
        <w:rPr>
          <w:spacing w:val="-6"/>
        </w:rPr>
        <w:t> </w:t>
      </w:r>
      <w:r>
        <w:rPr/>
        <w:t>produced goods.</w:t>
      </w:r>
    </w:p>
    <w:p>
      <w:pPr>
        <w:pStyle w:val="BodyText"/>
        <w:spacing w:line="360" w:lineRule="auto" w:before="202"/>
        <w:ind w:left="811" w:right="993"/>
        <w:jc w:val="both"/>
      </w:pPr>
      <w:r>
        <w:rPr/>
        <w:t>Policy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embark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balancing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fundamentals such as money supply, interest rate and domestic GDP in particular.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 an excessive growth of money supply will be used to finance consumption,</w:t>
      </w:r>
      <w:r>
        <w:rPr>
          <w:spacing w:val="1"/>
        </w:rPr>
        <w:t> </w:t>
      </w:r>
      <w:r>
        <w:rPr/>
        <w:t>thereby, inducing imports of goods that may not be produced domestically, which is</w:t>
      </w:r>
      <w:r>
        <w:rPr>
          <w:spacing w:val="1"/>
        </w:rPr>
        <w:t> </w:t>
      </w:r>
      <w:r>
        <w:rPr/>
        <w:t>detrimental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balance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payments</w:t>
      </w:r>
      <w:r>
        <w:rPr>
          <w:spacing w:val="50"/>
        </w:rPr>
        <w:t> </w:t>
      </w:r>
      <w:r>
        <w:rPr/>
        <w:t>position.</w:t>
      </w:r>
      <w:r>
        <w:rPr>
          <w:spacing w:val="46"/>
        </w:rPr>
        <w:t> </w:t>
      </w:r>
      <w:r>
        <w:rPr/>
        <w:t>On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other</w:t>
      </w:r>
      <w:r>
        <w:rPr>
          <w:spacing w:val="48"/>
        </w:rPr>
        <w:t> </w:t>
      </w:r>
      <w:r>
        <w:rPr/>
        <w:t>hand,</w:t>
      </w:r>
      <w:r>
        <w:rPr>
          <w:spacing w:val="50"/>
        </w:rPr>
        <w:t> </w:t>
      </w:r>
      <w:r>
        <w:rPr/>
        <w:t>if</w:t>
      </w:r>
      <w:r>
        <w:rPr>
          <w:spacing w:val="52"/>
        </w:rPr>
        <w:t> </w:t>
      </w:r>
      <w:r>
        <w:rPr/>
        <w:t>growth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money</w:t>
      </w:r>
      <w:r>
        <w:rPr>
          <w:spacing w:val="-58"/>
        </w:rPr>
        <w:t> </w:t>
      </w:r>
      <w:r>
        <w:rPr/>
        <w:t>supply</w:t>
      </w:r>
      <w:r>
        <w:rPr>
          <w:spacing w:val="42"/>
        </w:rPr>
        <w:t> </w:t>
      </w:r>
      <w:r>
        <w:rPr/>
        <w:t>is</w:t>
      </w:r>
      <w:r>
        <w:rPr>
          <w:spacing w:val="50"/>
        </w:rPr>
        <w:t> </w:t>
      </w:r>
      <w:r>
        <w:rPr/>
        <w:t>used</w:t>
      </w:r>
      <w:r>
        <w:rPr>
          <w:spacing w:val="49"/>
        </w:rPr>
        <w:t> </w:t>
      </w:r>
      <w:r>
        <w:rPr/>
        <w:t>to</w:t>
      </w:r>
      <w:r>
        <w:rPr>
          <w:spacing w:val="51"/>
        </w:rPr>
        <w:t> </w:t>
      </w:r>
      <w:r>
        <w:rPr/>
        <w:t>finance</w:t>
      </w:r>
      <w:r>
        <w:rPr>
          <w:spacing w:val="48"/>
        </w:rPr>
        <w:t> </w:t>
      </w:r>
      <w:r>
        <w:rPr/>
        <w:t>investment,</w:t>
      </w:r>
      <w:r>
        <w:rPr>
          <w:spacing w:val="50"/>
        </w:rPr>
        <w:t> </w:t>
      </w:r>
      <w:r>
        <w:rPr/>
        <w:t>then</w:t>
      </w:r>
      <w:r>
        <w:rPr>
          <w:spacing w:val="48"/>
        </w:rPr>
        <w:t> </w:t>
      </w:r>
      <w:r>
        <w:rPr/>
        <w:t>it</w:t>
      </w:r>
      <w:r>
        <w:rPr>
          <w:spacing w:val="48"/>
        </w:rPr>
        <w:t> </w:t>
      </w:r>
      <w:r>
        <w:rPr/>
        <w:t>will</w:t>
      </w:r>
      <w:r>
        <w:rPr>
          <w:spacing w:val="49"/>
        </w:rPr>
        <w:t> </w:t>
      </w:r>
      <w:r>
        <w:rPr/>
        <w:t>have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positive</w:t>
      </w:r>
      <w:r>
        <w:rPr>
          <w:spacing w:val="48"/>
        </w:rPr>
        <w:t> </w:t>
      </w:r>
      <w:r>
        <w:rPr/>
        <w:t>effect</w:t>
      </w:r>
      <w:r>
        <w:rPr>
          <w:spacing w:val="50"/>
        </w:rPr>
        <w:t> </w:t>
      </w:r>
      <w:r>
        <w:rPr/>
        <w:t>on</w:t>
      </w:r>
      <w:r>
        <w:rPr>
          <w:spacing w:val="49"/>
        </w:rPr>
        <w:t> </w:t>
      </w:r>
      <w:r>
        <w:rPr/>
        <w:t>domestic</w:t>
      </w:r>
      <w:r>
        <w:rPr>
          <w:spacing w:val="-57"/>
        </w:rPr>
        <w:t> </w:t>
      </w:r>
      <w:r>
        <w:rPr/>
        <w:t>output.    The management of interest rate policy is also important.   From the point of</w:t>
      </w:r>
      <w:r>
        <w:rPr>
          <w:spacing w:val="1"/>
        </w:rPr>
        <w:t> </w:t>
      </w:r>
      <w:r>
        <w:rPr/>
        <w:t>view of the Portfolio balance model,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yield of</w:t>
      </w:r>
      <w:r>
        <w:rPr>
          <w:spacing w:val="1"/>
        </w:rPr>
        <w:t> </w:t>
      </w:r>
      <w:r>
        <w:rPr/>
        <w:t>domestic interest attracts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investment but at the same time increases cost of domestic investment.</w:t>
      </w:r>
      <w:r>
        <w:rPr>
          <w:spacing w:val="1"/>
        </w:rPr>
        <w:t> </w:t>
      </w:r>
      <w:r>
        <w:rPr/>
        <w:t>The growth of the</w:t>
      </w:r>
      <w:r>
        <w:rPr>
          <w:spacing w:val="-57"/>
        </w:rPr>
        <w:t> </w:t>
      </w:r>
      <w:r>
        <w:rPr/>
        <w:t>European</w:t>
      </w:r>
      <w:r>
        <w:rPr>
          <w:spacing w:val="1"/>
        </w:rPr>
        <w:t> </w:t>
      </w:r>
      <w:r>
        <w:rPr/>
        <w:t>Union‘s</w:t>
      </w:r>
      <w:r>
        <w:rPr>
          <w:spacing w:val="1"/>
        </w:rPr>
        <w:t> </w:t>
      </w:r>
      <w:r>
        <w:rPr/>
        <w:t>GDP,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proxy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GDP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economy‘s</w:t>
      </w:r>
      <w:r>
        <w:rPr>
          <w:spacing w:val="5"/>
        </w:rPr>
        <w:t> </w:t>
      </w:r>
      <w:r>
        <w:rPr/>
        <w:t>policy</w:t>
      </w:r>
      <w:r>
        <w:rPr>
          <w:spacing w:val="2"/>
        </w:rPr>
        <w:t> </w:t>
      </w:r>
      <w:r>
        <w:rPr/>
        <w:t>framework.</w:t>
      </w:r>
      <w:r>
        <w:rPr>
          <w:spacing w:val="10"/>
        </w:rPr>
        <w:t> </w:t>
      </w:r>
      <w:r>
        <w:rPr/>
        <w:t>Justification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twofold.</w:t>
      </w:r>
      <w:r>
        <w:rPr>
          <w:spacing w:val="13"/>
        </w:rPr>
        <w:t> </w:t>
      </w:r>
      <w:r>
        <w:rPr/>
        <w:t>The</w:t>
      </w:r>
      <w:r>
        <w:rPr>
          <w:spacing w:val="6"/>
        </w:rPr>
        <w:t> </w:t>
      </w:r>
      <w:r>
        <w:rPr/>
        <w:t>EU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360" w:lineRule="auto" w:before="74"/>
        <w:ind w:left="811" w:right="994"/>
        <w:jc w:val="both"/>
      </w:pPr>
      <w:r>
        <w:rPr/>
        <w:t>has greatly influenced the country‘s total trade in the last decade.</w:t>
      </w:r>
      <w:r>
        <w:rPr>
          <w:spacing w:val="1"/>
        </w:rPr>
        <w:t> </w:t>
      </w:r>
      <w:r>
        <w:rPr/>
        <w:t>Subsequently, any</w:t>
      </w:r>
      <w:r>
        <w:rPr>
          <w:spacing w:val="1"/>
        </w:rPr>
        <w:t> </w:t>
      </w:r>
      <w:r>
        <w:rPr/>
        <w:t>significant occurrence in EU economy would tend to affect the country‘s overall balance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payments.</w:t>
      </w:r>
    </w:p>
    <w:p>
      <w:pPr>
        <w:pStyle w:val="BodyText"/>
        <w:spacing w:line="360" w:lineRule="auto" w:before="201"/>
        <w:ind w:left="811" w:right="993"/>
        <w:jc w:val="both"/>
      </w:pPr>
      <w:r>
        <w:rPr/>
        <w:drawing>
          <wp:anchor distT="0" distB="0" distL="0" distR="0" allowOverlap="1" layoutInCell="1" locked="0" behindDoc="1" simplePos="0" relativeHeight="478001152">
            <wp:simplePos x="0" y="0"/>
            <wp:positionH relativeFrom="page">
              <wp:posOffset>1485138</wp:posOffset>
            </wp:positionH>
            <wp:positionV relativeFrom="paragraph">
              <wp:posOffset>806870</wp:posOffset>
            </wp:positionV>
            <wp:extent cx="5102225" cy="5044439"/>
            <wp:effectExtent l="0" t="0" r="0" b="0"/>
            <wp:wrapNone/>
            <wp:docPr id="26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government through other channels like reduction of fiscal deficits, encouraging</w:t>
      </w:r>
      <w:r>
        <w:rPr>
          <w:spacing w:val="1"/>
        </w:rPr>
        <w:t> </w:t>
      </w:r>
      <w:r>
        <w:rPr/>
        <w:t>private investments, proper management of aid fund in order to put the economy on the</w:t>
      </w:r>
      <w:r>
        <w:rPr>
          <w:spacing w:val="1"/>
        </w:rPr>
        <w:t> </w:t>
      </w:r>
      <w:r>
        <w:rPr/>
        <w:t>path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sustainable</w:t>
      </w:r>
      <w:r>
        <w:rPr>
          <w:spacing w:val="57"/>
        </w:rPr>
        <w:t> </w:t>
      </w:r>
      <w:r>
        <w:rPr/>
        <w:t>growth</w:t>
      </w:r>
      <w:r>
        <w:rPr>
          <w:spacing w:val="60"/>
        </w:rPr>
        <w:t> </w:t>
      </w:r>
      <w:r>
        <w:rPr/>
        <w:t>will</w:t>
      </w:r>
      <w:r>
        <w:rPr>
          <w:spacing w:val="59"/>
        </w:rPr>
        <w:t> </w:t>
      </w:r>
      <w:r>
        <w:rPr/>
        <w:t>reduce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balance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payments</w:t>
      </w:r>
      <w:r>
        <w:rPr>
          <w:spacing w:val="59"/>
        </w:rPr>
        <w:t> </w:t>
      </w:r>
      <w:r>
        <w:rPr/>
        <w:t>problems.</w:t>
      </w:r>
      <w:r>
        <w:rPr>
          <w:spacing w:val="58"/>
        </w:rPr>
        <w:t> </w:t>
      </w:r>
      <w:r>
        <w:rPr/>
        <w:t>Also</w:t>
      </w:r>
      <w:r>
        <w:rPr>
          <w:spacing w:val="59"/>
        </w:rPr>
        <w:t> </w:t>
      </w:r>
      <w:r>
        <w:rPr/>
        <w:t>of</w:t>
      </w:r>
      <w:r>
        <w:rPr>
          <w:spacing w:val="-58"/>
        </w:rPr>
        <w:t> </w:t>
      </w:r>
      <w:r>
        <w:rPr/>
        <w:t>relevance,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for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authorities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monetary</w:t>
      </w:r>
      <w:r>
        <w:rPr>
          <w:spacing w:val="39"/>
        </w:rPr>
        <w:t> </w:t>
      </w:r>
      <w:r>
        <w:rPr/>
        <w:t>policy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continue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/>
        <w:t>prudent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/>
        <w:t>both</w:t>
      </w:r>
      <w:r>
        <w:rPr>
          <w:spacing w:val="-58"/>
        </w:rPr>
        <w:t> </w:t>
      </w:r>
      <w:r>
        <w:rPr/>
        <w:t>policy formulation and implementation geared towards maintaining stable exchange rate.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currency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eroding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policy-makers.</w:t>
      </w:r>
    </w:p>
    <w:p>
      <w:pPr>
        <w:pStyle w:val="BodyText"/>
        <w:rPr>
          <w:sz w:val="26"/>
        </w:rPr>
      </w:pPr>
    </w:p>
    <w:p>
      <w:pPr>
        <w:pStyle w:val="Heading2"/>
        <w:tabs>
          <w:tab w:pos="1531" w:val="left" w:leader="none"/>
        </w:tabs>
        <w:spacing w:before="188"/>
      </w:pPr>
      <w:bookmarkStart w:name="_TOC_250002" w:id="71"/>
      <w:r>
        <w:rPr/>
        <w:t>6.2</w:t>
        <w:tab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Future</w:t>
      </w:r>
      <w:r>
        <w:rPr>
          <w:spacing w:val="-3"/>
        </w:rPr>
        <w:t> </w:t>
      </w:r>
      <w:bookmarkEnd w:id="71"/>
      <w:r>
        <w:rPr/>
        <w:t>Research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811" w:right="993"/>
        <w:jc w:val="both"/>
      </w:pPr>
      <w:r>
        <w:rPr/>
        <w:t>Even though this research was able to analyze the relationship between exchange rate and</w:t>
      </w:r>
      <w:r>
        <w:rPr>
          <w:spacing w:val="-57"/>
        </w:rPr>
        <w:t> </w:t>
      </w:r>
      <w:r>
        <w:rPr/>
        <w:t>the balance of payments, using various techniques,</w:t>
      </w:r>
      <w:r>
        <w:rPr>
          <w:spacing w:val="1"/>
        </w:rPr>
        <w:t> </w:t>
      </w:r>
      <w:r>
        <w:rPr/>
        <w:t>there are, however, a number of</w:t>
      </w:r>
      <w:r>
        <w:rPr>
          <w:spacing w:val="1"/>
        </w:rPr>
        <w:t> </w:t>
      </w:r>
      <w:r>
        <w:rPr/>
        <w:t>possible areas for future research.</w:t>
      </w:r>
      <w:r>
        <w:rPr>
          <w:spacing w:val="1"/>
        </w:rPr>
        <w:t> </w:t>
      </w:r>
      <w:r>
        <w:rPr/>
        <w:t>First, access to a more comprehensive and highly</w:t>
      </w:r>
      <w:r>
        <w:rPr>
          <w:spacing w:val="1"/>
        </w:rPr>
        <w:t> </w:t>
      </w:r>
      <w:r>
        <w:rPr/>
        <w:t>disaggregated data would be relevant to investigate further all the sub components of 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Second, other estimation techniques can be utilized other than the routine</w:t>
      </w:r>
      <w:r>
        <w:rPr>
          <w:spacing w:val="1"/>
        </w:rPr>
        <w:t> </w:t>
      </w:r>
      <w:r>
        <w:rPr/>
        <w:t>Vector Autoregressive model, Vector Error Correction Mechanism, and Autoregressive</w:t>
      </w:r>
      <w:r>
        <w:rPr>
          <w:spacing w:val="1"/>
        </w:rPr>
        <w:t> </w:t>
      </w:r>
      <w:r>
        <w:rPr/>
        <w:t>Distributed lag models.</w:t>
      </w:r>
      <w:r>
        <w:rPr>
          <w:spacing w:val="1"/>
        </w:rPr>
        <w:t> </w:t>
      </w:r>
      <w:r>
        <w:rPr/>
        <w:t>Finally, such a study may be extended to other countries in the</w:t>
      </w:r>
      <w:r>
        <w:rPr>
          <w:spacing w:val="1"/>
        </w:rPr>
        <w:t> </w:t>
      </w:r>
      <w:r>
        <w:rPr/>
        <w:t>region,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those planning</w:t>
      </w:r>
      <w:r>
        <w:rPr>
          <w:spacing w:val="-3"/>
        </w:rPr>
        <w:t> </w:t>
      </w:r>
      <w:r>
        <w:rPr/>
        <w:t>towards integrating</w:t>
      </w:r>
      <w:r>
        <w:rPr>
          <w:spacing w:val="-3"/>
        </w:rPr>
        <w:t> </w:t>
      </w:r>
      <w:r>
        <w:rPr/>
        <w:t>their</w:t>
      </w:r>
      <w:r>
        <w:rPr>
          <w:spacing w:val="1"/>
        </w:rPr>
        <w:t> </w:t>
      </w:r>
      <w:r>
        <w:rPr/>
        <w:t>economies.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1"/>
        <w:ind w:right="1011"/>
      </w:pPr>
      <w:bookmarkStart w:name="_TOC_250001" w:id="72"/>
      <w:bookmarkEnd w:id="72"/>
      <w:r>
        <w:rPr/>
        <w:t>REFERENCES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before="1"/>
        <w:ind w:left="1531" w:right="998" w:hanging="720"/>
        <w:jc w:val="both"/>
      </w:pPr>
      <w:r>
        <w:rPr/>
        <w:t>Adam,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O‘Connell,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Pattillo,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 of Official and Private Capital Flows in Africa</w:t>
      </w:r>
      <w:r>
        <w:rPr>
          <w:spacing w:val="1"/>
        </w:rPr>
        <w:t> </w:t>
      </w:r>
      <w:r>
        <w:rPr>
          <w:i/>
        </w:rPr>
        <w:t>IMF Staff Papers</w:t>
      </w:r>
      <w:r>
        <w:rPr>
          <w:i/>
          <w:spacing w:val="1"/>
        </w:rPr>
        <w:t> </w:t>
      </w:r>
      <w:r>
        <w:rPr/>
        <w:t>51(Special</w:t>
      </w:r>
      <w:r>
        <w:rPr>
          <w:spacing w:val="1"/>
        </w:rPr>
        <w:t> </w:t>
      </w:r>
      <w:r>
        <w:rPr/>
        <w:t>Issue): 126-160.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24" w:right="1012"/>
        <w:jc w:val="center"/>
      </w:pPr>
      <w:r>
        <w:rPr/>
        <w:t>Agenor,</w:t>
      </w:r>
      <w:r>
        <w:rPr>
          <w:spacing w:val="7"/>
        </w:rPr>
        <w:t> </w:t>
      </w:r>
      <w:r>
        <w:rPr/>
        <w:t>P.R.</w:t>
      </w:r>
      <w:r>
        <w:rPr>
          <w:spacing w:val="67"/>
        </w:rPr>
        <w:t> </w:t>
      </w:r>
      <w:r>
        <w:rPr/>
        <w:t>1998.</w:t>
      </w:r>
      <w:r>
        <w:rPr>
          <w:spacing w:val="67"/>
        </w:rPr>
        <w:t> </w:t>
      </w:r>
      <w:r>
        <w:rPr/>
        <w:t>Capital</w:t>
      </w:r>
      <w:r>
        <w:rPr>
          <w:spacing w:val="70"/>
        </w:rPr>
        <w:t> </w:t>
      </w:r>
      <w:r>
        <w:rPr/>
        <w:t>Inflows,</w:t>
      </w:r>
      <w:r>
        <w:rPr>
          <w:spacing w:val="67"/>
        </w:rPr>
        <w:t> </w:t>
      </w:r>
      <w:r>
        <w:rPr/>
        <w:t>External</w:t>
      </w:r>
      <w:r>
        <w:rPr>
          <w:spacing w:val="67"/>
        </w:rPr>
        <w:t> </w:t>
      </w:r>
      <w:r>
        <w:rPr/>
        <w:t>Shocks</w:t>
      </w:r>
      <w:r>
        <w:rPr>
          <w:spacing w:val="67"/>
        </w:rPr>
        <w:t> </w:t>
      </w:r>
      <w:r>
        <w:rPr/>
        <w:t>and</w:t>
      </w:r>
      <w:r>
        <w:rPr>
          <w:spacing w:val="68"/>
        </w:rPr>
        <w:t> </w:t>
      </w:r>
      <w:r>
        <w:rPr/>
        <w:t>the</w:t>
      </w:r>
      <w:r>
        <w:rPr>
          <w:spacing w:val="66"/>
        </w:rPr>
        <w:t> </w:t>
      </w:r>
      <w:r>
        <w:rPr/>
        <w:t>Real</w:t>
      </w:r>
      <w:r>
        <w:rPr>
          <w:spacing w:val="67"/>
        </w:rPr>
        <w:t> </w:t>
      </w:r>
      <w:r>
        <w:rPr/>
        <w:t>Exchange</w:t>
      </w:r>
      <w:r>
        <w:rPr>
          <w:spacing w:val="66"/>
        </w:rPr>
        <w:t> </w:t>
      </w:r>
      <w:r>
        <w:rPr/>
        <w:t>Rate.</w:t>
      </w:r>
    </w:p>
    <w:p>
      <w:pPr>
        <w:spacing w:before="0"/>
        <w:ind w:left="153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001664">
            <wp:simplePos x="0" y="0"/>
            <wp:positionH relativeFrom="page">
              <wp:posOffset>1485138</wp:posOffset>
            </wp:positionH>
            <wp:positionV relativeFrom="paragraph">
              <wp:posOffset>132119</wp:posOffset>
            </wp:positionV>
            <wp:extent cx="5102225" cy="5044439"/>
            <wp:effectExtent l="0" t="0" r="0" b="0"/>
            <wp:wrapNone/>
            <wp:docPr id="26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International Money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Finance</w:t>
      </w:r>
      <w:r>
        <w:rPr>
          <w:i/>
          <w:spacing w:val="1"/>
          <w:sz w:val="24"/>
        </w:rPr>
        <w:t> </w:t>
      </w:r>
      <w:r>
        <w:rPr>
          <w:sz w:val="24"/>
        </w:rPr>
        <w:t>17,</w:t>
      </w:r>
      <w:r>
        <w:rPr>
          <w:spacing w:val="1"/>
          <w:sz w:val="24"/>
        </w:rPr>
        <w:t> </w:t>
      </w:r>
      <w:r>
        <w:rPr>
          <w:sz w:val="24"/>
        </w:rPr>
        <w:t>pp. 713-740.</w:t>
      </w:r>
    </w:p>
    <w:p>
      <w:pPr>
        <w:pStyle w:val="BodyText"/>
      </w:pPr>
    </w:p>
    <w:p>
      <w:pPr>
        <w:spacing w:before="0"/>
        <w:ind w:left="1531" w:right="1000" w:hanging="720"/>
        <w:jc w:val="both"/>
        <w:rPr>
          <w:sz w:val="24"/>
        </w:rPr>
      </w:pPr>
      <w:r>
        <w:rPr>
          <w:sz w:val="24"/>
        </w:rPr>
        <w:t>Aghevli, B.B. and Khan, M.S. 1977. The Monetary Approach to Balance of Payments</w:t>
      </w:r>
      <w:r>
        <w:rPr>
          <w:spacing w:val="1"/>
          <w:sz w:val="24"/>
        </w:rPr>
        <w:t> </w:t>
      </w:r>
      <w:r>
        <w:rPr>
          <w:sz w:val="24"/>
        </w:rPr>
        <w:t>Determination: An Empirical Test, in </w:t>
      </w:r>
      <w:r>
        <w:rPr>
          <w:i/>
          <w:sz w:val="24"/>
        </w:rPr>
        <w:t>The Monetary Approach to the Balance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Payments,</w:t>
      </w:r>
      <w:r>
        <w:rPr>
          <w:i/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2"/>
          <w:sz w:val="24"/>
        </w:rPr>
        <w:t> </w:t>
      </w:r>
      <w:r>
        <w:rPr>
          <w:sz w:val="24"/>
        </w:rPr>
        <w:t>Monetary</w:t>
      </w:r>
      <w:r>
        <w:rPr>
          <w:spacing w:val="-6"/>
          <w:sz w:val="24"/>
        </w:rPr>
        <w:t> </w:t>
      </w:r>
      <w:r>
        <w:rPr>
          <w:sz w:val="24"/>
        </w:rPr>
        <w:t>Fund, Washington,</w:t>
      </w:r>
      <w:r>
        <w:rPr>
          <w:spacing w:val="-1"/>
          <w:sz w:val="24"/>
        </w:rPr>
        <w:t> </w:t>
      </w:r>
      <w:r>
        <w:rPr>
          <w:sz w:val="24"/>
        </w:rPr>
        <w:t>D.C., pp.</w:t>
      </w:r>
      <w:r>
        <w:rPr>
          <w:spacing w:val="-1"/>
          <w:sz w:val="24"/>
        </w:rPr>
        <w:t> </w:t>
      </w:r>
      <w:r>
        <w:rPr>
          <w:sz w:val="24"/>
        </w:rPr>
        <w:t>275-290.</w:t>
      </w:r>
    </w:p>
    <w:p>
      <w:pPr>
        <w:pStyle w:val="BodyText"/>
        <w:spacing w:before="1"/>
      </w:pPr>
    </w:p>
    <w:p>
      <w:pPr>
        <w:spacing w:before="0"/>
        <w:ind w:left="1531" w:right="1002" w:hanging="720"/>
        <w:jc w:val="both"/>
        <w:rPr>
          <w:i/>
          <w:sz w:val="24"/>
        </w:rPr>
      </w:pPr>
      <w:r>
        <w:rPr>
          <w:sz w:val="24"/>
        </w:rPr>
        <w:t>Aizenman, J.,</w:t>
      </w:r>
      <w:r>
        <w:rPr>
          <w:spacing w:val="1"/>
          <w:sz w:val="24"/>
        </w:rPr>
        <w:t> </w:t>
      </w:r>
      <w:r>
        <w:rPr>
          <w:sz w:val="24"/>
        </w:rPr>
        <w:t>Marion, N.</w:t>
      </w:r>
      <w:r>
        <w:rPr>
          <w:spacing w:val="1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sz w:val="24"/>
        </w:rPr>
        <w:t>The merits</w:t>
      </w:r>
      <w:r>
        <w:rPr>
          <w:spacing w:val="1"/>
          <w:sz w:val="24"/>
        </w:rPr>
        <w:t> </w:t>
      </w:r>
      <w:r>
        <w:rPr>
          <w:sz w:val="24"/>
        </w:rPr>
        <w:t>of horizontal</w:t>
      </w:r>
      <w:r>
        <w:rPr>
          <w:spacing w:val="1"/>
          <w:sz w:val="24"/>
        </w:rPr>
        <w:t> </w:t>
      </w:r>
      <w:r>
        <w:rPr>
          <w:sz w:val="24"/>
        </w:rPr>
        <w:t>versus</w:t>
      </w:r>
      <w:r>
        <w:rPr>
          <w:spacing w:val="1"/>
          <w:sz w:val="24"/>
        </w:rPr>
        <w:t> </w:t>
      </w:r>
      <w:r>
        <w:rPr>
          <w:sz w:val="24"/>
        </w:rPr>
        <w:t>vertical</w:t>
      </w:r>
      <w:r>
        <w:rPr>
          <w:spacing w:val="1"/>
          <w:sz w:val="24"/>
        </w:rPr>
        <w:t> </w:t>
      </w:r>
      <w:r>
        <w:rPr>
          <w:sz w:val="24"/>
        </w:rPr>
        <w:t>FDI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uncertainty.</w:t>
      </w:r>
      <w:r>
        <w:rPr>
          <w:spacing w:val="4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Economics 6,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125-148.</w:t>
      </w:r>
    </w:p>
    <w:p>
      <w:pPr>
        <w:pStyle w:val="BodyText"/>
        <w:rPr>
          <w:i/>
        </w:rPr>
      </w:pPr>
    </w:p>
    <w:p>
      <w:pPr>
        <w:spacing w:before="0"/>
        <w:ind w:left="1531" w:right="1003" w:hanging="720"/>
        <w:jc w:val="both"/>
        <w:rPr>
          <w:sz w:val="24"/>
        </w:rPr>
      </w:pPr>
      <w:r>
        <w:rPr>
          <w:sz w:val="24"/>
        </w:rPr>
        <w:t>Ajayi, R.A. and Mougoue, M. 1996.</w:t>
      </w:r>
      <w:r>
        <w:rPr>
          <w:spacing w:val="1"/>
          <w:sz w:val="24"/>
        </w:rPr>
        <w:t> </w:t>
      </w:r>
      <w:r>
        <w:rPr>
          <w:sz w:val="24"/>
        </w:rPr>
        <w:t>On the Dynamic Relation between Stock Prices and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-2"/>
          <w:sz w:val="24"/>
        </w:rPr>
        <w:t> </w:t>
      </w:r>
      <w:r>
        <w:rPr>
          <w:sz w:val="24"/>
        </w:rPr>
        <w:t>Rates.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Financial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sz w:val="24"/>
        </w:rPr>
        <w:t>19: 193-207.</w:t>
      </w:r>
    </w:p>
    <w:p>
      <w:pPr>
        <w:pStyle w:val="BodyText"/>
      </w:pPr>
    </w:p>
    <w:p>
      <w:pPr>
        <w:pStyle w:val="BodyText"/>
        <w:ind w:left="1531" w:right="995" w:hanging="720"/>
        <w:jc w:val="both"/>
      </w:pPr>
      <w:r>
        <w:rPr/>
        <w:t>Akinboade, O.A.,</w:t>
      </w:r>
      <w:r>
        <w:rPr>
          <w:spacing w:val="60"/>
        </w:rPr>
        <w:t> </w:t>
      </w:r>
      <w:r>
        <w:rPr/>
        <w:t>Zirambia, E. and Kumo, W. L. 2008. The Demand for Gasoline in</w:t>
      </w:r>
      <w:r>
        <w:rPr>
          <w:spacing w:val="1"/>
        </w:rPr>
        <w:t> </w:t>
      </w:r>
      <w:r>
        <w:rPr/>
        <w:t>South Africa: Am Empirical Analysis using Co-integration Techniques. </w:t>
      </w:r>
      <w:r>
        <w:rPr>
          <w:i/>
        </w:rPr>
        <w:t>Energy</w:t>
      </w:r>
      <w:r>
        <w:rPr>
          <w:i/>
          <w:spacing w:val="1"/>
        </w:rPr>
        <w:t> </w:t>
      </w:r>
      <w:r>
        <w:rPr>
          <w:i/>
        </w:rPr>
        <w:t>Economics</w:t>
      </w:r>
      <w:r>
        <w:rPr>
          <w:i/>
          <w:spacing w:val="-1"/>
        </w:rPr>
        <w:t> </w:t>
      </w:r>
      <w:r>
        <w:rPr/>
        <w:t>30 : 3222-3229.</w:t>
      </w:r>
    </w:p>
    <w:p>
      <w:pPr>
        <w:pStyle w:val="BodyText"/>
      </w:pPr>
    </w:p>
    <w:p>
      <w:pPr>
        <w:pStyle w:val="BodyText"/>
        <w:ind w:left="1531" w:right="994" w:hanging="720"/>
        <w:jc w:val="both"/>
      </w:pPr>
      <w:r>
        <w:rPr/>
        <w:t>Akofio-Sowah, N. 2009. Is there a link between Exchange Rate pass-through and the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regime: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America.</w:t>
      </w:r>
      <w:r>
        <w:rPr>
          <w:spacing w:val="1"/>
        </w:rPr>
        <w:t> </w:t>
      </w:r>
      <w:r>
        <w:rPr/>
        <w:t>International Atlantic Economic Society. [Online]. Retrieved May 22, 2012 from</w:t>
      </w:r>
      <w:r>
        <w:rPr>
          <w:spacing w:val="1"/>
        </w:rPr>
        <w:t> </w:t>
      </w:r>
      <w:hyperlink r:id="rId29">
        <w:r>
          <w:rPr>
            <w:color w:val="0000FF"/>
            <w:u w:val="single" w:color="0000FF"/>
          </w:rPr>
          <w:t>http://www.springerlink.com/content/vmOhx5875xl11w716k/fulltext</w:t>
        </w:r>
      </w:hyperlink>
      <w:r>
        <w:rPr/>
        <w:t>pdf.</w:t>
      </w:r>
    </w:p>
    <w:p>
      <w:pPr>
        <w:pStyle w:val="BodyText"/>
      </w:pPr>
    </w:p>
    <w:p>
      <w:pPr>
        <w:pStyle w:val="BodyText"/>
        <w:spacing w:before="1"/>
        <w:ind w:left="1531" w:right="1000" w:hanging="720"/>
        <w:jc w:val="both"/>
      </w:pPr>
      <w:r>
        <w:rPr/>
        <w:t>Alawattage,</w:t>
      </w:r>
      <w:r>
        <w:rPr>
          <w:spacing w:val="1"/>
        </w:rPr>
        <w:t> </w:t>
      </w:r>
      <w:r>
        <w:rPr/>
        <w:t>U.P.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Performance</w:t>
      </w:r>
      <w:r>
        <w:rPr>
          <w:spacing w:val="17"/>
        </w:rPr>
        <w:t> </w:t>
      </w:r>
      <w:r>
        <w:rPr/>
        <w:t>in</w:t>
      </w:r>
      <w:r>
        <w:rPr>
          <w:spacing w:val="21"/>
        </w:rPr>
        <w:t> </w:t>
      </w:r>
      <w:r>
        <w:rPr/>
        <w:t>Sri</w:t>
      </w:r>
      <w:r>
        <w:rPr>
          <w:spacing w:val="21"/>
        </w:rPr>
        <w:t> </w:t>
      </w:r>
      <w:r>
        <w:rPr/>
        <w:t>Lanka.</w:t>
      </w:r>
      <w:r>
        <w:rPr>
          <w:spacing w:val="19"/>
        </w:rPr>
        <w:t> </w:t>
      </w:r>
      <w:r>
        <w:rPr>
          <w:i/>
        </w:rPr>
        <w:t>Staff</w:t>
      </w:r>
      <w:r>
        <w:rPr>
          <w:i/>
          <w:spacing w:val="19"/>
        </w:rPr>
        <w:t> </w:t>
      </w:r>
      <w:r>
        <w:rPr>
          <w:i/>
        </w:rPr>
        <w:t>Studies</w:t>
      </w:r>
      <w:r>
        <w:rPr>
          <w:i/>
          <w:spacing w:val="18"/>
        </w:rPr>
        <w:t> </w:t>
      </w:r>
      <w:r>
        <w:rPr>
          <w:i/>
        </w:rPr>
        <w:t>ISSN</w:t>
      </w:r>
      <w:r>
        <w:rPr>
          <w:i/>
          <w:spacing w:val="18"/>
        </w:rPr>
        <w:t> </w:t>
      </w:r>
      <w:r>
        <w:rPr>
          <w:i/>
        </w:rPr>
        <w:t>1391-3734</w:t>
      </w:r>
      <w:r>
        <w:rPr/>
        <w:t>;</w:t>
      </w:r>
      <w:r>
        <w:rPr>
          <w:spacing w:val="19"/>
        </w:rPr>
        <w:t> </w:t>
      </w:r>
      <w:r>
        <w:rPr/>
        <w:t>Volume</w:t>
      </w:r>
      <w:r>
        <w:rPr>
          <w:spacing w:val="18"/>
        </w:rPr>
        <w:t> </w:t>
      </w:r>
      <w:r>
        <w:rPr/>
        <w:t>35,</w:t>
      </w:r>
      <w:r>
        <w:rPr>
          <w:spacing w:val="21"/>
        </w:rPr>
        <w:t> </w:t>
      </w:r>
      <w:r>
        <w:rPr/>
        <w:t>No.1</w:t>
      </w:r>
      <w:r>
        <w:rPr>
          <w:spacing w:val="18"/>
        </w:rPr>
        <w:t> </w:t>
      </w:r>
      <w:r>
        <w:rPr/>
        <w:t>&amp;</w:t>
      </w:r>
      <w:r>
        <w:rPr>
          <w:spacing w:val="18"/>
        </w:rPr>
        <w:t> </w:t>
      </w:r>
      <w:r>
        <w:rPr/>
        <w:t>2,</w:t>
      </w:r>
      <w:r>
        <w:rPr>
          <w:spacing w:val="-57"/>
        </w:rPr>
        <w:t> </w:t>
      </w:r>
      <w:r>
        <w:rPr/>
        <w:t>pp 63-91.</w:t>
      </w:r>
    </w:p>
    <w:p>
      <w:pPr>
        <w:pStyle w:val="BodyText"/>
      </w:pPr>
    </w:p>
    <w:p>
      <w:pPr>
        <w:spacing w:before="0"/>
        <w:ind w:left="1531" w:right="995" w:hanging="720"/>
        <w:jc w:val="both"/>
        <w:rPr>
          <w:sz w:val="24"/>
        </w:rPr>
      </w:pPr>
      <w:r>
        <w:rPr>
          <w:sz w:val="24"/>
        </w:rPr>
        <w:t>Al-Abri, A.S.</w:t>
      </w:r>
      <w:r>
        <w:rPr>
          <w:spacing w:val="1"/>
          <w:sz w:val="24"/>
        </w:rPr>
        <w:t> </w:t>
      </w:r>
      <w:r>
        <w:rPr>
          <w:sz w:val="24"/>
        </w:rPr>
        <w:t>and Goodwin, B.K.</w:t>
      </w:r>
      <w:r>
        <w:rPr>
          <w:spacing w:val="1"/>
          <w:sz w:val="24"/>
        </w:rPr>
        <w:t> </w:t>
      </w:r>
      <w:r>
        <w:rPr>
          <w:sz w:val="24"/>
        </w:rPr>
        <w:t>2007. Re-examining the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60"/>
          <w:sz w:val="24"/>
        </w:rPr>
        <w:t> </w:t>
      </w:r>
      <w:r>
        <w:rPr>
          <w:sz w:val="24"/>
        </w:rPr>
        <w:t>rate pass-through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import</w:t>
      </w:r>
      <w:r>
        <w:rPr>
          <w:spacing w:val="1"/>
          <w:sz w:val="24"/>
        </w:rPr>
        <w:t> </w:t>
      </w:r>
      <w:r>
        <w:rPr>
          <w:sz w:val="24"/>
        </w:rPr>
        <w:t>prices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non-linear</w:t>
      </w:r>
      <w:r>
        <w:rPr>
          <w:spacing w:val="1"/>
          <w:sz w:val="24"/>
        </w:rPr>
        <w:t> </w:t>
      </w:r>
      <w:r>
        <w:rPr>
          <w:sz w:val="24"/>
        </w:rPr>
        <w:t>estimation</w:t>
      </w:r>
      <w:r>
        <w:rPr>
          <w:spacing w:val="1"/>
          <w:sz w:val="24"/>
        </w:rPr>
        <w:t> </w:t>
      </w:r>
      <w:r>
        <w:rPr>
          <w:sz w:val="24"/>
        </w:rPr>
        <w:t>techniques:</w:t>
      </w:r>
      <w:r>
        <w:rPr>
          <w:spacing w:val="61"/>
          <w:sz w:val="24"/>
        </w:rPr>
        <w:t> </w:t>
      </w:r>
      <w:r>
        <w:rPr>
          <w:sz w:val="24"/>
        </w:rPr>
        <w:t>Threshold</w:t>
      </w:r>
      <w:r>
        <w:rPr>
          <w:spacing w:val="1"/>
          <w:sz w:val="24"/>
        </w:rPr>
        <w:t> </w:t>
      </w:r>
      <w:r>
        <w:rPr>
          <w:sz w:val="24"/>
        </w:rPr>
        <w:t>cointegration. </w:t>
      </w:r>
      <w:r>
        <w:rPr>
          <w:i/>
          <w:sz w:val="24"/>
        </w:rPr>
        <w:t>International Review of Economics and Finance 18</w:t>
      </w:r>
      <w:r>
        <w:rPr>
          <w:i/>
          <w:spacing w:val="60"/>
          <w:sz w:val="24"/>
        </w:rPr>
        <w:t> </w:t>
      </w:r>
      <w:r>
        <w:rPr>
          <w:sz w:val="24"/>
        </w:rPr>
        <w:t>(2009) 142-</w:t>
      </w:r>
      <w:r>
        <w:rPr>
          <w:spacing w:val="1"/>
          <w:sz w:val="24"/>
        </w:rPr>
        <w:t> </w:t>
      </w:r>
      <w:r>
        <w:rPr>
          <w:sz w:val="24"/>
        </w:rPr>
        <w:t>161.</w:t>
      </w:r>
    </w:p>
    <w:p>
      <w:pPr>
        <w:pStyle w:val="BodyText"/>
      </w:pPr>
    </w:p>
    <w:p>
      <w:pPr>
        <w:pStyle w:val="BodyText"/>
        <w:ind w:left="1531" w:right="1001" w:hanging="720"/>
        <w:jc w:val="both"/>
      </w:pPr>
      <w:r>
        <w:rPr/>
        <w:t>Alesina, A. Ozler, S., Roubini, N. and Swagel, P. 1996. Political Instability and Economic</w:t>
      </w:r>
      <w:r>
        <w:rPr>
          <w:spacing w:val="-57"/>
        </w:rPr>
        <w:t> </w:t>
      </w:r>
      <w:r>
        <w:rPr/>
        <w:t>Growth.</w:t>
      </w:r>
      <w:r>
        <w:rPr>
          <w:spacing w:val="59"/>
        </w:rPr>
        <w:t> </w:t>
      </w:r>
      <w:r>
        <w:rPr>
          <w:i/>
        </w:rPr>
        <w:t>Journal of Economic</w:t>
      </w:r>
      <w:r>
        <w:rPr>
          <w:i/>
          <w:spacing w:val="-1"/>
        </w:rPr>
        <w:t> </w:t>
      </w:r>
      <w:r>
        <w:rPr>
          <w:i/>
        </w:rPr>
        <w:t>Growth,</w:t>
      </w:r>
      <w:r>
        <w:rPr>
          <w:i/>
          <w:spacing w:val="1"/>
        </w:rPr>
        <w:t> </w:t>
      </w:r>
      <w:r>
        <w:rPr/>
        <w:t>1, pp 189-212.</w:t>
      </w:r>
    </w:p>
    <w:p>
      <w:pPr>
        <w:pStyle w:val="BodyText"/>
      </w:pPr>
    </w:p>
    <w:p>
      <w:pPr>
        <w:pStyle w:val="BodyText"/>
        <w:ind w:right="187"/>
        <w:jc w:val="center"/>
      </w:pPr>
      <w:r>
        <w:rPr/>
        <w:t>Alesina,</w:t>
      </w:r>
      <w:r>
        <w:rPr>
          <w:spacing w:val="5"/>
        </w:rPr>
        <w:t> </w:t>
      </w:r>
      <w:r>
        <w:rPr/>
        <w:t>A.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Perotti,</w:t>
      </w:r>
      <w:r>
        <w:rPr>
          <w:spacing w:val="7"/>
        </w:rPr>
        <w:t> </w:t>
      </w:r>
      <w:r>
        <w:rPr/>
        <w:t>R.</w:t>
      </w:r>
      <w:r>
        <w:rPr>
          <w:spacing w:val="6"/>
        </w:rPr>
        <w:t> </w:t>
      </w:r>
      <w:r>
        <w:rPr/>
        <w:t>1996.</w:t>
      </w:r>
      <w:r>
        <w:rPr>
          <w:spacing w:val="8"/>
        </w:rPr>
        <w:t> </w:t>
      </w:r>
      <w:r>
        <w:rPr/>
        <w:t>Income</w:t>
      </w:r>
      <w:r>
        <w:rPr>
          <w:spacing w:val="6"/>
        </w:rPr>
        <w:t> </w:t>
      </w:r>
      <w:r>
        <w:rPr/>
        <w:t>distribution,</w:t>
      </w:r>
      <w:r>
        <w:rPr>
          <w:spacing w:val="6"/>
        </w:rPr>
        <w:t> </w:t>
      </w:r>
      <w:r>
        <w:rPr/>
        <w:t>political</w:t>
      </w:r>
      <w:r>
        <w:rPr>
          <w:spacing w:val="6"/>
        </w:rPr>
        <w:t> </w:t>
      </w:r>
      <w:r>
        <w:rPr/>
        <w:t>instability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investment.</w:t>
      </w:r>
    </w:p>
    <w:p>
      <w:pPr>
        <w:spacing w:before="1"/>
        <w:ind w:left="1531" w:right="0" w:firstLine="0"/>
        <w:jc w:val="left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40,</w:t>
      </w:r>
      <w:r>
        <w:rPr>
          <w:spacing w:val="-1"/>
          <w:sz w:val="24"/>
        </w:rPr>
        <w:t> </w:t>
      </w:r>
      <w:r>
        <w:rPr>
          <w:sz w:val="24"/>
        </w:rPr>
        <w:t>1203-1223.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before="72"/>
        <w:ind w:left="1531" w:right="995" w:hanging="720"/>
        <w:jc w:val="both"/>
      </w:pPr>
      <w:r>
        <w:rPr/>
        <w:t>Ali,</w:t>
      </w:r>
      <w:r>
        <w:rPr>
          <w:spacing w:val="1"/>
        </w:rPr>
        <w:t> </w:t>
      </w:r>
      <w:r>
        <w:rPr/>
        <w:t>Z.S.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Anwar,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Supply-side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rates,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-57"/>
        </w:rPr>
        <w:t> </w:t>
      </w:r>
      <w:r>
        <w:rPr/>
        <w:t>expectations and induced currency depreciation.</w:t>
      </w:r>
      <w:r>
        <w:rPr>
          <w:spacing w:val="1"/>
        </w:rPr>
        <w:t> </w:t>
      </w:r>
      <w:r>
        <w:rPr>
          <w:i/>
        </w:rPr>
        <w:t>Economic Modelling 28 (2011)</w:t>
      </w:r>
      <w:r>
        <w:rPr>
          <w:i/>
          <w:spacing w:val="1"/>
        </w:rPr>
        <w:t> </w:t>
      </w:r>
      <w:r>
        <w:rPr/>
        <w:t>1650-1672.</w:t>
      </w:r>
    </w:p>
    <w:p>
      <w:pPr>
        <w:pStyle w:val="BodyText"/>
      </w:pPr>
    </w:p>
    <w:p>
      <w:pPr>
        <w:spacing w:before="0"/>
        <w:ind w:left="1531" w:right="1003" w:hanging="720"/>
        <w:jc w:val="both"/>
        <w:rPr>
          <w:sz w:val="24"/>
        </w:rPr>
      </w:pPr>
      <w:r>
        <w:rPr>
          <w:sz w:val="24"/>
        </w:rPr>
        <w:t>Alogoskoufis,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Smith,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1991.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Correction</w:t>
      </w:r>
      <w:r>
        <w:rPr>
          <w:spacing w:val="1"/>
          <w:sz w:val="24"/>
        </w:rPr>
        <w:t> </w:t>
      </w:r>
      <w:r>
        <w:rPr>
          <w:sz w:val="24"/>
        </w:rPr>
        <w:t>Models:</w:t>
      </w:r>
      <w:r>
        <w:rPr>
          <w:spacing w:val="1"/>
          <w:sz w:val="24"/>
        </w:rPr>
        <w:t> </w:t>
      </w:r>
      <w:r>
        <w:rPr>
          <w:sz w:val="24"/>
        </w:rPr>
        <w:t>Specification,</w:t>
      </w:r>
      <w:r>
        <w:rPr>
          <w:spacing w:val="1"/>
          <w:sz w:val="24"/>
        </w:rPr>
        <w:t> </w:t>
      </w:r>
      <w:r>
        <w:rPr>
          <w:sz w:val="24"/>
        </w:rPr>
        <w:t>Interpretation</w:t>
      </w:r>
      <w:r>
        <w:rPr>
          <w:spacing w:val="-1"/>
          <w:sz w:val="24"/>
        </w:rPr>
        <w:t> </w:t>
      </w:r>
      <w:r>
        <w:rPr>
          <w:sz w:val="24"/>
        </w:rPr>
        <w:t>and Estimation.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5,</w:t>
      </w:r>
      <w:r>
        <w:rPr>
          <w:i/>
          <w:spacing w:val="1"/>
          <w:sz w:val="24"/>
        </w:rPr>
        <w:t> </w:t>
      </w:r>
      <w:r>
        <w:rPr>
          <w:sz w:val="24"/>
        </w:rPr>
        <w:t>no1:</w:t>
      </w:r>
      <w:r>
        <w:rPr>
          <w:spacing w:val="-1"/>
          <w:sz w:val="24"/>
        </w:rPr>
        <w:t> </w:t>
      </w:r>
      <w:r>
        <w:rPr>
          <w:sz w:val="24"/>
        </w:rPr>
        <w:t>97-128.</w:t>
      </w:r>
    </w:p>
    <w:p>
      <w:pPr>
        <w:pStyle w:val="BodyText"/>
      </w:pPr>
    </w:p>
    <w:p>
      <w:pPr>
        <w:spacing w:before="0"/>
        <w:ind w:left="1531" w:right="101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002176">
            <wp:simplePos x="0" y="0"/>
            <wp:positionH relativeFrom="page">
              <wp:posOffset>1485138</wp:posOffset>
            </wp:positionH>
            <wp:positionV relativeFrom="paragraph">
              <wp:posOffset>369863</wp:posOffset>
            </wp:positionV>
            <wp:extent cx="5102225" cy="5044439"/>
            <wp:effectExtent l="0" t="0" r="0" b="0"/>
            <wp:wrapNone/>
            <wp:docPr id="26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Amin,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Awung</w:t>
      </w:r>
      <w:r>
        <w:rPr>
          <w:spacing w:val="-3"/>
          <w:sz w:val="24"/>
        </w:rPr>
        <w:t> </w:t>
      </w:r>
      <w:r>
        <w:rPr>
          <w:sz w:val="24"/>
        </w:rPr>
        <w:t>W.J.</w:t>
      </w:r>
      <w:r>
        <w:rPr>
          <w:spacing w:val="-1"/>
          <w:sz w:val="24"/>
        </w:rPr>
        <w:t> </w:t>
      </w:r>
      <w:r>
        <w:rPr>
          <w:sz w:val="24"/>
        </w:rPr>
        <w:t>1997.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exchange rate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Cameroon,</w:t>
      </w:r>
      <w:r>
        <w:rPr>
          <w:spacing w:val="-1"/>
          <w:sz w:val="24"/>
        </w:rPr>
        <w:t> </w:t>
      </w:r>
      <w:r>
        <w:rPr>
          <w:sz w:val="24"/>
        </w:rPr>
        <w:t>Congo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Gabon.  </w:t>
      </w:r>
      <w:r>
        <w:rPr>
          <w:i/>
          <w:sz w:val="24"/>
        </w:rPr>
        <w:t>African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Policy,</w:t>
      </w:r>
      <w:r>
        <w:rPr>
          <w:i/>
          <w:spacing w:val="3"/>
          <w:sz w:val="24"/>
        </w:rPr>
        <w:t> </w:t>
      </w:r>
      <w:r>
        <w:rPr>
          <w:sz w:val="24"/>
        </w:rPr>
        <w:t>4.1: 29-59.</w:t>
      </w:r>
    </w:p>
    <w:p>
      <w:pPr>
        <w:pStyle w:val="BodyText"/>
      </w:pPr>
    </w:p>
    <w:p>
      <w:pPr>
        <w:pStyle w:val="BodyText"/>
        <w:ind w:left="1531" w:right="1393" w:hanging="720"/>
      </w:pPr>
      <w:r>
        <w:rPr/>
        <w:t>Amuedo-Dorantes, C. and Pozo, S. 2002.</w:t>
      </w:r>
      <w:r>
        <w:rPr>
          <w:spacing w:val="-3"/>
        </w:rPr>
        <w:t> </w:t>
      </w:r>
      <w:r>
        <w:rPr/>
        <w:t>Precautionary</w:t>
      </w:r>
      <w:r>
        <w:rPr>
          <w:spacing w:val="-5"/>
        </w:rPr>
        <w:t> </w:t>
      </w:r>
      <w:r>
        <w:rPr/>
        <w:t>Saving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Young</w:t>
      </w:r>
      <w:r>
        <w:rPr>
          <w:spacing w:val="-1"/>
        </w:rPr>
        <w:t> </w:t>
      </w:r>
      <w:r>
        <w:rPr/>
        <w:t>Immigrants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Young</w:t>
      </w:r>
      <w:r>
        <w:rPr>
          <w:spacing w:val="-3"/>
        </w:rPr>
        <w:t> </w:t>
      </w:r>
      <w:r>
        <w:rPr/>
        <w:t>Natives.</w:t>
      </w:r>
      <w:r>
        <w:rPr>
          <w:spacing w:val="1"/>
        </w:rPr>
        <w:t> </w:t>
      </w:r>
      <w:r>
        <w:rPr>
          <w:i/>
        </w:rPr>
        <w:t>Southern Economic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,</w:t>
      </w:r>
      <w:r>
        <w:rPr>
          <w:spacing w:val="2"/>
        </w:rPr>
        <w:t> </w:t>
      </w:r>
      <w:r>
        <w:rPr/>
        <w:t>2002, 69(1): 48-71.</w:t>
      </w:r>
    </w:p>
    <w:p>
      <w:pPr>
        <w:pStyle w:val="BodyText"/>
        <w:spacing w:before="1"/>
      </w:pPr>
    </w:p>
    <w:p>
      <w:pPr>
        <w:pStyle w:val="BodyText"/>
        <w:ind w:left="1531" w:right="1190" w:hanging="720"/>
      </w:pPr>
      <w:r>
        <w:rPr/>
        <w:t>Amuedo-Dorantes, C. and Pozo, S. 2006a. Remittance Receipt and Business Ownership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Dominican Republic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World Economy, </w:t>
      </w:r>
      <w:r>
        <w:rPr/>
        <w:t>29(7):</w:t>
      </w:r>
      <w:r>
        <w:rPr>
          <w:spacing w:val="-1"/>
        </w:rPr>
        <w:t> </w:t>
      </w:r>
      <w:r>
        <w:rPr/>
        <w:t>939-956.</w:t>
      </w:r>
    </w:p>
    <w:p>
      <w:pPr>
        <w:pStyle w:val="BodyText"/>
      </w:pPr>
    </w:p>
    <w:p>
      <w:pPr>
        <w:pStyle w:val="BodyText"/>
        <w:ind w:left="811"/>
      </w:pPr>
      <w:r>
        <w:rPr/>
        <w:t>Antzoulatos,</w:t>
      </w:r>
      <w:r>
        <w:rPr>
          <w:spacing w:val="-1"/>
        </w:rPr>
        <w:t> </w:t>
      </w:r>
      <w:r>
        <w:rPr/>
        <w:t>A.A. 1996. Error</w:t>
      </w:r>
      <w:r>
        <w:rPr>
          <w:spacing w:val="-2"/>
        </w:rPr>
        <w:t> </w:t>
      </w:r>
      <w:r>
        <w:rPr/>
        <w:t>Correction Mechanisms and</w:t>
      </w:r>
      <w:r>
        <w:rPr>
          <w:spacing w:val="-1"/>
        </w:rPr>
        <w:t> </w:t>
      </w:r>
      <w:r>
        <w:rPr/>
        <w:t>Short-run</w:t>
      </w:r>
      <w:r>
        <w:rPr>
          <w:spacing w:val="-1"/>
        </w:rPr>
        <w:t> </w:t>
      </w:r>
      <w:r>
        <w:rPr/>
        <w:t>Expectations.</w:t>
      </w:r>
    </w:p>
    <w:p>
      <w:pPr>
        <w:spacing w:before="0"/>
        <w:ind w:left="1531" w:right="0" w:firstLine="0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2"/>
          <w:sz w:val="24"/>
        </w:rPr>
        <w:t> </w:t>
      </w:r>
      <w:r>
        <w:rPr>
          <w:sz w:val="24"/>
        </w:rPr>
        <w:t>Reserve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York.</w:t>
      </w:r>
      <w:r>
        <w:rPr>
          <w:spacing w:val="1"/>
          <w:sz w:val="24"/>
        </w:rPr>
        <w:t> </w:t>
      </w:r>
      <w:r>
        <w:rPr>
          <w:i/>
          <w:sz w:val="24"/>
        </w:rPr>
        <w:t>Staff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Reports,</w:t>
      </w:r>
      <w:r>
        <w:rPr>
          <w:i/>
          <w:spacing w:val="2"/>
          <w:sz w:val="24"/>
        </w:rPr>
        <w:t> </w:t>
      </w:r>
      <w:r>
        <w:rPr>
          <w:sz w:val="24"/>
        </w:rPr>
        <w:t>No.10.</w:t>
      </w:r>
    </w:p>
    <w:p>
      <w:pPr>
        <w:pStyle w:val="BodyText"/>
      </w:pPr>
    </w:p>
    <w:p>
      <w:pPr>
        <w:pStyle w:val="BodyText"/>
        <w:ind w:left="1531" w:right="1150" w:hanging="720"/>
      </w:pPr>
      <w:r>
        <w:rPr/>
        <w:t>Arellano, M. and S. Bond. 1991. Some tests of specification for panel data: Monte Carlo</w:t>
      </w:r>
      <w:r>
        <w:rPr>
          <w:spacing w:val="-57"/>
        </w:rPr>
        <w:t> </w:t>
      </w:r>
      <w:r>
        <w:rPr/>
        <w:t>evidence and an application to employment equations. </w:t>
      </w:r>
      <w:r>
        <w:rPr>
          <w:i/>
        </w:rPr>
        <w:t>The Review of Economic</w:t>
      </w:r>
      <w:r>
        <w:rPr>
          <w:i/>
          <w:spacing w:val="1"/>
        </w:rPr>
        <w:t> </w:t>
      </w:r>
      <w:r>
        <w:rPr>
          <w:i/>
        </w:rPr>
        <w:t>Studies</w:t>
      </w:r>
      <w:r>
        <w:rPr>
          <w:i/>
          <w:spacing w:val="-1"/>
        </w:rPr>
        <w:t> </w:t>
      </w:r>
      <w:r>
        <w:rPr/>
        <w:t>58. pp. 277 – 297.</w:t>
      </w:r>
    </w:p>
    <w:p>
      <w:pPr>
        <w:pStyle w:val="BodyText"/>
      </w:pPr>
    </w:p>
    <w:p>
      <w:pPr>
        <w:spacing w:before="0"/>
        <w:ind w:left="1531" w:right="1003" w:hanging="720"/>
        <w:jc w:val="left"/>
        <w:rPr>
          <w:i/>
          <w:sz w:val="24"/>
        </w:rPr>
      </w:pPr>
      <w:r>
        <w:rPr>
          <w:sz w:val="24"/>
        </w:rPr>
        <w:t>Arize, A.C. 2000. Imports and Exports in 50 Countries: Testing of Cointegration and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-1"/>
          <w:sz w:val="24"/>
        </w:rPr>
        <w:t> </w:t>
      </w:r>
      <w:r>
        <w:rPr>
          <w:sz w:val="24"/>
        </w:rPr>
        <w:t>Breaks.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(2002)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101-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115</w:t>
      </w:r>
    </w:p>
    <w:p>
      <w:pPr>
        <w:pStyle w:val="BodyText"/>
        <w:rPr>
          <w:i/>
        </w:rPr>
      </w:pPr>
    </w:p>
    <w:p>
      <w:pPr>
        <w:spacing w:before="1"/>
        <w:ind w:left="1531" w:right="1005" w:hanging="720"/>
        <w:jc w:val="left"/>
        <w:rPr>
          <w:i/>
          <w:sz w:val="24"/>
        </w:rPr>
      </w:pPr>
      <w:r>
        <w:rPr>
          <w:sz w:val="24"/>
        </w:rPr>
        <w:t>Arize, A. C. and Nippani, S. 2010. Import demand behaviour in Africa: Some new</w:t>
      </w:r>
      <w:r>
        <w:rPr>
          <w:spacing w:val="1"/>
          <w:sz w:val="24"/>
        </w:rPr>
        <w:t> </w:t>
      </w:r>
      <w:r>
        <w:rPr>
          <w:sz w:val="24"/>
        </w:rPr>
        <w:t>evidence.</w:t>
      </w:r>
      <w:r>
        <w:rPr>
          <w:spacing w:val="1"/>
          <w:sz w:val="24"/>
        </w:rPr>
        <w:t> </w:t>
      </w:r>
      <w:r>
        <w:rPr>
          <w:i/>
          <w:sz w:val="24"/>
        </w:rPr>
        <w:t>The Quarterly Review of Economics and Finance 50 (2010). Pp.254-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263</w:t>
      </w:r>
    </w:p>
    <w:p>
      <w:pPr>
        <w:pStyle w:val="BodyText"/>
        <w:rPr>
          <w:i/>
        </w:rPr>
      </w:pPr>
    </w:p>
    <w:p>
      <w:pPr>
        <w:spacing w:before="0"/>
        <w:ind w:left="1531" w:right="996" w:hanging="720"/>
        <w:jc w:val="both"/>
        <w:rPr>
          <w:sz w:val="24"/>
        </w:rPr>
      </w:pPr>
      <w:r>
        <w:rPr>
          <w:sz w:val="24"/>
        </w:rPr>
        <w:t>Arize, A. C., Osang, T. and Slottje, D. J. 2000. Exchange-Rate Volatility and Foreign</w:t>
      </w:r>
      <w:r>
        <w:rPr>
          <w:spacing w:val="1"/>
          <w:sz w:val="24"/>
        </w:rPr>
        <w:t> </w:t>
      </w:r>
      <w:r>
        <w:rPr>
          <w:sz w:val="24"/>
        </w:rPr>
        <w:t>Trade: Evidence from Thirteen LDC's. </w:t>
      </w:r>
      <w:r>
        <w:rPr>
          <w:i/>
          <w:sz w:val="24"/>
        </w:rPr>
        <w:t>Journal of Business &amp; Economic Statistics</w:t>
      </w:r>
      <w:r>
        <w:rPr>
          <w:i/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18, No. 1 (Jan., 2000), pp. 10-17.</w:t>
      </w:r>
    </w:p>
    <w:p>
      <w:pPr>
        <w:pStyle w:val="BodyText"/>
      </w:pPr>
    </w:p>
    <w:p>
      <w:pPr>
        <w:pStyle w:val="BodyText"/>
        <w:ind w:left="1531" w:right="1142" w:hanging="720"/>
      </w:pPr>
      <w:r>
        <w:rPr/>
        <w:t>Aron, J., Elbadawi, I.A. and Kahn, B. 1997. Determinants of the Real Exchange Rates in</w:t>
      </w:r>
      <w:r>
        <w:rPr>
          <w:spacing w:val="-58"/>
        </w:rPr>
        <w:t> </w:t>
      </w:r>
      <w:r>
        <w:rPr/>
        <w:t>South Africa. (Online). Retrieved March 4, 2012, from</w:t>
      </w:r>
      <w:r>
        <w:rPr>
          <w:spacing w:val="1"/>
        </w:rPr>
        <w:t> </w:t>
      </w:r>
      <w:hyperlink r:id="rId30">
        <w:r>
          <w:rPr/>
          <w:t>www.case.ox.ac.uk/resprogs/smmsae/pdfs/smmsae-2002-12.pdf.</w:t>
        </w:r>
      </w:hyperlink>
    </w:p>
    <w:p>
      <w:pPr>
        <w:pStyle w:val="BodyText"/>
      </w:pPr>
    </w:p>
    <w:p>
      <w:pPr>
        <w:spacing w:before="1"/>
        <w:ind w:left="1531" w:right="997" w:hanging="720"/>
        <w:jc w:val="both"/>
        <w:rPr>
          <w:sz w:val="24"/>
        </w:rPr>
      </w:pPr>
      <w:r>
        <w:rPr>
          <w:sz w:val="24"/>
        </w:rPr>
        <w:t>Baharumshah, A.Z., Masih M., and Mansur, A. 2004. Current Account, Exchange Rate</w:t>
      </w:r>
      <w:r>
        <w:rPr>
          <w:spacing w:val="1"/>
          <w:sz w:val="24"/>
        </w:rPr>
        <w:t> </w:t>
      </w:r>
      <w:r>
        <w:rPr>
          <w:sz w:val="24"/>
        </w:rPr>
        <w:t>Dynamics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Predictability: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Malaysia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Singapore.</w:t>
      </w:r>
      <w:r>
        <w:rPr>
          <w:spacing w:val="1"/>
          <w:sz w:val="24"/>
        </w:rPr>
        <w:t> </w:t>
      </w:r>
      <w:r>
        <w:rPr>
          <w:i/>
          <w:sz w:val="24"/>
        </w:rPr>
        <w:t>Journal of International Financial Markets, Institutions and Money </w:t>
      </w:r>
      <w:r>
        <w:rPr>
          <w:sz w:val="24"/>
        </w:rPr>
        <w:t>15 (2005)</w:t>
      </w:r>
      <w:r>
        <w:rPr>
          <w:spacing w:val="1"/>
          <w:sz w:val="24"/>
        </w:rPr>
        <w:t> </w:t>
      </w:r>
      <w:r>
        <w:rPr>
          <w:sz w:val="24"/>
        </w:rPr>
        <w:t>255-270.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1"/>
      </w:pPr>
      <w:r>
        <w:rPr/>
        <w:t>Bahmani-Oskooee,</w:t>
      </w:r>
      <w:r>
        <w:rPr>
          <w:spacing w:val="27"/>
        </w:rPr>
        <w:t> </w:t>
      </w:r>
      <w:r>
        <w:rPr/>
        <w:t>M.</w:t>
      </w:r>
      <w:r>
        <w:rPr>
          <w:spacing w:val="26"/>
        </w:rPr>
        <w:t> </w:t>
      </w:r>
      <w:r>
        <w:rPr/>
        <w:t>1985.</w:t>
      </w:r>
      <w:r>
        <w:rPr>
          <w:spacing w:val="25"/>
        </w:rPr>
        <w:t> </w:t>
      </w:r>
      <w:r>
        <w:rPr/>
        <w:t>Devaluation</w:t>
      </w:r>
      <w:r>
        <w:rPr>
          <w:spacing w:val="29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J-Curve:</w:t>
      </w:r>
      <w:r>
        <w:rPr>
          <w:spacing w:val="25"/>
        </w:rPr>
        <w:t> </w:t>
      </w:r>
      <w:r>
        <w:rPr/>
        <w:t>Some</w:t>
      </w:r>
      <w:r>
        <w:rPr>
          <w:spacing w:val="25"/>
        </w:rPr>
        <w:t> </w:t>
      </w:r>
      <w:r>
        <w:rPr/>
        <w:t>evidence</w:t>
      </w:r>
      <w:r>
        <w:rPr>
          <w:spacing w:val="24"/>
        </w:rPr>
        <w:t> </w:t>
      </w:r>
      <w:r>
        <w:rPr/>
        <w:t>from</w:t>
      </w:r>
      <w:r>
        <w:rPr>
          <w:spacing w:val="29"/>
        </w:rPr>
        <w:t> </w:t>
      </w:r>
      <w:r>
        <w:rPr/>
        <w:t>LDCs.</w:t>
      </w:r>
    </w:p>
    <w:p>
      <w:pPr>
        <w:spacing w:before="0"/>
        <w:ind w:left="1531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1"/>
          <w:sz w:val="24"/>
        </w:rPr>
        <w:t> </w:t>
      </w:r>
      <w:r>
        <w:rPr>
          <w:sz w:val="24"/>
        </w:rPr>
        <w:t>63(3),</w:t>
      </w:r>
      <w:r>
        <w:rPr>
          <w:spacing w:val="-1"/>
          <w:sz w:val="24"/>
        </w:rPr>
        <w:t> </w:t>
      </w:r>
      <w:r>
        <w:rPr>
          <w:sz w:val="24"/>
        </w:rPr>
        <w:t>pp.500-04.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tabs>
          <w:tab w:pos="2491" w:val="left" w:leader="none"/>
        </w:tabs>
        <w:spacing w:before="90"/>
        <w:ind w:left="1531" w:right="1000" w:hanging="720"/>
        <w:jc w:val="both"/>
      </w:pPr>
      <w:r>
        <w:rPr>
          <w:u w:val="single"/>
        </w:rPr>
        <w:t> </w:t>
        <w:tab/>
        <w:tab/>
      </w:r>
      <w:r>
        <w:rPr/>
        <w:t>1991. Is there a Long-Run Relation between the Trade Balance and the</w:t>
      </w:r>
      <w:r>
        <w:rPr>
          <w:spacing w:val="1"/>
        </w:rPr>
        <w:t> </w:t>
      </w:r>
      <w:r>
        <w:rPr/>
        <w:t>Real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LDCs?</w:t>
      </w:r>
      <w:r>
        <w:rPr>
          <w:spacing w:val="5"/>
        </w:rPr>
        <w:t> </w:t>
      </w:r>
      <w:r>
        <w:rPr>
          <w:i/>
        </w:rPr>
        <w:t>Economics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</w:t>
      </w:r>
      <w:r>
        <w:rPr>
          <w:spacing w:val="-2"/>
        </w:rPr>
        <w:t> </w:t>
      </w:r>
      <w:r>
        <w:rPr/>
        <w:t>Vol.</w:t>
      </w:r>
      <w:r>
        <w:rPr>
          <w:spacing w:val="-1"/>
        </w:rPr>
        <w:t> </w:t>
      </w:r>
      <w:r>
        <w:rPr/>
        <w:t>36.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403-407.</w:t>
      </w:r>
    </w:p>
    <w:p>
      <w:pPr>
        <w:pStyle w:val="BodyText"/>
      </w:pPr>
    </w:p>
    <w:p>
      <w:pPr>
        <w:pStyle w:val="BodyText"/>
        <w:ind w:left="1531" w:right="1002" w:hanging="720"/>
        <w:jc w:val="both"/>
      </w:pPr>
      <w:r>
        <w:rPr/>
        <w:t>Bahmani-Oskooee, M. and Ardalani, Z. 2006. Exchange Rate Sensitivity of U.S. Trade</w:t>
      </w:r>
      <w:r>
        <w:rPr>
          <w:spacing w:val="1"/>
        </w:rPr>
        <w:t> </w:t>
      </w:r>
      <w:r>
        <w:rPr/>
        <w:t>Flows:</w:t>
      </w:r>
      <w:r>
        <w:rPr>
          <w:spacing w:val="-1"/>
        </w:rPr>
        <w:t> </w:t>
      </w:r>
      <w:r>
        <w:rPr/>
        <w:t>Evidence from</w:t>
      </w:r>
      <w:r>
        <w:rPr>
          <w:spacing w:val="1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Data. </w:t>
      </w:r>
      <w:r>
        <w:rPr>
          <w:i/>
        </w:rPr>
        <w:t>Southern</w:t>
      </w:r>
      <w:r>
        <w:rPr>
          <w:i/>
          <w:spacing w:val="-1"/>
        </w:rPr>
        <w:t> </w:t>
      </w:r>
      <w:r>
        <w:rPr>
          <w:i/>
        </w:rPr>
        <w:t>Economic</w:t>
      </w:r>
      <w:r>
        <w:rPr>
          <w:i/>
          <w:spacing w:val="-2"/>
        </w:rPr>
        <w:t> </w:t>
      </w:r>
      <w:r>
        <w:rPr>
          <w:i/>
        </w:rPr>
        <w:t>Journal </w:t>
      </w:r>
      <w:r>
        <w:rPr/>
        <w:t>72(3):</w:t>
      </w:r>
      <w:r>
        <w:rPr>
          <w:spacing w:val="-1"/>
        </w:rPr>
        <w:t> </w:t>
      </w:r>
      <w:r>
        <w:rPr/>
        <w:t>542-559.</w:t>
      </w:r>
    </w:p>
    <w:p>
      <w:pPr>
        <w:pStyle w:val="BodyText"/>
      </w:pPr>
    </w:p>
    <w:p>
      <w:pPr>
        <w:spacing w:before="0"/>
        <w:ind w:left="1531" w:right="996" w:hanging="72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8002688">
            <wp:simplePos x="0" y="0"/>
            <wp:positionH relativeFrom="page">
              <wp:posOffset>1485138</wp:posOffset>
            </wp:positionH>
            <wp:positionV relativeFrom="paragraph">
              <wp:posOffset>369863</wp:posOffset>
            </wp:positionV>
            <wp:extent cx="5102225" cy="5044439"/>
            <wp:effectExtent l="0" t="0" r="0" b="0"/>
            <wp:wrapNone/>
            <wp:docPr id="26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Bangura,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Caulker,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Pessima,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Pass-Through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Inflation in Sierra Leone: A Structural VAR Approach.</w:t>
      </w:r>
      <w:r>
        <w:rPr>
          <w:spacing w:val="1"/>
          <w:sz w:val="24"/>
        </w:rPr>
        <w:t> </w:t>
      </w:r>
      <w:r>
        <w:rPr>
          <w:i/>
          <w:sz w:val="24"/>
        </w:rPr>
        <w:t>Journal of Monetary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Integration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Vol. 12 No.1.</w:t>
      </w:r>
    </w:p>
    <w:p>
      <w:pPr>
        <w:pStyle w:val="BodyText"/>
        <w:spacing w:before="2"/>
        <w:rPr>
          <w:i/>
        </w:rPr>
      </w:pPr>
    </w:p>
    <w:p>
      <w:pPr>
        <w:spacing w:line="242" w:lineRule="auto" w:before="0"/>
        <w:ind w:left="1531" w:right="997" w:hanging="720"/>
        <w:jc w:val="both"/>
        <w:rPr>
          <w:sz w:val="23"/>
        </w:rPr>
      </w:pPr>
      <w:r>
        <w:rPr>
          <w:sz w:val="23"/>
        </w:rPr>
        <w:t>Bénassy-Quéré,</w:t>
      </w:r>
      <w:r>
        <w:rPr>
          <w:spacing w:val="28"/>
          <w:sz w:val="23"/>
        </w:rPr>
        <w:t> </w:t>
      </w:r>
      <w:r>
        <w:rPr>
          <w:sz w:val="23"/>
        </w:rPr>
        <w:t>A.,</w:t>
      </w:r>
      <w:r>
        <w:rPr>
          <w:spacing w:val="28"/>
          <w:sz w:val="23"/>
        </w:rPr>
        <w:t> </w:t>
      </w:r>
      <w:r>
        <w:rPr>
          <w:sz w:val="23"/>
        </w:rPr>
        <w:t>Fontagné,</w:t>
      </w:r>
      <w:r>
        <w:rPr>
          <w:spacing w:val="28"/>
          <w:sz w:val="23"/>
        </w:rPr>
        <w:t> </w:t>
      </w:r>
      <w:r>
        <w:rPr>
          <w:sz w:val="23"/>
        </w:rPr>
        <w:t>L.</w:t>
      </w:r>
      <w:r>
        <w:rPr>
          <w:spacing w:val="28"/>
          <w:sz w:val="23"/>
        </w:rPr>
        <w:t> </w:t>
      </w:r>
      <w:r>
        <w:rPr>
          <w:sz w:val="23"/>
        </w:rPr>
        <w:t>and</w:t>
      </w:r>
      <w:r>
        <w:rPr>
          <w:spacing w:val="28"/>
          <w:sz w:val="23"/>
        </w:rPr>
        <w:t> </w:t>
      </w:r>
      <w:r>
        <w:rPr>
          <w:sz w:val="23"/>
        </w:rPr>
        <w:t>Lahrèche-Revil,</w:t>
      </w:r>
      <w:r>
        <w:rPr>
          <w:spacing w:val="28"/>
          <w:sz w:val="23"/>
        </w:rPr>
        <w:t> </w:t>
      </w:r>
      <w:r>
        <w:rPr>
          <w:sz w:val="23"/>
        </w:rPr>
        <w:t>A.</w:t>
      </w:r>
      <w:r>
        <w:rPr>
          <w:spacing w:val="28"/>
          <w:sz w:val="23"/>
        </w:rPr>
        <w:t> </w:t>
      </w:r>
      <w:r>
        <w:rPr>
          <w:sz w:val="23"/>
        </w:rPr>
        <w:t>2001.</w:t>
      </w:r>
      <w:r>
        <w:rPr>
          <w:spacing w:val="26"/>
          <w:sz w:val="23"/>
        </w:rPr>
        <w:t> </w:t>
      </w:r>
      <w:r>
        <w:rPr>
          <w:sz w:val="23"/>
        </w:rPr>
        <w:t>Exchange-rate</w:t>
      </w:r>
      <w:r>
        <w:rPr>
          <w:spacing w:val="26"/>
          <w:sz w:val="23"/>
        </w:rPr>
        <w:t> </w:t>
      </w:r>
      <w:r>
        <w:rPr>
          <w:sz w:val="23"/>
        </w:rPr>
        <w:t>strategies</w:t>
      </w:r>
      <w:r>
        <w:rPr>
          <w:spacing w:val="25"/>
          <w:sz w:val="23"/>
        </w:rPr>
        <w:t> </w:t>
      </w:r>
      <w:r>
        <w:rPr>
          <w:sz w:val="23"/>
        </w:rPr>
        <w:t>in</w:t>
      </w:r>
      <w:r>
        <w:rPr>
          <w:spacing w:val="-55"/>
          <w:sz w:val="23"/>
        </w:rPr>
        <w:t> </w:t>
      </w:r>
      <w:r>
        <w:rPr>
          <w:sz w:val="23"/>
        </w:rPr>
        <w:t>the competition for attracting foreign direct investment. </w:t>
      </w:r>
      <w:r>
        <w:rPr>
          <w:i/>
          <w:sz w:val="23"/>
        </w:rPr>
        <w:t>Journal of the Japanese 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international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Economies</w:t>
      </w:r>
      <w:r>
        <w:rPr>
          <w:i/>
          <w:spacing w:val="1"/>
          <w:sz w:val="23"/>
        </w:rPr>
        <w:t> </w:t>
      </w:r>
      <w:r>
        <w:rPr>
          <w:sz w:val="23"/>
        </w:rPr>
        <w:t>vol.15, </w:t>
      </w:r>
      <w:r>
        <w:rPr>
          <w:i/>
          <w:sz w:val="23"/>
        </w:rPr>
        <w:t>n</w:t>
      </w:r>
      <w:r>
        <w:rPr>
          <w:rFonts w:ascii="Lucida Sans Unicode" w:hAnsi="Lucida Sans Unicode"/>
          <w:sz w:val="14"/>
        </w:rPr>
        <w:t>ο</w:t>
      </w:r>
      <w:r>
        <w:rPr>
          <w:rFonts w:ascii="Lucida Sans Unicode" w:hAnsi="Lucida Sans Unicode"/>
          <w:spacing w:val="-7"/>
          <w:sz w:val="14"/>
        </w:rPr>
        <w:t> </w:t>
      </w:r>
      <w:r>
        <w:rPr>
          <w:sz w:val="23"/>
        </w:rPr>
        <w:t>2,</w:t>
      </w:r>
      <w:r>
        <w:rPr>
          <w:spacing w:val="-1"/>
          <w:sz w:val="23"/>
        </w:rPr>
        <w:t> </w:t>
      </w:r>
      <w:r>
        <w:rPr>
          <w:sz w:val="23"/>
        </w:rPr>
        <w:t>pp.178-198.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531" w:right="1000" w:hanging="720"/>
        <w:jc w:val="both"/>
      </w:pPr>
      <w:r>
        <w:rPr/>
        <w:t>Beirne, J. and Bijsterbosch, M. 2009. Exchange Rate Pass-through in Central and Eastern</w:t>
      </w:r>
      <w:r>
        <w:rPr>
          <w:spacing w:val="1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Member States.</w:t>
      </w:r>
      <w:r>
        <w:rPr>
          <w:spacing w:val="1"/>
        </w:rPr>
        <w:t> </w:t>
      </w:r>
      <w:r>
        <w:rPr>
          <w:i/>
        </w:rPr>
        <w:t>Journal of Policy</w:t>
      </w:r>
      <w:r>
        <w:rPr>
          <w:i/>
          <w:spacing w:val="-3"/>
        </w:rPr>
        <w:t> </w:t>
      </w:r>
      <w:r>
        <w:rPr>
          <w:i/>
        </w:rPr>
        <w:t>Modeling</w:t>
      </w:r>
      <w:r>
        <w:rPr>
          <w:i/>
          <w:spacing w:val="1"/>
        </w:rPr>
        <w:t> </w:t>
      </w:r>
      <w:r>
        <w:rPr/>
        <w:t>Vol. 33: pp 241-254.</w:t>
      </w:r>
    </w:p>
    <w:p>
      <w:pPr>
        <w:pStyle w:val="BodyText"/>
      </w:pPr>
    </w:p>
    <w:p>
      <w:pPr>
        <w:spacing w:before="0"/>
        <w:ind w:left="1531" w:right="995" w:hanging="720"/>
        <w:jc w:val="both"/>
        <w:rPr>
          <w:i/>
          <w:sz w:val="24"/>
        </w:rPr>
      </w:pPr>
      <w:r>
        <w:rPr>
          <w:sz w:val="24"/>
        </w:rPr>
        <w:t>Bhattarai, K.R. and Armah, M.K. 2005. The Effects of Exchange Rate on the Trade</w:t>
      </w:r>
      <w:r>
        <w:rPr>
          <w:spacing w:val="1"/>
          <w:sz w:val="24"/>
        </w:rPr>
        <w:t> </w:t>
      </w:r>
      <w:r>
        <w:rPr>
          <w:sz w:val="24"/>
        </w:rPr>
        <w:t>Balance in Ghana: Evidence from Cointegration Analysis. </w:t>
      </w:r>
      <w:r>
        <w:rPr>
          <w:i/>
          <w:sz w:val="24"/>
        </w:rPr>
        <w:t>Centre for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Business School,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University of Hull.</w:t>
      </w:r>
    </w:p>
    <w:p>
      <w:pPr>
        <w:pStyle w:val="BodyText"/>
        <w:rPr>
          <w:i/>
        </w:rPr>
      </w:pPr>
    </w:p>
    <w:p>
      <w:pPr>
        <w:pStyle w:val="BodyText"/>
        <w:ind w:left="1531" w:right="998" w:hanging="720"/>
        <w:jc w:val="both"/>
      </w:pPr>
      <w:r>
        <w:rPr/>
        <w:t>Bhinda, N., Griffith-Jones, S., Leape, J. and Martin, M. 1999.</w:t>
      </w:r>
      <w:r>
        <w:rPr>
          <w:spacing w:val="1"/>
        </w:rPr>
        <w:t> </w:t>
      </w:r>
      <w:r>
        <w:rPr/>
        <w:t>Private Capital Flows to</w:t>
      </w:r>
      <w:r>
        <w:rPr>
          <w:spacing w:val="1"/>
        </w:rPr>
        <w:t> </w:t>
      </w:r>
      <w:r>
        <w:rPr/>
        <w:t>Africa: Perception and Reality, FONDAD, November 1999, www.fondad .org.</w:t>
      </w:r>
      <w:r>
        <w:rPr>
          <w:spacing w:val="1"/>
        </w:rPr>
        <w:t> </w:t>
      </w:r>
      <w:r>
        <w:rPr/>
        <w:t>[Assessed</w:t>
      </w:r>
      <w:r>
        <w:rPr>
          <w:spacing w:val="-1"/>
        </w:rPr>
        <w:t> </w:t>
      </w:r>
      <w:r>
        <w:rPr/>
        <w:t>Date: 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November, 2012]</w:t>
      </w:r>
    </w:p>
    <w:p>
      <w:pPr>
        <w:pStyle w:val="BodyText"/>
      </w:pPr>
    </w:p>
    <w:p>
      <w:pPr>
        <w:pStyle w:val="BodyText"/>
        <w:spacing w:before="1"/>
        <w:ind w:left="1531" w:right="994" w:hanging="720"/>
        <w:jc w:val="both"/>
      </w:pPr>
      <w:r>
        <w:rPr/>
        <w:t>Bleaney, M. and Greenaway, D. 1998. The Impact of Terms of Trade and Real Exchnage</w:t>
      </w:r>
      <w:r>
        <w:rPr>
          <w:spacing w:val="1"/>
        </w:rPr>
        <w:t> </w:t>
      </w:r>
      <w:r>
        <w:rPr/>
        <w:t>Rate Volatility on Investment and Growth in Sub-Saharan Africa.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-1"/>
        </w:rPr>
        <w:t> </w:t>
      </w:r>
      <w:r>
        <w:rPr>
          <w:i/>
        </w:rPr>
        <w:t>Economics,</w:t>
      </w:r>
      <w:r>
        <w:rPr>
          <w:i/>
          <w:spacing w:val="3"/>
        </w:rPr>
        <w:t> </w:t>
      </w:r>
      <w:r>
        <w:rPr/>
        <w:t>Vol. 65 (2001)</w:t>
      </w:r>
      <w:r>
        <w:rPr>
          <w:spacing w:val="-1"/>
        </w:rPr>
        <w:t> </w:t>
      </w:r>
      <w:r>
        <w:rPr/>
        <w:t>491-500.</w:t>
      </w:r>
    </w:p>
    <w:p>
      <w:pPr>
        <w:pStyle w:val="BodyText"/>
      </w:pPr>
    </w:p>
    <w:p>
      <w:pPr>
        <w:spacing w:before="0"/>
        <w:ind w:left="1531" w:right="998" w:hanging="720"/>
        <w:jc w:val="both"/>
        <w:rPr>
          <w:i/>
          <w:sz w:val="24"/>
        </w:rPr>
      </w:pPr>
      <w:r>
        <w:rPr>
          <w:sz w:val="24"/>
        </w:rPr>
        <w:t>Bolling, C., Shane, M. and Roe, T., 2007. Exchange Rates and U.S. Foreign Direct</w:t>
      </w:r>
      <w:r>
        <w:rPr>
          <w:spacing w:val="1"/>
          <w:sz w:val="24"/>
        </w:rPr>
        <w:t> </w:t>
      </w:r>
      <w:r>
        <w:rPr>
          <w:sz w:val="24"/>
        </w:rPr>
        <w:t>Investment in the Global Processed Food Industry. </w:t>
      </w:r>
      <w:r>
        <w:rPr>
          <w:i/>
          <w:sz w:val="24"/>
        </w:rPr>
        <w:t>Agricultural and Resource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 36(2)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pp. 230-238.</w:t>
      </w:r>
    </w:p>
    <w:p>
      <w:pPr>
        <w:pStyle w:val="BodyText"/>
        <w:rPr>
          <w:i/>
        </w:rPr>
      </w:pPr>
    </w:p>
    <w:p>
      <w:pPr>
        <w:spacing w:before="0"/>
        <w:ind w:left="1531" w:right="995" w:hanging="720"/>
        <w:jc w:val="both"/>
        <w:rPr>
          <w:i/>
          <w:sz w:val="24"/>
        </w:rPr>
      </w:pPr>
      <w:r>
        <w:rPr>
          <w:sz w:val="24"/>
        </w:rPr>
        <w:t>Bwire, T., Angugo, F.L., and Opolot, J. 20013. A Re-estimation of Exchange Rate Pass-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Prices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Uganda: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60"/>
          <w:sz w:val="24"/>
        </w:rPr>
        <w:t> </w:t>
      </w:r>
      <w:r>
        <w:rPr>
          <w:sz w:val="24"/>
        </w:rPr>
        <w:t>VAR</w:t>
      </w:r>
      <w:r>
        <w:rPr>
          <w:spacing w:val="1"/>
          <w:sz w:val="24"/>
        </w:rPr>
        <w:t> </w:t>
      </w:r>
      <w:r>
        <w:rPr>
          <w:sz w:val="24"/>
        </w:rPr>
        <w:t>(SVAR).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Department,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Uganda,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05/2013.</w:t>
      </w:r>
    </w:p>
    <w:p>
      <w:pPr>
        <w:pStyle w:val="BodyText"/>
        <w:rPr>
          <w:i/>
        </w:rPr>
      </w:pPr>
    </w:p>
    <w:p>
      <w:pPr>
        <w:spacing w:before="1"/>
        <w:ind w:left="1531" w:right="999" w:hanging="720"/>
        <w:jc w:val="both"/>
        <w:rPr>
          <w:sz w:val="24"/>
        </w:rPr>
      </w:pPr>
      <w:r>
        <w:rPr>
          <w:sz w:val="24"/>
        </w:rPr>
        <w:t>Campa, J. M., 1993. Entry by foreign firms in the United States under exchange rate</w:t>
      </w:r>
      <w:r>
        <w:rPr>
          <w:spacing w:val="1"/>
          <w:sz w:val="24"/>
        </w:rPr>
        <w:t> </w:t>
      </w:r>
      <w:r>
        <w:rPr>
          <w:sz w:val="24"/>
        </w:rPr>
        <w:t>uncertainty.</w:t>
      </w:r>
      <w:r>
        <w:rPr>
          <w:spacing w:val="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 and Statistics</w:t>
      </w:r>
      <w:r>
        <w:rPr>
          <w:i/>
          <w:spacing w:val="1"/>
          <w:sz w:val="24"/>
        </w:rPr>
        <w:t> </w:t>
      </w:r>
      <w:r>
        <w:rPr>
          <w:sz w:val="24"/>
        </w:rPr>
        <w:t>75, 614-622.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1"/>
      </w:pPr>
      <w:r>
        <w:rPr/>
        <w:t>Campa,</w:t>
      </w:r>
      <w:r>
        <w:rPr>
          <w:spacing w:val="47"/>
        </w:rPr>
        <w:t> </w:t>
      </w:r>
      <w:r>
        <w:rPr/>
        <w:t>J.M.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Goldberg,</w:t>
      </w:r>
      <w:r>
        <w:rPr>
          <w:spacing w:val="52"/>
        </w:rPr>
        <w:t> </w:t>
      </w:r>
      <w:r>
        <w:rPr/>
        <w:t>L.</w:t>
      </w:r>
      <w:r>
        <w:rPr>
          <w:spacing w:val="49"/>
        </w:rPr>
        <w:t> </w:t>
      </w:r>
      <w:r>
        <w:rPr/>
        <w:t>2005.</w:t>
      </w:r>
      <w:r>
        <w:rPr>
          <w:spacing w:val="51"/>
        </w:rPr>
        <w:t> </w:t>
      </w:r>
      <w:r>
        <w:rPr/>
        <w:t>Exchange</w:t>
      </w:r>
      <w:r>
        <w:rPr>
          <w:spacing w:val="50"/>
        </w:rPr>
        <w:t> </w:t>
      </w:r>
      <w:r>
        <w:rPr/>
        <w:t>rate</w:t>
      </w:r>
      <w:r>
        <w:rPr>
          <w:spacing w:val="48"/>
        </w:rPr>
        <w:t> </w:t>
      </w:r>
      <w:r>
        <w:rPr/>
        <w:t>pass</w:t>
      </w:r>
      <w:r>
        <w:rPr>
          <w:spacing w:val="49"/>
        </w:rPr>
        <w:t> </w:t>
      </w:r>
      <w:r>
        <w:rPr/>
        <w:t>through</w:t>
      </w:r>
      <w:r>
        <w:rPr>
          <w:spacing w:val="49"/>
        </w:rPr>
        <w:t> </w:t>
      </w:r>
      <w:r>
        <w:rPr/>
        <w:t>into</w:t>
      </w:r>
      <w:r>
        <w:rPr>
          <w:spacing w:val="51"/>
        </w:rPr>
        <w:t> </w:t>
      </w:r>
      <w:r>
        <w:rPr/>
        <w:t>import</w:t>
      </w:r>
      <w:r>
        <w:rPr>
          <w:spacing w:val="48"/>
        </w:rPr>
        <w:t> </w:t>
      </w:r>
      <w:r>
        <w:rPr/>
        <w:t>prices.</w:t>
      </w:r>
    </w:p>
    <w:p>
      <w:pPr>
        <w:spacing w:before="0"/>
        <w:ind w:left="1531" w:right="0" w:firstLine="0"/>
        <w:jc w:val="left"/>
        <w:rPr>
          <w:sz w:val="24"/>
        </w:rPr>
      </w:pP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Statistics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87 No.4,</w:t>
      </w:r>
      <w:r>
        <w:rPr>
          <w:spacing w:val="-3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679-690.</w:t>
      </w:r>
    </w:p>
    <w:p>
      <w:pPr>
        <w:pStyle w:val="BodyText"/>
      </w:pPr>
    </w:p>
    <w:p>
      <w:pPr>
        <w:pStyle w:val="BodyText"/>
        <w:ind w:left="1531" w:right="995" w:hanging="720"/>
        <w:jc w:val="both"/>
      </w:pPr>
      <w:r>
        <w:rPr/>
        <w:t>Camp, J.M. and Minguez, G. 2006. Differences in exchange rate pass-through in the euro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>
          <w:i/>
        </w:rPr>
        <w:t>European Economic</w:t>
      </w:r>
      <w:r>
        <w:rPr>
          <w:i/>
          <w:spacing w:val="-1"/>
        </w:rPr>
        <w:t> </w:t>
      </w:r>
      <w:r>
        <w:rPr>
          <w:i/>
        </w:rPr>
        <w:t>Review</w:t>
      </w:r>
      <w:r>
        <w:rPr>
          <w:i/>
          <w:spacing w:val="1"/>
        </w:rPr>
        <w:t> </w:t>
      </w:r>
      <w:r>
        <w:rPr/>
        <w:t>50. 121-145</w:t>
      </w:r>
    </w:p>
    <w:p>
      <w:pPr>
        <w:spacing w:after="0"/>
        <w:jc w:val="both"/>
        <w:sectPr>
          <w:pgSz w:w="12240" w:h="15840"/>
          <w:pgMar w:header="0" w:footer="1015" w:top="1500" w:bottom="1200" w:left="1320" w:right="44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531" w:right="994" w:hanging="720"/>
        <w:jc w:val="both"/>
        <w:rPr>
          <w:sz w:val="24"/>
        </w:rPr>
      </w:pPr>
      <w:r>
        <w:rPr>
          <w:sz w:val="24"/>
        </w:rPr>
        <w:t>Canetti, E. and Greene, J. 1992. Monetary Growth and Exchange Rate Depreciation as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Countries: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Analysis,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 Vol.</w:t>
      </w:r>
      <w:r>
        <w:rPr>
          <w:spacing w:val="2"/>
          <w:sz w:val="24"/>
        </w:rPr>
        <w:t> </w:t>
      </w:r>
      <w:r>
        <w:rPr>
          <w:sz w:val="24"/>
        </w:rPr>
        <w:t>1, pp. 37-62.</w:t>
      </w:r>
    </w:p>
    <w:p>
      <w:pPr>
        <w:pStyle w:val="BodyText"/>
      </w:pPr>
    </w:p>
    <w:p>
      <w:pPr>
        <w:pStyle w:val="BodyText"/>
        <w:ind w:left="1531" w:right="997" w:hanging="720"/>
        <w:jc w:val="both"/>
      </w:pPr>
      <w:r>
        <w:rPr/>
        <w:t>Carmignani,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Instability,</w:t>
      </w:r>
      <w:r>
        <w:rPr>
          <w:spacing w:val="1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Economic</w:t>
      </w:r>
      <w:r>
        <w:rPr>
          <w:i/>
          <w:spacing w:val="-2"/>
        </w:rPr>
        <w:t> </w:t>
      </w:r>
      <w:r>
        <w:rPr>
          <w:i/>
        </w:rPr>
        <w:t>Surveys. </w:t>
      </w:r>
      <w:r>
        <w:rPr/>
        <w:t>Vol.</w:t>
      </w:r>
      <w:r>
        <w:rPr>
          <w:spacing w:val="2"/>
        </w:rPr>
        <w:t> </w:t>
      </w:r>
      <w:r>
        <w:rPr/>
        <w:t>17.</w:t>
      </w:r>
      <w:r>
        <w:rPr>
          <w:spacing w:val="-1"/>
        </w:rPr>
        <w:t> </w:t>
      </w:r>
      <w:r>
        <w:rPr/>
        <w:t>No.1.</w:t>
      </w:r>
      <w:r>
        <w:rPr>
          <w:spacing w:val="59"/>
        </w:rPr>
        <w:t> </w:t>
      </w:r>
      <w:r>
        <w:rPr/>
        <w:t>Blackwell</w:t>
      </w:r>
      <w:r>
        <w:rPr>
          <w:spacing w:val="-1"/>
        </w:rPr>
        <w:t> </w:t>
      </w:r>
      <w:r>
        <w:rPr/>
        <w:t>Publishing,</w:t>
      </w:r>
      <w:r>
        <w:rPr>
          <w:spacing w:val="-1"/>
        </w:rPr>
        <w:t> </w:t>
      </w:r>
      <w:r>
        <w:rPr/>
        <w:t>Oxford, OX4,</w:t>
      </w:r>
      <w:r>
        <w:rPr>
          <w:spacing w:val="-1"/>
        </w:rPr>
        <w:t> </w:t>
      </w:r>
      <w:r>
        <w:rPr/>
        <w:t>2DQ,</w:t>
      </w:r>
    </w:p>
    <w:p>
      <w:pPr>
        <w:pStyle w:val="BodyText"/>
        <w:ind w:left="1471"/>
      </w:pPr>
      <w:r>
        <w:rPr/>
        <w:t>UK.</w:t>
      </w:r>
    </w:p>
    <w:p>
      <w:pPr>
        <w:pStyle w:val="BodyText"/>
      </w:pPr>
    </w:p>
    <w:p>
      <w:pPr>
        <w:pStyle w:val="BodyText"/>
        <w:ind w:left="1531" w:right="998" w:hanging="720"/>
        <w:jc w:val="both"/>
      </w:pPr>
      <w:r>
        <w:rPr/>
        <w:drawing>
          <wp:anchor distT="0" distB="0" distL="0" distR="0" allowOverlap="1" layoutInCell="1" locked="0" behindDoc="1" simplePos="0" relativeHeight="478003200">
            <wp:simplePos x="0" y="0"/>
            <wp:positionH relativeFrom="page">
              <wp:posOffset>1485138</wp:posOffset>
            </wp:positionH>
            <wp:positionV relativeFrom="paragraph">
              <wp:posOffset>19343</wp:posOffset>
            </wp:positionV>
            <wp:extent cx="5102225" cy="5044439"/>
            <wp:effectExtent l="0" t="0" r="0" b="0"/>
            <wp:wrapNone/>
            <wp:docPr id="2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Catalina G., Orecchia, C. Paci, P., and Serneels, P. 2007. Does Employment Generation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Reduction?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Network: Working</w:t>
      </w:r>
      <w:r>
        <w:rPr>
          <w:spacing w:val="-2"/>
        </w:rPr>
        <w:t> </w:t>
      </w:r>
      <w:r>
        <w:rPr/>
        <w:t>Paper</w:t>
      </w:r>
      <w:r>
        <w:rPr>
          <w:spacing w:val="1"/>
        </w:rPr>
        <w:t> </w:t>
      </w:r>
      <w:r>
        <w:rPr/>
        <w:t>4432.</w:t>
      </w:r>
    </w:p>
    <w:p>
      <w:pPr>
        <w:pStyle w:val="BodyText"/>
        <w:spacing w:before="1"/>
      </w:pPr>
    </w:p>
    <w:p>
      <w:pPr>
        <w:pStyle w:val="BodyText"/>
        <w:ind w:left="1531" w:right="996" w:hanging="720"/>
        <w:jc w:val="both"/>
      </w:pPr>
      <w:r>
        <w:rPr/>
        <w:t>Ca‘zorzi, M., Hahn, E. and Sanchez, M. 2007. Exchange rate pass-through in emerging</w:t>
      </w:r>
      <w:r>
        <w:rPr>
          <w:spacing w:val="1"/>
        </w:rPr>
        <w:t> </w:t>
      </w:r>
      <w:r>
        <w:rPr/>
        <w:t>markets.</w:t>
      </w:r>
      <w:r>
        <w:rPr>
          <w:spacing w:val="-1"/>
        </w:rPr>
        <w:t> </w:t>
      </w:r>
      <w:r>
        <w:rPr/>
        <w:t>European Central Bank Working</w:t>
      </w:r>
      <w:r>
        <w:rPr>
          <w:spacing w:val="-4"/>
        </w:rPr>
        <w:t> </w:t>
      </w:r>
      <w:r>
        <w:rPr/>
        <w:t>Paper Series No. 739.</w:t>
      </w:r>
    </w:p>
    <w:p>
      <w:pPr>
        <w:pStyle w:val="BodyText"/>
      </w:pPr>
    </w:p>
    <w:p>
      <w:pPr>
        <w:pStyle w:val="BodyText"/>
        <w:ind w:left="1531" w:right="994" w:hanging="720"/>
        <w:jc w:val="both"/>
        <w:rPr>
          <w:i/>
        </w:rPr>
      </w:pPr>
      <w:r>
        <w:rPr/>
        <w:t>Chang, B. 2005. Changes in Effects of Exchange Rate on Trade Balances to Industrial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Korea Research Foundation, Korea Government (MOEHRD).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 Korea</w:t>
      </w:r>
      <w:r>
        <w:rPr>
          <w:i/>
          <w:spacing w:val="-1"/>
        </w:rPr>
        <w:t> </w:t>
      </w:r>
      <w:r>
        <w:rPr>
          <w:i/>
        </w:rPr>
        <w:t>Trade.</w:t>
      </w:r>
    </w:p>
    <w:p>
      <w:pPr>
        <w:pStyle w:val="BodyText"/>
        <w:rPr>
          <w:i/>
        </w:rPr>
      </w:pPr>
    </w:p>
    <w:p>
      <w:pPr>
        <w:spacing w:before="0"/>
        <w:ind w:left="1531" w:right="996" w:hanging="720"/>
        <w:jc w:val="both"/>
        <w:rPr>
          <w:sz w:val="24"/>
        </w:rPr>
      </w:pPr>
      <w:r>
        <w:rPr>
          <w:sz w:val="24"/>
        </w:rPr>
        <w:t>Chantal,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Balance-of-Payments</w:t>
      </w:r>
      <w:r>
        <w:rPr>
          <w:spacing w:val="1"/>
          <w:sz w:val="24"/>
        </w:rPr>
        <w:t> </w:t>
      </w:r>
      <w:r>
        <w:rPr>
          <w:sz w:val="24"/>
        </w:rPr>
        <w:t>Crises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World.</w:t>
      </w:r>
      <w:r>
        <w:rPr>
          <w:spacing w:val="61"/>
          <w:sz w:val="24"/>
        </w:rPr>
        <w:t> </w:t>
      </w:r>
      <w:r>
        <w:rPr>
          <w:sz w:val="24"/>
        </w:rPr>
        <w:t>Balancing</w:t>
      </w:r>
      <w:r>
        <w:rPr>
          <w:spacing w:val="-57"/>
          <w:sz w:val="24"/>
        </w:rPr>
        <w:t> </w:t>
      </w:r>
      <w:r>
        <w:rPr>
          <w:sz w:val="24"/>
        </w:rPr>
        <w:t>Trade,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Order.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Law Review 15, no 6</w:t>
      </w:r>
      <w:r>
        <w:rPr>
          <w:i/>
          <w:spacing w:val="2"/>
          <w:sz w:val="24"/>
        </w:rPr>
        <w:t> </w:t>
      </w:r>
      <w:r>
        <w:rPr>
          <w:sz w:val="24"/>
        </w:rPr>
        <w:t>pp1249-1277.</w:t>
      </w:r>
    </w:p>
    <w:p>
      <w:pPr>
        <w:pStyle w:val="BodyText"/>
      </w:pPr>
    </w:p>
    <w:p>
      <w:pPr>
        <w:spacing w:before="0"/>
        <w:ind w:left="1531" w:right="997" w:hanging="720"/>
        <w:jc w:val="both"/>
        <w:rPr>
          <w:i/>
          <w:sz w:val="24"/>
        </w:rPr>
      </w:pPr>
      <w:r>
        <w:rPr>
          <w:sz w:val="24"/>
        </w:rPr>
        <w:t>Chen, J. and Imam, P. 2012. Causes of asset shortages in emerging markets.</w:t>
      </w:r>
      <w:r>
        <w:rPr>
          <w:spacing w:val="1"/>
          <w:sz w:val="24"/>
        </w:rPr>
        <w:t> </w:t>
      </w:r>
      <w:r>
        <w:rPr>
          <w:i/>
          <w:sz w:val="24"/>
        </w:rPr>
        <w:t>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(2013).</w:t>
      </w:r>
      <w:r>
        <w:rPr>
          <w:i/>
          <w:spacing w:val="1"/>
          <w:sz w:val="24"/>
        </w:rPr>
        <w:t> </w:t>
      </w:r>
      <w:hyperlink r:id="rId31">
        <w:r>
          <w:rPr>
            <w:i/>
            <w:sz w:val="24"/>
          </w:rPr>
          <w:t>http://dx.doi.org/10.1016/i.rdf.2012.12.002</w:t>
        </w:r>
      </w:hyperlink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531" w:right="997" w:hanging="720"/>
        <w:jc w:val="both"/>
      </w:pPr>
      <w:r>
        <w:rPr/>
        <w:t>Choudri, E.U. and Hakura, D.S. 2001. Exchange Rate Pass-Through to Domestic Prices: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Inflationary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Matter?.</w:t>
      </w:r>
      <w:r>
        <w:rPr>
          <w:spacing w:val="1"/>
        </w:rPr>
        <w:t> </w:t>
      </w:r>
      <w:r>
        <w:rPr/>
        <w:t>IMF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01/194</w:t>
      </w:r>
      <w:r>
        <w:rPr>
          <w:spacing w:val="-57"/>
        </w:rPr>
        <w:t> </w:t>
      </w:r>
      <w:r>
        <w:rPr/>
        <w:t>(Washington:</w:t>
      </w:r>
      <w:r>
        <w:rPr>
          <w:spacing w:val="1"/>
        </w:rPr>
        <w:t> </w:t>
      </w:r>
      <w:r>
        <w:rPr/>
        <w:t>International Monetary</w:t>
      </w:r>
      <w:r>
        <w:rPr>
          <w:spacing w:val="-3"/>
        </w:rPr>
        <w:t> </w:t>
      </w:r>
      <w:r>
        <w:rPr/>
        <w:t>Fund).</w:t>
      </w:r>
    </w:p>
    <w:p>
      <w:pPr>
        <w:pStyle w:val="BodyText"/>
      </w:pPr>
    </w:p>
    <w:p>
      <w:pPr>
        <w:spacing w:before="0"/>
        <w:ind w:left="1531" w:right="998" w:hanging="720"/>
        <w:jc w:val="both"/>
        <w:rPr>
          <w:sz w:val="24"/>
        </w:rPr>
      </w:pPr>
      <w:r>
        <w:rPr>
          <w:sz w:val="24"/>
        </w:rPr>
        <w:t>Choudhri, E U. and Hakura, D.S. 2006. Exchange Rate Pass-Through to Domestic Prices:</w:t>
      </w:r>
      <w:r>
        <w:rPr>
          <w:spacing w:val="-57"/>
          <w:sz w:val="24"/>
        </w:rPr>
        <w:t> </w:t>
      </w:r>
      <w:r>
        <w:rPr>
          <w:sz w:val="24"/>
        </w:rPr>
        <w:t>Does the Inflationary Environment Matter? </w:t>
      </w:r>
      <w:r>
        <w:rPr>
          <w:i/>
          <w:sz w:val="24"/>
        </w:rPr>
        <w:t>Journal of International Money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25: 614-639.</w:t>
      </w:r>
    </w:p>
    <w:p>
      <w:pPr>
        <w:pStyle w:val="BodyText"/>
      </w:pPr>
    </w:p>
    <w:p>
      <w:pPr>
        <w:spacing w:before="0"/>
        <w:ind w:left="1531" w:right="1007" w:hanging="720"/>
        <w:jc w:val="both"/>
        <w:rPr>
          <w:i/>
          <w:sz w:val="24"/>
        </w:rPr>
      </w:pPr>
      <w:r>
        <w:rPr>
          <w:sz w:val="24"/>
        </w:rPr>
        <w:t>Combes, J., Kinda, T. and Plane, P. 2011. Capital Flows, Exchange Rate Flexibility,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Exchange</w:t>
      </w:r>
      <w:r>
        <w:rPr>
          <w:spacing w:val="-2"/>
          <w:sz w:val="24"/>
        </w:rPr>
        <w:t> </w:t>
      </w:r>
      <w:r>
        <w:rPr>
          <w:sz w:val="24"/>
        </w:rPr>
        <w:t>Rate.</w:t>
      </w:r>
      <w:r>
        <w:rPr>
          <w:spacing w:val="2"/>
          <w:sz w:val="24"/>
        </w:rPr>
        <w:t> </w:t>
      </w:r>
      <w:r>
        <w:rPr>
          <w:i/>
          <w:sz w:val="24"/>
        </w:rPr>
        <w:t>IMF Working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Paper,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 Department,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WP/11/9.</w:t>
      </w:r>
    </w:p>
    <w:p>
      <w:pPr>
        <w:pStyle w:val="BodyText"/>
        <w:rPr>
          <w:i/>
        </w:rPr>
      </w:pPr>
    </w:p>
    <w:p>
      <w:pPr>
        <w:spacing w:before="1"/>
        <w:ind w:left="1531" w:right="996" w:hanging="720"/>
        <w:jc w:val="both"/>
        <w:rPr>
          <w:sz w:val="24"/>
        </w:rPr>
      </w:pPr>
      <w:r>
        <w:rPr>
          <w:sz w:val="24"/>
        </w:rPr>
        <w:t>Constant, N., Yi, Z. and Yue, Y. 2010. An econometric estimation of import demand</w:t>
      </w:r>
      <w:r>
        <w:rPr>
          <w:spacing w:val="1"/>
          <w:sz w:val="24"/>
        </w:rPr>
        <w:t> </w:t>
      </w:r>
      <w:r>
        <w:rPr>
          <w:sz w:val="24"/>
        </w:rPr>
        <w:t>function for Cote d‘ivoire. </w:t>
      </w:r>
      <w:r>
        <w:rPr>
          <w:i/>
          <w:sz w:val="24"/>
        </w:rPr>
        <w:t>International Journal of Business and Management,</w:t>
      </w:r>
      <w:r>
        <w:rPr>
          <w:i/>
          <w:spacing w:val="1"/>
          <w:sz w:val="24"/>
        </w:rPr>
        <w:t> </w:t>
      </w:r>
      <w:r>
        <w:rPr>
          <w:sz w:val="24"/>
        </w:rPr>
        <w:t>5(2),</w:t>
      </w:r>
      <w:r>
        <w:rPr>
          <w:spacing w:val="-1"/>
          <w:sz w:val="24"/>
        </w:rPr>
        <w:t> </w:t>
      </w:r>
      <w:r>
        <w:rPr>
          <w:sz w:val="24"/>
        </w:rPr>
        <w:t>77-84.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1" w:right="996" w:hanging="720"/>
        <w:jc w:val="both"/>
        <w:rPr>
          <w:sz w:val="24"/>
        </w:rPr>
      </w:pPr>
      <w:r>
        <w:rPr>
          <w:sz w:val="24"/>
        </w:rPr>
        <w:t>Cooper,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1971.</w:t>
      </w:r>
      <w:r>
        <w:rPr>
          <w:spacing w:val="1"/>
          <w:sz w:val="24"/>
        </w:rPr>
        <w:t> </w:t>
      </w:r>
      <w:r>
        <w:rPr>
          <w:sz w:val="24"/>
        </w:rPr>
        <w:t>Currency</w:t>
      </w:r>
      <w:r>
        <w:rPr>
          <w:spacing w:val="1"/>
          <w:sz w:val="24"/>
        </w:rPr>
        <w:t> </w:t>
      </w:r>
      <w:r>
        <w:rPr>
          <w:sz w:val="24"/>
        </w:rPr>
        <w:t>Devaluation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  <w:r>
        <w:rPr>
          <w:spacing w:val="1"/>
          <w:sz w:val="24"/>
        </w:rPr>
        <w:t> </w:t>
      </w:r>
      <w:r>
        <w:rPr>
          <w:i/>
          <w:sz w:val="24"/>
        </w:rPr>
        <w:t>Essays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Finance</w:t>
      </w:r>
      <w:r>
        <w:rPr>
          <w:sz w:val="24"/>
        </w:rPr>
        <w:t>, No. 86, Princeton University.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500" w:bottom="1200" w:left="1320" w:right="440"/>
        </w:sectPr>
      </w:pPr>
    </w:p>
    <w:p>
      <w:pPr>
        <w:spacing w:before="72"/>
        <w:ind w:left="1531" w:right="999" w:hanging="720"/>
        <w:jc w:val="both"/>
        <w:rPr>
          <w:sz w:val="24"/>
        </w:rPr>
      </w:pPr>
      <w:r>
        <w:rPr>
          <w:sz w:val="24"/>
        </w:rPr>
        <w:t>Cottani,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Cavallo,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Khan,</w:t>
      </w:r>
      <w:r>
        <w:rPr>
          <w:spacing w:val="1"/>
          <w:sz w:val="24"/>
        </w:rPr>
        <w:t> </w:t>
      </w:r>
      <w:r>
        <w:rPr>
          <w:sz w:val="24"/>
        </w:rPr>
        <w:t>M.S.</w:t>
      </w:r>
      <w:r>
        <w:rPr>
          <w:spacing w:val="1"/>
          <w:sz w:val="24"/>
        </w:rPr>
        <w:t> </w:t>
      </w:r>
      <w:r>
        <w:rPr>
          <w:sz w:val="24"/>
        </w:rPr>
        <w:t>1990.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Economic Performance in LDCs‖, </w:t>
      </w:r>
      <w:r>
        <w:rPr>
          <w:i/>
          <w:sz w:val="24"/>
        </w:rPr>
        <w:t>Economic Development and Cultural Change,</w:t>
      </w:r>
      <w:r>
        <w:rPr>
          <w:i/>
          <w:spacing w:val="1"/>
          <w:sz w:val="24"/>
        </w:rPr>
        <w:t> </w:t>
      </w:r>
      <w:r>
        <w:rPr>
          <w:sz w:val="24"/>
        </w:rPr>
        <w:t>Vol.39:61-76.</w:t>
      </w:r>
    </w:p>
    <w:p>
      <w:pPr>
        <w:pStyle w:val="BodyText"/>
      </w:pPr>
    </w:p>
    <w:p>
      <w:pPr>
        <w:spacing w:before="0"/>
        <w:ind w:left="1531" w:right="1003" w:hanging="720"/>
        <w:jc w:val="both"/>
        <w:rPr>
          <w:sz w:val="24"/>
        </w:rPr>
      </w:pPr>
      <w:r>
        <w:rPr>
          <w:sz w:val="24"/>
        </w:rPr>
        <w:t>Cushman, D.O., 1985. Real exchange rate risk, expectations, and the level of direct</w:t>
      </w:r>
      <w:r>
        <w:rPr>
          <w:spacing w:val="1"/>
          <w:sz w:val="24"/>
        </w:rPr>
        <w:t> </w:t>
      </w:r>
      <w:r>
        <w:rPr>
          <w:sz w:val="24"/>
        </w:rPr>
        <w:t>investment.</w:t>
      </w:r>
      <w:r>
        <w:rPr>
          <w:spacing w:val="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 and Statistics </w:t>
      </w:r>
      <w:r>
        <w:rPr>
          <w:sz w:val="24"/>
        </w:rPr>
        <w:t>67, 297-308.</w:t>
      </w:r>
    </w:p>
    <w:p>
      <w:pPr>
        <w:pStyle w:val="BodyText"/>
      </w:pPr>
    </w:p>
    <w:p>
      <w:pPr>
        <w:spacing w:before="0"/>
        <w:ind w:left="1531" w:right="995" w:hanging="72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8003712">
            <wp:simplePos x="0" y="0"/>
            <wp:positionH relativeFrom="page">
              <wp:posOffset>1485138</wp:posOffset>
            </wp:positionH>
            <wp:positionV relativeFrom="paragraph">
              <wp:posOffset>369863</wp:posOffset>
            </wp:positionV>
            <wp:extent cx="5102225" cy="5044439"/>
            <wp:effectExtent l="0" t="0" r="0" b="0"/>
            <wp:wrapNone/>
            <wp:docPr id="27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Cuyvers, L., Soeng, R., Plasmans, J., and Bulcke, D.V.D. 2009. Determinants of foreign</w:t>
      </w:r>
      <w:r>
        <w:rPr>
          <w:spacing w:val="1"/>
          <w:sz w:val="24"/>
        </w:rPr>
        <w:t> </w:t>
      </w:r>
      <w:r>
        <w:rPr>
          <w:sz w:val="24"/>
        </w:rPr>
        <w:t>direct investment in Cambodia. </w:t>
      </w:r>
      <w:r>
        <w:rPr>
          <w:i/>
          <w:sz w:val="24"/>
        </w:rPr>
        <w:t>Journal of Asian Economics 22(2011), pp. 222-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234.</w:t>
      </w:r>
    </w:p>
    <w:p>
      <w:pPr>
        <w:pStyle w:val="BodyText"/>
        <w:rPr>
          <w:i/>
        </w:rPr>
      </w:pPr>
    </w:p>
    <w:p>
      <w:pPr>
        <w:pStyle w:val="BodyText"/>
        <w:ind w:right="281"/>
        <w:jc w:val="center"/>
      </w:pPr>
      <w:r>
        <w:rPr/>
        <w:t>Daboh,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2010.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Misalignment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West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Monetary</w:t>
      </w:r>
      <w:r>
        <w:rPr>
          <w:spacing w:val="56"/>
        </w:rPr>
        <w:t> </w:t>
      </w:r>
      <w:r>
        <w:rPr/>
        <w:t>Zone.</w:t>
      </w:r>
    </w:p>
    <w:p>
      <w:pPr>
        <w:spacing w:before="0"/>
        <w:ind w:left="153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Monetary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Integration,</w:t>
      </w:r>
      <w:r>
        <w:rPr>
          <w:i/>
          <w:spacing w:val="2"/>
          <w:sz w:val="24"/>
        </w:rPr>
        <w:t> </w:t>
      </w:r>
      <w:r>
        <w:rPr>
          <w:sz w:val="24"/>
        </w:rPr>
        <w:t>vol.10,</w:t>
      </w:r>
      <w:r>
        <w:rPr>
          <w:spacing w:val="-1"/>
          <w:sz w:val="24"/>
        </w:rPr>
        <w:t> </w:t>
      </w:r>
      <w:r>
        <w:rPr>
          <w:sz w:val="24"/>
        </w:rPr>
        <w:t>No.2.</w:t>
      </w:r>
    </w:p>
    <w:p>
      <w:pPr>
        <w:pStyle w:val="BodyText"/>
        <w:spacing w:before="1"/>
      </w:pPr>
    </w:p>
    <w:p>
      <w:pPr>
        <w:pStyle w:val="BodyText"/>
        <w:ind w:left="1531" w:right="1089" w:hanging="720"/>
        <w:jc w:val="both"/>
        <w:rPr>
          <w:i/>
        </w:rPr>
      </w:pPr>
      <w:r>
        <w:rPr/>
        <w:t>Darby, J., Li, C.W. and Muscatelli, V.A.</w:t>
      </w:r>
      <w:r>
        <w:rPr>
          <w:spacing w:val="1"/>
        </w:rPr>
        <w:t> </w:t>
      </w:r>
      <w:r>
        <w:rPr/>
        <w:t>2000. Political Uncertainty, Public Expenditure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Growth, Glasgow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>
          <w:i/>
        </w:rPr>
        <w:t>mimeo.</w:t>
      </w:r>
    </w:p>
    <w:p>
      <w:pPr>
        <w:pStyle w:val="BodyText"/>
        <w:rPr>
          <w:i/>
        </w:rPr>
      </w:pPr>
    </w:p>
    <w:p>
      <w:pPr>
        <w:spacing w:before="0"/>
        <w:ind w:left="809" w:right="998" w:firstLine="0"/>
        <w:jc w:val="center"/>
        <w:rPr>
          <w:sz w:val="24"/>
        </w:rPr>
      </w:pP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Haan,</w:t>
      </w:r>
      <w:r>
        <w:rPr>
          <w:spacing w:val="45"/>
          <w:sz w:val="24"/>
        </w:rPr>
        <w:t> </w:t>
      </w:r>
      <w:r>
        <w:rPr>
          <w:sz w:val="24"/>
        </w:rPr>
        <w:t>J.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Sturm,</w:t>
      </w:r>
      <w:r>
        <w:rPr>
          <w:spacing w:val="48"/>
          <w:sz w:val="24"/>
        </w:rPr>
        <w:t> </w:t>
      </w:r>
      <w:r>
        <w:rPr>
          <w:sz w:val="24"/>
        </w:rPr>
        <w:t>J.</w:t>
      </w:r>
      <w:r>
        <w:rPr>
          <w:spacing w:val="45"/>
          <w:sz w:val="24"/>
        </w:rPr>
        <w:t> </w:t>
      </w:r>
      <w:r>
        <w:rPr>
          <w:sz w:val="24"/>
        </w:rPr>
        <w:t>2000.</w:t>
      </w:r>
      <w:r>
        <w:rPr>
          <w:spacing w:val="45"/>
          <w:sz w:val="24"/>
        </w:rPr>
        <w:t> </w:t>
      </w:r>
      <w:r>
        <w:rPr>
          <w:sz w:val="24"/>
        </w:rPr>
        <w:t>On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relationship</w:t>
      </w:r>
      <w:r>
        <w:rPr>
          <w:spacing w:val="45"/>
          <w:sz w:val="24"/>
        </w:rPr>
        <w:t> </w:t>
      </w:r>
      <w:r>
        <w:rPr>
          <w:sz w:val="24"/>
        </w:rPr>
        <w:t>between</w:t>
      </w:r>
      <w:r>
        <w:rPr>
          <w:spacing w:val="47"/>
          <w:sz w:val="24"/>
        </w:rPr>
        <w:t> </w:t>
      </w:r>
      <w:r>
        <w:rPr>
          <w:sz w:val="24"/>
        </w:rPr>
        <w:t>economic</w:t>
      </w:r>
      <w:r>
        <w:rPr>
          <w:spacing w:val="44"/>
          <w:sz w:val="24"/>
        </w:rPr>
        <w:t> </w:t>
      </w:r>
      <w:r>
        <w:rPr>
          <w:sz w:val="24"/>
        </w:rPr>
        <w:t>freedom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economic growth,</w:t>
      </w:r>
      <w:r>
        <w:rPr>
          <w:spacing w:val="1"/>
          <w:sz w:val="24"/>
        </w:rPr>
        <w:t> </w:t>
      </w:r>
      <w:r>
        <w:rPr>
          <w:i/>
          <w:sz w:val="24"/>
        </w:rPr>
        <w:t>European, Journal of 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Economy </w:t>
      </w:r>
      <w:r>
        <w:rPr>
          <w:sz w:val="24"/>
        </w:rPr>
        <w:t>16(2): 215–241.</w:t>
      </w:r>
    </w:p>
    <w:p>
      <w:pPr>
        <w:pStyle w:val="BodyText"/>
      </w:pPr>
    </w:p>
    <w:p>
      <w:pPr>
        <w:spacing w:before="0"/>
        <w:ind w:left="1531" w:right="998" w:hanging="720"/>
        <w:jc w:val="both"/>
        <w:rPr>
          <w:sz w:val="24"/>
        </w:rPr>
      </w:pPr>
      <w:r>
        <w:rPr>
          <w:sz w:val="24"/>
        </w:rPr>
        <w:t>Devereux, M., Engel, C., and Storgaard, P. 2004. Endogenous exchange rate pass-through</w:t>
      </w:r>
      <w:r>
        <w:rPr>
          <w:spacing w:val="-57"/>
          <w:sz w:val="24"/>
        </w:rPr>
        <w:t> </w:t>
      </w:r>
      <w:r>
        <w:rPr>
          <w:sz w:val="24"/>
        </w:rPr>
        <w:t>when nominal prices are set in advance.</w:t>
      </w:r>
      <w:r>
        <w:rPr>
          <w:spacing w:val="61"/>
          <w:sz w:val="24"/>
        </w:rPr>
        <w:t> </w:t>
      </w:r>
      <w:r>
        <w:rPr>
          <w:i/>
          <w:sz w:val="24"/>
        </w:rPr>
        <w:t>Journal of International Economics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263-291.</w:t>
      </w:r>
    </w:p>
    <w:p>
      <w:pPr>
        <w:pStyle w:val="BodyText"/>
      </w:pPr>
    </w:p>
    <w:p>
      <w:pPr>
        <w:spacing w:before="0"/>
        <w:ind w:left="1531" w:right="997" w:hanging="720"/>
        <w:jc w:val="both"/>
        <w:rPr>
          <w:sz w:val="24"/>
        </w:rPr>
      </w:pPr>
      <w:r>
        <w:rPr>
          <w:sz w:val="24"/>
        </w:rPr>
        <w:t>Dickey, D.A. and Fuller, W.A. 1979. Distributions of the Estimators for Autoregressive</w:t>
      </w:r>
      <w:r>
        <w:rPr>
          <w:spacing w:val="1"/>
          <w:sz w:val="24"/>
        </w:rPr>
        <w:t> </w:t>
      </w:r>
      <w:r>
        <w:rPr>
          <w:sz w:val="24"/>
        </w:rPr>
        <w:t>Time Series with a Unit Root. </w:t>
      </w:r>
      <w:r>
        <w:rPr>
          <w:i/>
          <w:sz w:val="24"/>
        </w:rPr>
        <w:t>Journal of America Statistical Association </w:t>
      </w:r>
      <w:r>
        <w:rPr>
          <w:sz w:val="24"/>
        </w:rPr>
        <w:t>74 (366),</w:t>
      </w:r>
      <w:r>
        <w:rPr>
          <w:spacing w:val="-57"/>
          <w:sz w:val="24"/>
        </w:rPr>
        <w:t> </w:t>
      </w:r>
      <w:r>
        <w:rPr>
          <w:sz w:val="24"/>
        </w:rPr>
        <w:t>pp.427-481.</w:t>
      </w:r>
    </w:p>
    <w:p>
      <w:pPr>
        <w:pStyle w:val="BodyText"/>
        <w:spacing w:before="1"/>
      </w:pPr>
    </w:p>
    <w:p>
      <w:pPr>
        <w:spacing w:before="0"/>
        <w:ind w:left="0" w:right="185" w:firstLine="0"/>
        <w:jc w:val="center"/>
        <w:rPr>
          <w:i/>
          <w:sz w:val="24"/>
        </w:rPr>
      </w:pPr>
      <w:r>
        <w:rPr>
          <w:sz w:val="24"/>
        </w:rPr>
        <w:t>Dixit,</w:t>
      </w:r>
      <w:r>
        <w:rPr>
          <w:spacing w:val="13"/>
          <w:sz w:val="24"/>
        </w:rPr>
        <w:t> </w:t>
      </w:r>
      <w:r>
        <w:rPr>
          <w:sz w:val="24"/>
        </w:rPr>
        <w:t>A.</w:t>
      </w:r>
      <w:r>
        <w:rPr>
          <w:spacing w:val="14"/>
          <w:sz w:val="24"/>
        </w:rPr>
        <w:t> </w:t>
      </w:r>
      <w:r>
        <w:rPr>
          <w:sz w:val="24"/>
        </w:rPr>
        <w:t>1989.</w:t>
      </w:r>
      <w:r>
        <w:rPr>
          <w:spacing w:val="14"/>
          <w:sz w:val="24"/>
        </w:rPr>
        <w:t> </w:t>
      </w:r>
      <w:r>
        <w:rPr>
          <w:sz w:val="24"/>
        </w:rPr>
        <w:t>Entry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exit</w:t>
      </w:r>
      <w:r>
        <w:rPr>
          <w:spacing w:val="14"/>
          <w:sz w:val="24"/>
        </w:rPr>
        <w:t> </w:t>
      </w:r>
      <w:r>
        <w:rPr>
          <w:sz w:val="24"/>
        </w:rPr>
        <w:t>decisions</w:t>
      </w:r>
      <w:r>
        <w:rPr>
          <w:spacing w:val="13"/>
          <w:sz w:val="24"/>
        </w:rPr>
        <w:t> </w:t>
      </w:r>
      <w:r>
        <w:rPr>
          <w:sz w:val="24"/>
        </w:rPr>
        <w:t>under</w:t>
      </w:r>
      <w:r>
        <w:rPr>
          <w:spacing w:val="13"/>
          <w:sz w:val="24"/>
        </w:rPr>
        <w:t> </w:t>
      </w:r>
      <w:r>
        <w:rPr>
          <w:sz w:val="24"/>
        </w:rPr>
        <w:t>uncertainty.</w:t>
      </w:r>
      <w:r>
        <w:rPr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Economy</w:t>
      </w:r>
    </w:p>
    <w:p>
      <w:pPr>
        <w:pStyle w:val="BodyText"/>
        <w:ind w:left="1531"/>
      </w:pPr>
      <w:r>
        <w:rPr/>
        <w:t>97,</w:t>
      </w:r>
      <w:r>
        <w:rPr>
          <w:spacing w:val="-1"/>
        </w:rPr>
        <w:t> </w:t>
      </w:r>
      <w:r>
        <w:rPr/>
        <w:t>620-638.</w:t>
      </w:r>
    </w:p>
    <w:p>
      <w:pPr>
        <w:pStyle w:val="BodyText"/>
      </w:pPr>
    </w:p>
    <w:p>
      <w:pPr>
        <w:pStyle w:val="BodyText"/>
        <w:ind w:left="1531" w:right="999" w:hanging="720"/>
        <w:jc w:val="both"/>
      </w:pPr>
      <w:r>
        <w:rPr/>
        <w:t>Dixit, A. and Pindyck, R.S. 1994. Investment under Uncertainty.</w:t>
      </w:r>
      <w:r>
        <w:rPr>
          <w:spacing w:val="1"/>
        </w:rPr>
        <w:t> </w:t>
      </w:r>
      <w:r>
        <w:rPr/>
        <w:t>Princeton University</w:t>
      </w:r>
      <w:r>
        <w:rPr>
          <w:spacing w:val="1"/>
        </w:rPr>
        <w:t> </w:t>
      </w:r>
      <w:r>
        <w:rPr/>
        <w:t>Press,</w:t>
      </w:r>
      <w:r>
        <w:rPr>
          <w:spacing w:val="-1"/>
        </w:rPr>
        <w:t> </w:t>
      </w:r>
      <w:r>
        <w:rPr/>
        <w:t>Princeton. NJ.</w:t>
      </w:r>
    </w:p>
    <w:p>
      <w:pPr>
        <w:pStyle w:val="BodyText"/>
      </w:pPr>
    </w:p>
    <w:p>
      <w:pPr>
        <w:pStyle w:val="BodyText"/>
        <w:ind w:left="1531" w:right="996" w:hanging="720"/>
        <w:jc w:val="both"/>
      </w:pPr>
      <w:r>
        <w:rPr/>
        <w:t>Edwards, S. 1988. Exchange Rate Misalignment in Developing Countries. The Johns</w:t>
      </w:r>
      <w:r>
        <w:rPr>
          <w:spacing w:val="1"/>
        </w:rPr>
        <w:t> </w:t>
      </w:r>
      <w:r>
        <w:rPr/>
        <w:t>Hopkins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 Baltimore.</w:t>
      </w:r>
    </w:p>
    <w:p>
      <w:pPr>
        <w:pStyle w:val="BodyText"/>
      </w:pPr>
    </w:p>
    <w:p>
      <w:pPr>
        <w:pStyle w:val="BodyText"/>
        <w:ind w:left="1531" w:right="1002" w:hanging="720"/>
        <w:jc w:val="both"/>
      </w:pPr>
      <w:r>
        <w:rPr/>
        <w:t>Edwards, S. 1989. Real Exchange Rates, Devaluation, and Adjustment: Exchange Rate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in Developing</w:t>
      </w:r>
      <w:r>
        <w:rPr>
          <w:spacing w:val="-3"/>
        </w:rPr>
        <w:t> </w:t>
      </w:r>
      <w:r>
        <w:rPr/>
        <w:t>Countries. Cambridge, MIT</w:t>
      </w:r>
      <w:r>
        <w:rPr>
          <w:spacing w:val="1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spacing w:before="1"/>
        <w:ind w:left="1531" w:right="999" w:hanging="720"/>
        <w:jc w:val="both"/>
      </w:pPr>
      <w:r>
        <w:rPr/>
        <w:t>Edwards, S. 1998. Capital Flows, Real Exchange Rates, and Capital Controls: Some Latin</w:t>
      </w:r>
      <w:r>
        <w:rPr>
          <w:spacing w:val="-57"/>
        </w:rPr>
        <w:t> </w:t>
      </w:r>
      <w:r>
        <w:rPr/>
        <w:t>American</w:t>
      </w:r>
      <w:r>
        <w:rPr>
          <w:spacing w:val="1"/>
        </w:rPr>
        <w:t> </w:t>
      </w:r>
      <w:r>
        <w:rPr/>
        <w:t>Experiences.</w:t>
      </w:r>
      <w:r>
        <w:rPr>
          <w:spacing w:val="1"/>
        </w:rPr>
        <w:t> </w:t>
      </w:r>
      <w:r>
        <w:rPr>
          <w:i/>
        </w:rPr>
        <w:t>NBER</w:t>
      </w:r>
      <w:r>
        <w:rPr>
          <w:i/>
          <w:spacing w:val="1"/>
        </w:rPr>
        <w:t> </w:t>
      </w:r>
      <w:r>
        <w:rPr>
          <w:i/>
        </w:rPr>
        <w:t>Working</w:t>
      </w:r>
      <w:r>
        <w:rPr>
          <w:i/>
          <w:spacing w:val="1"/>
        </w:rPr>
        <w:t> </w:t>
      </w:r>
      <w:r>
        <w:rPr>
          <w:i/>
        </w:rPr>
        <w:t>Papers</w:t>
      </w:r>
      <w:r>
        <w:rPr>
          <w:i/>
          <w:spacing w:val="1"/>
        </w:rPr>
        <w:t> </w:t>
      </w:r>
      <w:r>
        <w:rPr/>
        <w:t>6800,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Research,</w:t>
      </w:r>
      <w:r>
        <w:rPr>
          <w:spacing w:val="2"/>
        </w:rPr>
        <w:t> </w:t>
      </w:r>
      <w:r>
        <w:rPr/>
        <w:t>Inc.</w:t>
      </w:r>
    </w:p>
    <w:p>
      <w:pPr>
        <w:spacing w:after="0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72"/>
        <w:ind w:left="1531" w:right="993" w:hanging="720"/>
        <w:jc w:val="both"/>
      </w:pPr>
      <w:r>
        <w:rPr/>
        <w:t>Edwards,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Uretab,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migration,</w:t>
      </w:r>
      <w:r>
        <w:rPr>
          <w:spacing w:val="60"/>
        </w:rPr>
        <w:t> </w:t>
      </w:r>
      <w:r>
        <w:rPr/>
        <w:t>remittances,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schooling: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El Salvador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Economics</w:t>
      </w:r>
      <w:r>
        <w:rPr>
          <w:i/>
          <w:spacing w:val="1"/>
        </w:rPr>
        <w:t> </w:t>
      </w:r>
      <w:r>
        <w:rPr/>
        <w:t>72</w:t>
      </w:r>
      <w:r>
        <w:rPr>
          <w:spacing w:val="-57"/>
        </w:rPr>
        <w:t> </w:t>
      </w:r>
      <w:r>
        <w:rPr/>
        <w:t>(2003)</w:t>
      </w:r>
      <w:r>
        <w:rPr>
          <w:spacing w:val="-1"/>
        </w:rPr>
        <w:t> </w:t>
      </w:r>
      <w:r>
        <w:rPr/>
        <w:t>429– 461</w:t>
      </w:r>
    </w:p>
    <w:p>
      <w:pPr>
        <w:pStyle w:val="BodyText"/>
      </w:pPr>
    </w:p>
    <w:p>
      <w:pPr>
        <w:pStyle w:val="BodyText"/>
        <w:ind w:left="60" w:right="192"/>
        <w:jc w:val="center"/>
      </w:pPr>
      <w:r>
        <w:rPr/>
        <w:t>Egwaikhide,</w:t>
      </w:r>
      <w:r>
        <w:rPr>
          <w:spacing w:val="21"/>
        </w:rPr>
        <w:t> </w:t>
      </w:r>
      <w:r>
        <w:rPr/>
        <w:t>F.O.</w:t>
      </w:r>
      <w:r>
        <w:rPr>
          <w:spacing w:val="21"/>
        </w:rPr>
        <w:t> </w:t>
      </w:r>
      <w:r>
        <w:rPr/>
        <w:t>1999.</w:t>
      </w:r>
      <w:r>
        <w:rPr>
          <w:spacing w:val="23"/>
        </w:rPr>
        <w:t> </w:t>
      </w:r>
      <w:r>
        <w:rPr/>
        <w:t>Determinants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Imports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Nigeria: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Dynamic</w:t>
      </w:r>
      <w:r>
        <w:rPr>
          <w:spacing w:val="20"/>
        </w:rPr>
        <w:t> </w:t>
      </w:r>
      <w:r>
        <w:rPr/>
        <w:t>Specification.</w:t>
      </w:r>
    </w:p>
    <w:p>
      <w:pPr>
        <w:spacing w:before="0"/>
        <w:ind w:left="827" w:right="1009" w:firstLine="0"/>
        <w:jc w:val="center"/>
        <w:rPr>
          <w:sz w:val="24"/>
        </w:rPr>
      </w:pPr>
      <w:r>
        <w:rPr>
          <w:i/>
          <w:sz w:val="24"/>
        </w:rPr>
        <w:t>African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Consortium,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Paper.</w:t>
      </w:r>
      <w:r>
        <w:rPr>
          <w:i/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91.</w:t>
      </w:r>
      <w:r>
        <w:rPr>
          <w:spacing w:val="-1"/>
          <w:sz w:val="24"/>
        </w:rPr>
        <w:t> </w:t>
      </w:r>
      <w:r>
        <w:rPr>
          <w:sz w:val="24"/>
        </w:rPr>
        <w:t>Nairobi.</w:t>
      </w:r>
    </w:p>
    <w:p>
      <w:pPr>
        <w:pStyle w:val="BodyText"/>
      </w:pPr>
    </w:p>
    <w:p>
      <w:pPr>
        <w:spacing w:before="0"/>
        <w:ind w:left="1531" w:right="1884" w:hanging="720"/>
        <w:jc w:val="left"/>
        <w:rPr>
          <w:sz w:val="24"/>
        </w:rPr>
      </w:pPr>
      <w:r>
        <w:rPr>
          <w:sz w:val="24"/>
        </w:rPr>
        <w:t>Elbadawi, I. A. 1994. Estimating Long-run Equilibrium Real Exchange Rates. In</w:t>
      </w:r>
      <w:r>
        <w:rPr>
          <w:spacing w:val="-58"/>
          <w:sz w:val="24"/>
        </w:rPr>
        <w:t> </w:t>
      </w:r>
      <w:r>
        <w:rPr>
          <w:sz w:val="24"/>
        </w:rPr>
        <w:t>J.Williamson</w:t>
      </w:r>
      <w:r>
        <w:rPr>
          <w:spacing w:val="-1"/>
          <w:sz w:val="24"/>
        </w:rPr>
        <w:t> </w:t>
      </w:r>
      <w:r>
        <w:rPr>
          <w:sz w:val="24"/>
        </w:rPr>
        <w:t>(Ed.), </w:t>
      </w:r>
      <w:r>
        <w:rPr>
          <w:i/>
          <w:sz w:val="24"/>
        </w:rPr>
        <w:t>Estimating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equilibrium exchange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rates. </w:t>
      </w:r>
      <w:r>
        <w:rPr>
          <w:sz w:val="24"/>
        </w:rPr>
        <w:t>pp.93-133.</w:t>
      </w:r>
    </w:p>
    <w:p>
      <w:pPr>
        <w:pStyle w:val="BodyText"/>
        <w:ind w:left="1531"/>
      </w:pPr>
      <w:r>
        <w:rPr/>
        <w:drawing>
          <wp:anchor distT="0" distB="0" distL="0" distR="0" allowOverlap="1" layoutInCell="1" locked="0" behindDoc="1" simplePos="0" relativeHeight="478004224">
            <wp:simplePos x="0" y="0"/>
            <wp:positionH relativeFrom="page">
              <wp:posOffset>1485138</wp:posOffset>
            </wp:positionH>
            <wp:positionV relativeFrom="paragraph">
              <wp:posOffset>19343</wp:posOffset>
            </wp:positionV>
            <wp:extent cx="5102225" cy="5044439"/>
            <wp:effectExtent l="0" t="0" r="0" b="0"/>
            <wp:wrapNone/>
            <wp:docPr id="2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Washington,</w:t>
      </w:r>
      <w:r>
        <w:rPr>
          <w:spacing w:val="-3"/>
        </w:rPr>
        <w:t> </w:t>
      </w:r>
      <w:r>
        <w:rPr/>
        <w:t>DC: Institute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Economics.</w:t>
      </w:r>
    </w:p>
    <w:p>
      <w:pPr>
        <w:pStyle w:val="BodyText"/>
      </w:pPr>
    </w:p>
    <w:p>
      <w:pPr>
        <w:pStyle w:val="BodyText"/>
        <w:ind w:left="1531" w:right="997" w:hanging="720"/>
        <w:jc w:val="both"/>
      </w:pPr>
      <w:r>
        <w:rPr/>
        <w:t>Elbadawi,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Kaltani,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Schmidt-Hebbel,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Aid,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 Rate, and Economic Growth in the Aftermath of Civil Wars. </w:t>
      </w:r>
      <w:r>
        <w:rPr>
          <w:i/>
        </w:rPr>
        <w:t>The World</w:t>
      </w:r>
      <w:r>
        <w:rPr>
          <w:i/>
          <w:spacing w:val="1"/>
        </w:rPr>
        <w:t> </w:t>
      </w:r>
      <w:r>
        <w:rPr>
          <w:i/>
        </w:rPr>
        <w:t>Bank</w:t>
      </w:r>
      <w:r>
        <w:rPr>
          <w:i/>
          <w:spacing w:val="1"/>
        </w:rPr>
        <w:t>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Review,</w:t>
      </w:r>
      <w:r>
        <w:rPr>
          <w:i/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No.1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113-140.</w:t>
      </w:r>
      <w:r>
        <w:rPr>
          <w:spacing w:val="1"/>
        </w:rPr>
        <w:t> </w:t>
      </w:r>
      <w:r>
        <w:rPr/>
        <w:t>(Published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 on behalf of</w:t>
      </w:r>
      <w:r>
        <w:rPr>
          <w:spacing w:val="-1"/>
        </w:rPr>
        <w:t> </w:t>
      </w:r>
      <w:r>
        <w:rPr/>
        <w:t>the World Bank).</w:t>
      </w:r>
    </w:p>
    <w:p>
      <w:pPr>
        <w:pStyle w:val="BodyText"/>
        <w:spacing w:before="1"/>
      </w:pPr>
    </w:p>
    <w:p>
      <w:pPr>
        <w:pStyle w:val="BodyText"/>
        <w:ind w:left="1531" w:right="993" w:hanging="720"/>
      </w:pPr>
      <w:r>
        <w:rPr/>
        <w:t>Engle,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Granger,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1987.</w:t>
      </w:r>
      <w:r>
        <w:rPr>
          <w:spacing w:val="1"/>
        </w:rPr>
        <w:t> </w:t>
      </w:r>
      <w:r>
        <w:rPr/>
        <w:t>Co-integration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correction:</w:t>
      </w:r>
      <w:r>
        <w:rPr>
          <w:spacing w:val="1"/>
        </w:rPr>
        <w:t> </w:t>
      </w:r>
      <w:r>
        <w:rPr/>
        <w:t>representation,</w:t>
      </w:r>
      <w:r>
        <w:rPr>
          <w:spacing w:val="-57"/>
        </w:rPr>
        <w:t> </w:t>
      </w:r>
      <w:r>
        <w:rPr/>
        <w:t>estimation,</w:t>
      </w:r>
      <w:r>
        <w:rPr>
          <w:spacing w:val="-1"/>
        </w:rPr>
        <w:t> </w:t>
      </w:r>
      <w:r>
        <w:rPr/>
        <w:t>and testing.</w:t>
      </w:r>
      <w:r>
        <w:rPr>
          <w:spacing w:val="4"/>
        </w:rPr>
        <w:t> </w:t>
      </w:r>
      <w:r>
        <w:rPr>
          <w:i/>
        </w:rPr>
        <w:t>Econometrica, </w:t>
      </w:r>
      <w:r>
        <w:rPr/>
        <w:t>251-276.</w:t>
      </w:r>
    </w:p>
    <w:p>
      <w:pPr>
        <w:pStyle w:val="BodyText"/>
      </w:pPr>
    </w:p>
    <w:p>
      <w:pPr>
        <w:spacing w:before="0"/>
        <w:ind w:left="1531" w:right="995" w:hanging="720"/>
        <w:jc w:val="both"/>
        <w:rPr>
          <w:sz w:val="24"/>
        </w:rPr>
      </w:pPr>
      <w:r>
        <w:rPr>
          <w:sz w:val="24"/>
        </w:rPr>
        <w:t>Eun, C. and Resnick, B. 1998. International Equity Investment with Selective Hedging</w:t>
      </w:r>
      <w:r>
        <w:rPr>
          <w:spacing w:val="1"/>
          <w:sz w:val="24"/>
        </w:rPr>
        <w:t> </w:t>
      </w:r>
      <w:r>
        <w:rPr>
          <w:sz w:val="24"/>
        </w:rPr>
        <w:t>Strategies, </w:t>
      </w:r>
      <w:r>
        <w:rPr>
          <w:i/>
          <w:sz w:val="24"/>
        </w:rPr>
        <w:t>International Financial Markets, Institutions &amp; Money</w:t>
      </w:r>
      <w:r>
        <w:rPr>
          <w:sz w:val="24"/>
        </w:rPr>
        <w:t>. 7 (1997), 21-</w:t>
      </w:r>
      <w:r>
        <w:rPr>
          <w:spacing w:val="1"/>
          <w:sz w:val="24"/>
        </w:rPr>
        <w:t> </w:t>
      </w:r>
      <w:r>
        <w:rPr>
          <w:sz w:val="24"/>
        </w:rPr>
        <w:t>42.</w:t>
      </w:r>
    </w:p>
    <w:p>
      <w:pPr>
        <w:pStyle w:val="BodyText"/>
      </w:pPr>
    </w:p>
    <w:p>
      <w:pPr>
        <w:spacing w:before="0"/>
        <w:ind w:left="1531" w:right="993" w:hanging="720"/>
        <w:jc w:val="left"/>
        <w:rPr>
          <w:sz w:val="24"/>
        </w:rPr>
      </w:pPr>
      <w:r>
        <w:rPr>
          <w:sz w:val="24"/>
        </w:rPr>
        <w:t>Faini,</w:t>
      </w:r>
      <w:r>
        <w:rPr>
          <w:spacing w:val="3"/>
          <w:sz w:val="24"/>
        </w:rPr>
        <w:t> </w:t>
      </w:r>
      <w:r>
        <w:rPr>
          <w:sz w:val="24"/>
        </w:rPr>
        <w:t>R.</w:t>
      </w:r>
      <w:r>
        <w:rPr>
          <w:spacing w:val="3"/>
          <w:sz w:val="24"/>
        </w:rPr>
        <w:t> </w:t>
      </w:r>
      <w:r>
        <w:rPr>
          <w:sz w:val="24"/>
        </w:rPr>
        <w:t>1994.</w:t>
      </w:r>
      <w:r>
        <w:rPr>
          <w:spacing w:val="3"/>
          <w:sz w:val="24"/>
        </w:rPr>
        <w:t> </w:t>
      </w:r>
      <w:r>
        <w:rPr>
          <w:sz w:val="24"/>
        </w:rPr>
        <w:t>Workers‘</w:t>
      </w:r>
      <w:r>
        <w:rPr>
          <w:spacing w:val="3"/>
          <w:sz w:val="24"/>
        </w:rPr>
        <w:t> </w:t>
      </w:r>
      <w:r>
        <w:rPr>
          <w:sz w:val="24"/>
        </w:rPr>
        <w:t>Remittances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Real</w:t>
      </w:r>
      <w:r>
        <w:rPr>
          <w:spacing w:val="4"/>
          <w:sz w:val="24"/>
        </w:rPr>
        <w:t> </w:t>
      </w:r>
      <w:r>
        <w:rPr>
          <w:sz w:val="24"/>
        </w:rPr>
        <w:t>Exchange</w:t>
      </w:r>
      <w:r>
        <w:rPr>
          <w:spacing w:val="2"/>
          <w:sz w:val="24"/>
        </w:rPr>
        <w:t> </w:t>
      </w:r>
      <w:r>
        <w:rPr>
          <w:sz w:val="24"/>
        </w:rPr>
        <w:t>Rate: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Quantitative</w:t>
      </w:r>
      <w:r>
        <w:rPr>
          <w:spacing w:val="-57"/>
          <w:sz w:val="24"/>
        </w:rPr>
        <w:t> </w:t>
      </w:r>
      <w:r>
        <w:rPr>
          <w:sz w:val="24"/>
        </w:rPr>
        <w:t>Framework.</w:t>
      </w:r>
      <w:r>
        <w:rPr>
          <w:spacing w:val="59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 Economics</w:t>
      </w:r>
      <w:r>
        <w:rPr>
          <w:i/>
          <w:spacing w:val="1"/>
          <w:sz w:val="24"/>
        </w:rPr>
        <w:t> </w:t>
      </w:r>
      <w:r>
        <w:rPr>
          <w:sz w:val="24"/>
        </w:rPr>
        <w:t>7 (2):</w:t>
      </w:r>
      <w:r>
        <w:rPr>
          <w:spacing w:val="-1"/>
          <w:sz w:val="24"/>
        </w:rPr>
        <w:t> </w:t>
      </w:r>
      <w:r>
        <w:rPr>
          <w:sz w:val="24"/>
        </w:rPr>
        <w:t>235-45.</w:t>
      </w:r>
    </w:p>
    <w:p>
      <w:pPr>
        <w:pStyle w:val="BodyText"/>
      </w:pPr>
    </w:p>
    <w:p>
      <w:pPr>
        <w:tabs>
          <w:tab w:pos="4280" w:val="left" w:leader="none"/>
        </w:tabs>
        <w:spacing w:before="1"/>
        <w:ind w:left="1531" w:right="1000" w:hanging="720"/>
        <w:jc w:val="left"/>
        <w:rPr>
          <w:sz w:val="24"/>
        </w:rPr>
      </w:pPr>
      <w:r>
        <w:rPr>
          <w:sz w:val="24"/>
        </w:rPr>
        <w:t>Fajnzylber,</w:t>
      </w:r>
      <w:r>
        <w:rPr>
          <w:spacing w:val="50"/>
          <w:sz w:val="24"/>
        </w:rPr>
        <w:t> </w:t>
      </w:r>
      <w:r>
        <w:rPr>
          <w:sz w:val="24"/>
        </w:rPr>
        <w:t>P.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Lopez,</w:t>
      </w:r>
      <w:r>
        <w:rPr>
          <w:spacing w:val="53"/>
          <w:sz w:val="24"/>
        </w:rPr>
        <w:t> </w:t>
      </w:r>
      <w:r>
        <w:rPr>
          <w:sz w:val="24"/>
        </w:rPr>
        <w:t>J.</w:t>
      </w:r>
      <w:r>
        <w:rPr>
          <w:spacing w:val="52"/>
          <w:sz w:val="24"/>
        </w:rPr>
        <w:t> </w:t>
      </w:r>
      <w:r>
        <w:rPr>
          <w:sz w:val="24"/>
        </w:rPr>
        <w:t>H.</w:t>
        <w:tab/>
        <w:t>2006.</w:t>
      </w:r>
      <w:r>
        <w:rPr>
          <w:spacing w:val="50"/>
          <w:sz w:val="24"/>
        </w:rPr>
        <w:t> </w:t>
      </w:r>
      <w:r>
        <w:rPr>
          <w:i/>
          <w:sz w:val="24"/>
        </w:rPr>
        <w:t>Close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Home: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Remittances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Latin America</w:t>
      </w:r>
      <w:r>
        <w:rPr>
          <w:sz w:val="24"/>
        </w:rPr>
        <w:t>. World Bank,</w:t>
      </w:r>
      <w:r>
        <w:rPr>
          <w:spacing w:val="-1"/>
          <w:sz w:val="24"/>
        </w:rPr>
        <w:t> </w:t>
      </w:r>
      <w:r>
        <w:rPr>
          <w:sz w:val="24"/>
        </w:rPr>
        <w:t>Washington, DC.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531" w:right="993" w:hanging="720"/>
        <w:jc w:val="left"/>
        <w:rPr>
          <w:i/>
          <w:sz w:val="24"/>
        </w:rPr>
      </w:pPr>
      <w:r>
        <w:rPr>
          <w:sz w:val="24"/>
        </w:rPr>
        <w:t>Fidan,</w:t>
      </w:r>
      <w:r>
        <w:rPr>
          <w:spacing w:val="42"/>
          <w:sz w:val="24"/>
        </w:rPr>
        <w:t> </w:t>
      </w:r>
      <w:r>
        <w:rPr>
          <w:sz w:val="24"/>
        </w:rPr>
        <w:t>H.</w:t>
      </w:r>
      <w:r>
        <w:rPr>
          <w:spacing w:val="44"/>
          <w:sz w:val="24"/>
        </w:rPr>
        <w:t> </w:t>
      </w:r>
      <w:r>
        <w:rPr>
          <w:sz w:val="24"/>
        </w:rPr>
        <w:t>2006.</w:t>
      </w:r>
      <w:r>
        <w:rPr>
          <w:spacing w:val="45"/>
          <w:sz w:val="24"/>
        </w:rPr>
        <w:t> </w:t>
      </w:r>
      <w:r>
        <w:rPr>
          <w:sz w:val="24"/>
        </w:rPr>
        <w:t>Impact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Real</w:t>
      </w:r>
      <w:r>
        <w:rPr>
          <w:spacing w:val="43"/>
          <w:sz w:val="24"/>
        </w:rPr>
        <w:t> </w:t>
      </w:r>
      <w:r>
        <w:rPr>
          <w:sz w:val="24"/>
        </w:rPr>
        <w:t>Effective</w:t>
      </w:r>
      <w:r>
        <w:rPr>
          <w:spacing w:val="45"/>
          <w:sz w:val="24"/>
        </w:rPr>
        <w:t> </w:t>
      </w:r>
      <w:r>
        <w:rPr>
          <w:sz w:val="24"/>
        </w:rPr>
        <w:t>Exchange</w:t>
      </w:r>
      <w:r>
        <w:rPr>
          <w:spacing w:val="42"/>
          <w:sz w:val="24"/>
        </w:rPr>
        <w:t> </w:t>
      </w:r>
      <w:r>
        <w:rPr>
          <w:sz w:val="24"/>
        </w:rPr>
        <w:t>Rate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3"/>
          <w:sz w:val="24"/>
        </w:rPr>
        <w:t> </w:t>
      </w:r>
      <w:r>
        <w:rPr>
          <w:sz w:val="24"/>
        </w:rPr>
        <w:t>Turkish</w:t>
      </w:r>
      <w:r>
        <w:rPr>
          <w:spacing w:val="45"/>
          <w:sz w:val="24"/>
        </w:rPr>
        <w:t> </w:t>
      </w:r>
      <w:r>
        <w:rPr>
          <w:sz w:val="24"/>
        </w:rPr>
        <w:t>Agricultural</w:t>
      </w:r>
      <w:r>
        <w:rPr>
          <w:spacing w:val="-57"/>
          <w:sz w:val="24"/>
        </w:rPr>
        <w:t> </w:t>
      </w:r>
      <w:r>
        <w:rPr>
          <w:sz w:val="24"/>
        </w:rPr>
        <w:t>Trade.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Human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Sciences 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(2).</w:t>
      </w:r>
    </w:p>
    <w:p>
      <w:pPr>
        <w:pStyle w:val="BodyText"/>
        <w:rPr>
          <w:i/>
        </w:rPr>
      </w:pPr>
    </w:p>
    <w:p>
      <w:pPr>
        <w:spacing w:before="0"/>
        <w:ind w:left="1531" w:right="998" w:hanging="720"/>
        <w:jc w:val="left"/>
        <w:rPr>
          <w:sz w:val="24"/>
        </w:rPr>
      </w:pPr>
      <w:r>
        <w:rPr>
          <w:sz w:val="24"/>
        </w:rPr>
        <w:t>Frenkel,</w:t>
      </w:r>
      <w:r>
        <w:rPr>
          <w:spacing w:val="52"/>
          <w:sz w:val="24"/>
        </w:rPr>
        <w:t> </w:t>
      </w:r>
      <w:r>
        <w:rPr>
          <w:sz w:val="24"/>
        </w:rPr>
        <w:t>J.</w:t>
      </w:r>
      <w:r>
        <w:rPr>
          <w:spacing w:val="52"/>
          <w:sz w:val="24"/>
        </w:rPr>
        <w:t> </w:t>
      </w:r>
      <w:r>
        <w:rPr>
          <w:sz w:val="24"/>
        </w:rPr>
        <w:t>A.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Johnson,</w:t>
      </w:r>
      <w:r>
        <w:rPr>
          <w:spacing w:val="52"/>
          <w:sz w:val="24"/>
        </w:rPr>
        <w:t> </w:t>
      </w:r>
      <w:r>
        <w:rPr>
          <w:sz w:val="24"/>
        </w:rPr>
        <w:t>H.</w:t>
      </w:r>
      <w:r>
        <w:rPr>
          <w:spacing w:val="52"/>
          <w:sz w:val="24"/>
        </w:rPr>
        <w:t> </w:t>
      </w:r>
      <w:r>
        <w:rPr>
          <w:sz w:val="24"/>
        </w:rPr>
        <w:t>G.</w:t>
      </w:r>
      <w:r>
        <w:rPr>
          <w:spacing w:val="51"/>
          <w:sz w:val="24"/>
        </w:rPr>
        <w:t> </w:t>
      </w:r>
      <w:r>
        <w:rPr>
          <w:sz w:val="24"/>
        </w:rPr>
        <w:t>1977.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Monetary</w:t>
      </w:r>
      <w:r>
        <w:rPr>
          <w:spacing w:val="46"/>
          <w:sz w:val="24"/>
        </w:rPr>
        <w:t> </w:t>
      </w:r>
      <w:r>
        <w:rPr>
          <w:sz w:val="24"/>
        </w:rPr>
        <w:t>Approach</w:t>
      </w:r>
      <w:r>
        <w:rPr>
          <w:spacing w:val="52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Balance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Payments.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Monetary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 to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Payments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right="187"/>
        <w:jc w:val="center"/>
      </w:pPr>
      <w:r>
        <w:rPr/>
        <w:t>Freund,</w:t>
      </w:r>
      <w:r>
        <w:rPr>
          <w:spacing w:val="36"/>
        </w:rPr>
        <w:t> </w:t>
      </w:r>
      <w:r>
        <w:rPr/>
        <w:t>C.</w:t>
      </w:r>
      <w:r>
        <w:rPr>
          <w:spacing w:val="38"/>
        </w:rPr>
        <w:t> </w:t>
      </w:r>
      <w:r>
        <w:rPr/>
        <w:t>L.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Spatafora,</w:t>
      </w:r>
      <w:r>
        <w:rPr>
          <w:spacing w:val="37"/>
        </w:rPr>
        <w:t> </w:t>
      </w:r>
      <w:r>
        <w:rPr/>
        <w:t>N.</w:t>
      </w:r>
      <w:r>
        <w:rPr>
          <w:spacing w:val="37"/>
        </w:rPr>
        <w:t> </w:t>
      </w:r>
      <w:r>
        <w:rPr/>
        <w:t>2008.</w:t>
      </w:r>
      <w:r>
        <w:rPr>
          <w:spacing w:val="36"/>
        </w:rPr>
        <w:t> </w:t>
      </w:r>
      <w:r>
        <w:rPr/>
        <w:t>Remittances,</w:t>
      </w:r>
      <w:r>
        <w:rPr>
          <w:spacing w:val="36"/>
        </w:rPr>
        <w:t> </w:t>
      </w:r>
      <w:r>
        <w:rPr/>
        <w:t>transaction</w:t>
      </w:r>
      <w:r>
        <w:rPr>
          <w:spacing w:val="36"/>
        </w:rPr>
        <w:t> </w:t>
      </w:r>
      <w:r>
        <w:rPr/>
        <w:t>costs,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informality.</w:t>
      </w:r>
    </w:p>
    <w:p>
      <w:pPr>
        <w:spacing w:before="0"/>
        <w:ind w:left="153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Economics </w:t>
      </w:r>
      <w:r>
        <w:rPr>
          <w:sz w:val="24"/>
        </w:rPr>
        <w:t>vol.86,</w:t>
      </w:r>
      <w:r>
        <w:rPr>
          <w:spacing w:val="-1"/>
          <w:sz w:val="24"/>
        </w:rPr>
        <w:t> </w:t>
      </w:r>
      <w:r>
        <w:rPr>
          <w:sz w:val="24"/>
        </w:rPr>
        <w:t>356–366.</w:t>
      </w:r>
    </w:p>
    <w:p>
      <w:pPr>
        <w:pStyle w:val="BodyText"/>
      </w:pPr>
    </w:p>
    <w:p>
      <w:pPr>
        <w:spacing w:before="1"/>
        <w:ind w:left="1531" w:right="999" w:hanging="720"/>
        <w:jc w:val="both"/>
        <w:rPr>
          <w:sz w:val="24"/>
        </w:rPr>
      </w:pPr>
      <w:r>
        <w:rPr>
          <w:sz w:val="24"/>
        </w:rPr>
        <w:t>Frimpong,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Adam,</w:t>
      </w:r>
      <w:r>
        <w:rPr>
          <w:spacing w:val="1"/>
          <w:sz w:val="24"/>
        </w:rPr>
        <w:t> </w:t>
      </w:r>
      <w:r>
        <w:rPr>
          <w:sz w:val="24"/>
        </w:rPr>
        <w:t>A.M.,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Pass-through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Ghana.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(SSRN)</w:t>
      </w:r>
      <w:r>
        <w:rPr>
          <w:i/>
          <w:spacing w:val="1"/>
          <w:sz w:val="24"/>
        </w:rPr>
        <w:t> </w:t>
      </w:r>
      <w:hyperlink r:id="rId32">
        <w:r>
          <w:rPr>
            <w:sz w:val="24"/>
          </w:rPr>
          <w:t>Retrieved</w:t>
        </w:r>
        <w:r>
          <w:rPr>
            <w:spacing w:val="-1"/>
            <w:sz w:val="24"/>
          </w:rPr>
          <w:t> </w:t>
        </w:r>
        <w:r>
          <w:rPr>
            <w:sz w:val="24"/>
          </w:rPr>
          <w:t>April 10,</w:t>
        </w:r>
      </w:hyperlink>
      <w:r>
        <w:rPr>
          <w:sz w:val="24"/>
        </w:rPr>
        <w:t> 2012, from </w:t>
      </w:r>
      <w:hyperlink r:id="rId33">
        <w:r>
          <w:rPr>
            <w:sz w:val="24"/>
          </w:rPr>
          <w:t>www.cesenet.org/ibr.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1" w:right="993" w:hanging="720"/>
      </w:pPr>
      <w:r>
        <w:rPr/>
        <w:t>Froot,</w:t>
      </w:r>
      <w:r>
        <w:rPr>
          <w:spacing w:val="3"/>
        </w:rPr>
        <w:t> </w:t>
      </w:r>
      <w:r>
        <w:rPr/>
        <w:t>K.A.,</w:t>
      </w:r>
      <w:r>
        <w:rPr>
          <w:spacing w:val="6"/>
        </w:rPr>
        <w:t> </w:t>
      </w:r>
      <w:r>
        <w:rPr/>
        <w:t>Stein,</w:t>
      </w:r>
      <w:r>
        <w:rPr>
          <w:spacing w:val="4"/>
        </w:rPr>
        <w:t> </w:t>
      </w:r>
      <w:r>
        <w:rPr/>
        <w:t>J.C.,</w:t>
      </w:r>
      <w:r>
        <w:rPr>
          <w:spacing w:val="2"/>
        </w:rPr>
        <w:t> </w:t>
      </w:r>
      <w:r>
        <w:rPr/>
        <w:t>1991.</w:t>
      </w:r>
      <w:r>
        <w:rPr>
          <w:spacing w:val="4"/>
        </w:rPr>
        <w:t> </w:t>
      </w:r>
      <w:r>
        <w:rPr/>
        <w:t>Exchange</w:t>
      </w:r>
      <w:r>
        <w:rPr>
          <w:spacing w:val="2"/>
        </w:rPr>
        <w:t> </w:t>
      </w:r>
      <w:r>
        <w:rPr/>
        <w:t>rates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foreign</w:t>
      </w:r>
      <w:r>
        <w:rPr>
          <w:spacing w:val="4"/>
        </w:rPr>
        <w:t> </w:t>
      </w:r>
      <w:r>
        <w:rPr/>
        <w:t>direct</w:t>
      </w:r>
      <w:r>
        <w:rPr>
          <w:spacing w:val="5"/>
        </w:rPr>
        <w:t> </w:t>
      </w:r>
      <w:r>
        <w:rPr/>
        <w:t>investment:</w:t>
      </w:r>
      <w:r>
        <w:rPr>
          <w:spacing w:val="5"/>
        </w:rPr>
        <w:t> </w:t>
      </w:r>
      <w:r>
        <w:rPr/>
        <w:t>an</w:t>
      </w:r>
      <w:r>
        <w:rPr>
          <w:spacing w:val="3"/>
        </w:rPr>
        <w:t> </w:t>
      </w:r>
      <w:r>
        <w:rPr/>
        <w:t>imperfect</w:t>
      </w:r>
      <w:r>
        <w:rPr>
          <w:spacing w:val="-57"/>
        </w:rPr>
        <w:t> </w:t>
      </w:r>
      <w:r>
        <w:rPr/>
        <w:t>capital</w:t>
      </w:r>
      <w:r>
        <w:rPr>
          <w:spacing w:val="-1"/>
        </w:rPr>
        <w:t> </w:t>
      </w:r>
      <w:r>
        <w:rPr/>
        <w:t>markets approach.</w:t>
      </w:r>
      <w:r>
        <w:rPr>
          <w:spacing w:val="2"/>
        </w:rPr>
        <w:t> </w:t>
      </w:r>
      <w:r>
        <w:rPr>
          <w:i/>
        </w:rPr>
        <w:t>Quarterly</w:t>
      </w:r>
      <w:r>
        <w:rPr>
          <w:i/>
          <w:spacing w:val="-2"/>
        </w:rPr>
        <w:t> </w:t>
      </w:r>
      <w:r>
        <w:rPr>
          <w:i/>
        </w:rPr>
        <w:t>Journal of Economics </w:t>
      </w:r>
      <w:r>
        <w:rPr/>
        <w:t>106, 1191-1217.</w:t>
      </w:r>
    </w:p>
    <w:p>
      <w:pPr>
        <w:spacing w:after="0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72"/>
        <w:ind w:left="1531" w:right="994" w:hanging="720"/>
        <w:jc w:val="both"/>
      </w:pPr>
      <w:r>
        <w:rPr/>
        <w:t>Ghura,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Grennes,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1993.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Performance in Sub-Saharan Africa. </w:t>
      </w:r>
      <w:r>
        <w:rPr>
          <w:i/>
        </w:rPr>
        <w:t>Journal of Development Economics</w:t>
      </w:r>
      <w:r>
        <w:rPr/>
        <w:t>, vol. 42:</w:t>
      </w:r>
      <w:r>
        <w:rPr>
          <w:spacing w:val="1"/>
        </w:rPr>
        <w:t> </w:t>
      </w:r>
      <w:r>
        <w:rPr/>
        <w:t>155-174.</w:t>
      </w:r>
    </w:p>
    <w:p>
      <w:pPr>
        <w:pStyle w:val="BodyText"/>
      </w:pPr>
    </w:p>
    <w:p>
      <w:pPr>
        <w:pStyle w:val="BodyText"/>
        <w:ind w:left="1531" w:right="1000" w:hanging="720"/>
        <w:jc w:val="both"/>
      </w:pPr>
      <w:r>
        <w:rPr/>
        <w:t>Goldberg, L.S., Klein, M., 1998. Foreign direct investment, trade and real exchange rate</w:t>
      </w:r>
      <w:r>
        <w:rPr>
          <w:spacing w:val="1"/>
        </w:rPr>
        <w:t> </w:t>
      </w:r>
      <w:r>
        <w:rPr/>
        <w:t>linkages in developing countries, In: Glick, R. (Ed), Managing Capital Flows and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Rates: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Pacific</w:t>
      </w:r>
      <w:r>
        <w:rPr>
          <w:spacing w:val="1"/>
        </w:rPr>
        <w:t> </w:t>
      </w:r>
      <w:r>
        <w:rPr/>
        <w:t>Basin.</w:t>
      </w:r>
      <w:r>
        <w:rPr>
          <w:spacing w:val="1"/>
        </w:rPr>
        <w:t> </w:t>
      </w:r>
      <w:r>
        <w:rPr/>
        <w:t>Cambridge</w:t>
      </w:r>
      <w:r>
        <w:rPr>
          <w:spacing w:val="60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Press,</w:t>
      </w:r>
      <w:r>
        <w:rPr>
          <w:spacing w:val="-1"/>
        </w:rPr>
        <w:t> </w:t>
      </w:r>
      <w:r>
        <w:rPr/>
        <w:t>Cambridge, pp, 73-100.</w:t>
      </w:r>
    </w:p>
    <w:p>
      <w:pPr>
        <w:pStyle w:val="BodyText"/>
      </w:pPr>
    </w:p>
    <w:p>
      <w:pPr>
        <w:pStyle w:val="BodyText"/>
        <w:ind w:left="1531" w:right="1006" w:hanging="720"/>
        <w:jc w:val="both"/>
      </w:pPr>
      <w:r>
        <w:rPr/>
        <w:drawing>
          <wp:anchor distT="0" distB="0" distL="0" distR="0" allowOverlap="1" layoutInCell="1" locked="0" behindDoc="1" simplePos="0" relativeHeight="478004736">
            <wp:simplePos x="0" y="0"/>
            <wp:positionH relativeFrom="page">
              <wp:posOffset>1485138</wp:posOffset>
            </wp:positionH>
            <wp:positionV relativeFrom="paragraph">
              <wp:posOffset>19343</wp:posOffset>
            </wp:positionV>
            <wp:extent cx="5102225" cy="5044439"/>
            <wp:effectExtent l="0" t="0" r="0" b="0"/>
            <wp:wrapNone/>
            <wp:docPr id="27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Goldberg, P. K., Knetter, M. M. 1997. Goods Prices and Exchange Rates: What Have We</w:t>
      </w:r>
      <w:r>
        <w:rPr>
          <w:spacing w:val="-57"/>
        </w:rPr>
        <w:t> </w:t>
      </w:r>
      <w:r>
        <w:rPr/>
        <w:t>Learned?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Economic</w:t>
      </w:r>
      <w:r>
        <w:rPr>
          <w:i/>
          <w:spacing w:val="-1"/>
        </w:rPr>
        <w:t> </w:t>
      </w:r>
      <w:r>
        <w:rPr>
          <w:i/>
        </w:rPr>
        <w:t>Literature</w:t>
      </w:r>
      <w:r>
        <w:rPr/>
        <w:t>,</w:t>
      </w:r>
      <w:r>
        <w:rPr>
          <w:spacing w:val="-1"/>
        </w:rPr>
        <w:t> </w:t>
      </w:r>
      <w:r>
        <w:rPr/>
        <w:t>Vol.35, No.3, pp.1243-1272.</w:t>
      </w:r>
    </w:p>
    <w:p>
      <w:pPr>
        <w:pStyle w:val="BodyText"/>
      </w:pPr>
    </w:p>
    <w:p>
      <w:pPr>
        <w:pStyle w:val="BodyText"/>
        <w:ind w:left="1531" w:right="998" w:hanging="720"/>
        <w:jc w:val="both"/>
      </w:pPr>
      <w:r>
        <w:rPr/>
        <w:t>Goldberg,</w:t>
      </w:r>
      <w:r>
        <w:rPr>
          <w:spacing w:val="1"/>
        </w:rPr>
        <w:t> </w:t>
      </w:r>
      <w:r>
        <w:rPr/>
        <w:t>L.S.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Kolstad,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1995.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investment,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variability and demand uncertainty. </w:t>
      </w:r>
      <w:r>
        <w:rPr>
          <w:i/>
        </w:rPr>
        <w:t>International Economic Review </w:t>
      </w:r>
      <w:r>
        <w:rPr/>
        <w:t>36(4), 855–</w:t>
      </w:r>
      <w:r>
        <w:rPr>
          <w:spacing w:val="1"/>
        </w:rPr>
        <w:t> </w:t>
      </w:r>
      <w:r>
        <w:rPr/>
        <w:t>873.</w:t>
      </w:r>
    </w:p>
    <w:p>
      <w:pPr>
        <w:pStyle w:val="BodyText"/>
        <w:spacing w:before="1"/>
      </w:pPr>
    </w:p>
    <w:p>
      <w:pPr>
        <w:spacing w:before="0"/>
        <w:ind w:left="1531" w:right="1000" w:hanging="720"/>
        <w:jc w:val="both"/>
        <w:rPr>
          <w:sz w:val="24"/>
        </w:rPr>
      </w:pPr>
      <w:r>
        <w:rPr>
          <w:sz w:val="24"/>
        </w:rPr>
        <w:t>Granger,</w:t>
      </w:r>
      <w:r>
        <w:rPr>
          <w:spacing w:val="1"/>
          <w:sz w:val="24"/>
        </w:rPr>
        <w:t> </w:t>
      </w:r>
      <w:r>
        <w:rPr>
          <w:sz w:val="24"/>
        </w:rPr>
        <w:t>C.W.J., Huang,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Yang,</w:t>
      </w:r>
      <w:r>
        <w:rPr>
          <w:spacing w:val="1"/>
          <w:sz w:val="24"/>
        </w:rPr>
        <w:t> </w:t>
      </w:r>
      <w:r>
        <w:rPr>
          <w:sz w:val="24"/>
        </w:rPr>
        <w:t>C.W.,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bivariate</w:t>
      </w:r>
      <w:r>
        <w:rPr>
          <w:spacing w:val="1"/>
          <w:sz w:val="24"/>
        </w:rPr>
        <w:t> </w:t>
      </w:r>
      <w:r>
        <w:rPr>
          <w:sz w:val="24"/>
        </w:rPr>
        <w:t>causality between</w:t>
      </w:r>
      <w:r>
        <w:rPr>
          <w:spacing w:val="60"/>
          <w:sz w:val="24"/>
        </w:rPr>
        <w:t> </w:t>
      </w:r>
      <w:r>
        <w:rPr>
          <w:sz w:val="24"/>
        </w:rPr>
        <w:t>stock</w:t>
      </w:r>
      <w:r>
        <w:rPr>
          <w:spacing w:val="1"/>
          <w:sz w:val="24"/>
        </w:rPr>
        <w:t> </w:t>
      </w:r>
      <w:r>
        <w:rPr>
          <w:sz w:val="24"/>
        </w:rPr>
        <w:t>prices and exchange rates: Evidence from recent Asian flu. </w:t>
      </w:r>
      <w:r>
        <w:rPr>
          <w:i/>
          <w:sz w:val="24"/>
        </w:rPr>
        <w:t>The Quarterly 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 and Finance</w:t>
      </w:r>
      <w:r>
        <w:rPr>
          <w:i/>
          <w:spacing w:val="-1"/>
          <w:sz w:val="24"/>
        </w:rPr>
        <w:t> </w:t>
      </w:r>
      <w:r>
        <w:rPr>
          <w:sz w:val="24"/>
        </w:rPr>
        <w:t>40: 337-354.</w:t>
      </w:r>
    </w:p>
    <w:p>
      <w:pPr>
        <w:pStyle w:val="BodyText"/>
      </w:pPr>
    </w:p>
    <w:p>
      <w:pPr>
        <w:spacing w:before="0"/>
        <w:ind w:left="1531" w:right="997" w:hanging="720"/>
        <w:jc w:val="both"/>
        <w:rPr>
          <w:sz w:val="24"/>
        </w:rPr>
      </w:pPr>
      <w:r>
        <w:rPr>
          <w:sz w:val="24"/>
        </w:rPr>
        <w:t>Gust, C., Leduc, S., and</w:t>
      </w:r>
      <w:r>
        <w:rPr>
          <w:spacing w:val="1"/>
          <w:sz w:val="24"/>
        </w:rPr>
        <w:t> </w:t>
      </w:r>
      <w:r>
        <w:rPr>
          <w:sz w:val="24"/>
        </w:rPr>
        <w:t>Sheets, N. 2009.</w:t>
      </w:r>
      <w:r>
        <w:rPr>
          <w:spacing w:val="1"/>
          <w:sz w:val="24"/>
        </w:rPr>
        <w:t> </w:t>
      </w:r>
      <w:r>
        <w:rPr>
          <w:sz w:val="24"/>
        </w:rPr>
        <w:t>The adjustment of global external balances: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partial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pass-through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trade</w:t>
      </w:r>
      <w:r>
        <w:rPr>
          <w:spacing w:val="1"/>
          <w:sz w:val="24"/>
        </w:rPr>
        <w:t> </w:t>
      </w:r>
      <w:r>
        <w:rPr>
          <w:sz w:val="24"/>
        </w:rPr>
        <w:t>prices</w:t>
      </w:r>
      <w:r>
        <w:rPr>
          <w:spacing w:val="1"/>
          <w:sz w:val="24"/>
        </w:rPr>
        <w:t> </w:t>
      </w:r>
      <w:r>
        <w:rPr>
          <w:sz w:val="24"/>
        </w:rPr>
        <w:t>matter?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79, (2009)</w:t>
      </w:r>
      <w:r>
        <w:rPr>
          <w:i/>
          <w:spacing w:val="1"/>
          <w:sz w:val="24"/>
        </w:rPr>
        <w:t> </w:t>
      </w:r>
      <w:r>
        <w:rPr>
          <w:sz w:val="24"/>
        </w:rPr>
        <w:t>173-185.</w:t>
      </w:r>
    </w:p>
    <w:p>
      <w:pPr>
        <w:pStyle w:val="BodyText"/>
      </w:pPr>
    </w:p>
    <w:p>
      <w:pPr>
        <w:pStyle w:val="BodyText"/>
        <w:ind w:left="1531" w:right="997" w:hanging="720"/>
        <w:jc w:val="both"/>
      </w:pPr>
      <w:r>
        <w:rPr/>
        <w:t>Hall, S., Hondroyiannis, G., Swamy, P.A.V.B., Tavlas, G. and Ulan, M. 2010. Exchange-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Volatility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Export</w:t>
      </w:r>
      <w:r>
        <w:rPr>
          <w:spacing w:val="1"/>
        </w:rPr>
        <w:t> </w:t>
      </w:r>
      <w:r>
        <w:rPr/>
        <w:t>Peroformance: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Resemble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Countries?</w:t>
      </w:r>
      <w:r>
        <w:rPr>
          <w:spacing w:val="1"/>
        </w:rPr>
        <w:t> </w:t>
      </w:r>
      <w:r>
        <w:rPr>
          <w:i/>
        </w:rPr>
        <w:t>Economic</w:t>
      </w:r>
      <w:r>
        <w:rPr>
          <w:i/>
          <w:spacing w:val="-57"/>
        </w:rPr>
        <w:t> </w:t>
      </w:r>
      <w:r>
        <w:rPr>
          <w:i/>
        </w:rPr>
        <w:t>Modelling</w:t>
      </w:r>
      <w:r>
        <w:rPr>
          <w:i/>
          <w:spacing w:val="-1"/>
        </w:rPr>
        <w:t> </w:t>
      </w:r>
      <w:r>
        <w:rPr>
          <w:i/>
        </w:rPr>
        <w:t>27 (2010) </w:t>
      </w:r>
      <w:r>
        <w:rPr/>
        <w:t>1514-1521.</w:t>
      </w:r>
    </w:p>
    <w:p>
      <w:pPr>
        <w:pStyle w:val="BodyText"/>
        <w:spacing w:before="1"/>
      </w:pPr>
    </w:p>
    <w:p>
      <w:pPr>
        <w:spacing w:before="0"/>
        <w:ind w:left="1531" w:right="996" w:hanging="720"/>
        <w:jc w:val="both"/>
        <w:rPr>
          <w:sz w:val="24"/>
        </w:rPr>
      </w:pPr>
      <w:r>
        <w:rPr>
          <w:sz w:val="24"/>
        </w:rPr>
        <w:t>Hallwood, C.P. and MacDonald, R. 1994. </w:t>
      </w:r>
      <w:r>
        <w:rPr>
          <w:i/>
          <w:sz w:val="24"/>
        </w:rPr>
        <w:t>International Money and Finance</w:t>
      </w:r>
      <w:r>
        <w:rPr>
          <w:sz w:val="24"/>
        </w:rPr>
        <w:t>. Second</w:t>
      </w:r>
      <w:r>
        <w:rPr>
          <w:spacing w:val="1"/>
          <w:sz w:val="24"/>
        </w:rPr>
        <w:t> </w:t>
      </w:r>
      <w:r>
        <w:rPr>
          <w:sz w:val="24"/>
        </w:rPr>
        <w:t>Edition,</w:t>
      </w:r>
      <w:r>
        <w:rPr>
          <w:spacing w:val="-1"/>
          <w:sz w:val="24"/>
        </w:rPr>
        <w:t> </w:t>
      </w:r>
      <w:r>
        <w:rPr>
          <w:sz w:val="24"/>
        </w:rPr>
        <w:t>Blackwell.</w:t>
      </w:r>
    </w:p>
    <w:p>
      <w:pPr>
        <w:pStyle w:val="BodyText"/>
      </w:pPr>
    </w:p>
    <w:p>
      <w:pPr>
        <w:pStyle w:val="BodyText"/>
        <w:ind w:left="1531" w:right="1001" w:hanging="720"/>
        <w:jc w:val="both"/>
      </w:pPr>
      <w:r>
        <w:rPr/>
        <w:t>Hendry, D.F., Pagan, A., and Sargan, J.D. 1984. Dynamic Specification.</w:t>
      </w:r>
      <w:r>
        <w:rPr>
          <w:spacing w:val="1"/>
        </w:rPr>
        <w:t> </w:t>
      </w:r>
      <w:r>
        <w:rPr/>
        <w:t>In: Griliches, Z.,</w:t>
      </w:r>
      <w:r>
        <w:rPr>
          <w:spacing w:val="-57"/>
        </w:rPr>
        <w:t> </w:t>
      </w:r>
      <w:r>
        <w:rPr/>
        <w:t>Intrilligator,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(Eds),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Econometrics,</w:t>
      </w:r>
      <w:r>
        <w:rPr>
          <w:spacing w:val="1"/>
        </w:rPr>
        <w:t> </w:t>
      </w:r>
      <w:r>
        <w:rPr/>
        <w:t>vol.2.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Holland,</w:t>
      </w:r>
      <w:r>
        <w:rPr>
          <w:spacing w:val="1"/>
        </w:rPr>
        <w:t> </w:t>
      </w:r>
      <w:r>
        <w:rPr/>
        <w:t>Amsterdam.</w:t>
      </w:r>
    </w:p>
    <w:p>
      <w:pPr>
        <w:pStyle w:val="BodyText"/>
      </w:pPr>
    </w:p>
    <w:p>
      <w:pPr>
        <w:pStyle w:val="BodyText"/>
        <w:ind w:left="1531" w:right="998" w:hanging="720"/>
        <w:jc w:val="both"/>
      </w:pPr>
      <w:r>
        <w:rPr/>
        <w:t>Hernán, R.C. 1998. Testing the Short-and-Long-Run Exchange Rate Effects on Trade</w:t>
      </w:r>
      <w:r>
        <w:rPr>
          <w:spacing w:val="1"/>
        </w:rPr>
        <w:t> </w:t>
      </w:r>
      <w:r>
        <w:rPr/>
        <w:t>Balance: The Case of Colombia.</w:t>
      </w:r>
      <w:r>
        <w:rPr>
          <w:spacing w:val="1"/>
        </w:rPr>
        <w:t> </w:t>
      </w:r>
      <w:r>
        <w:rPr/>
        <w:t>The paper being part of a Ph.D. Dissertation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Illinois at Urbana-Champaign.</w:t>
      </w:r>
    </w:p>
    <w:p>
      <w:pPr>
        <w:pStyle w:val="BodyText"/>
      </w:pPr>
    </w:p>
    <w:p>
      <w:pPr>
        <w:pStyle w:val="BodyText"/>
        <w:spacing w:before="1"/>
        <w:ind w:left="1531" w:right="999" w:hanging="720"/>
        <w:jc w:val="both"/>
      </w:pPr>
      <w:r>
        <w:rPr/>
        <w:t>Himarios,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1985.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export</w:t>
      </w:r>
      <w:r>
        <w:rPr>
          <w:spacing w:val="1"/>
        </w:rPr>
        <w:t> </w:t>
      </w:r>
      <w:r>
        <w:rPr/>
        <w:t>trade.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Review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Research Papers, 6(1).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1" w:right="995" w:hanging="720"/>
        <w:jc w:val="both"/>
      </w:pPr>
      <w:r>
        <w:rPr/>
        <w:t>Hofner, F. and Schroder, M. 2002. Exchange rate pass-through to consumer prices: A</w:t>
      </w:r>
      <w:r>
        <w:rPr>
          <w:spacing w:val="1"/>
        </w:rPr>
        <w:t> </w:t>
      </w:r>
      <w:r>
        <w:rPr/>
        <w:t>European perspective. Centre for European Economic Research Discussion Paper</w:t>
      </w:r>
      <w:r>
        <w:rPr>
          <w:spacing w:val="1"/>
        </w:rPr>
        <w:t> </w:t>
      </w:r>
      <w:r>
        <w:rPr/>
        <w:t>No.</w:t>
      </w:r>
      <w:r>
        <w:rPr>
          <w:spacing w:val="-1"/>
        </w:rPr>
        <w:t> </w:t>
      </w:r>
      <w:r>
        <w:rPr/>
        <w:t>02-20.</w:t>
      </w:r>
    </w:p>
    <w:p>
      <w:pPr>
        <w:spacing w:after="0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72"/>
        <w:ind w:left="811"/>
      </w:pPr>
      <w:r>
        <w:rPr/>
        <w:t>Itagaki,</w:t>
      </w:r>
      <w:r>
        <w:rPr>
          <w:spacing w:val="23"/>
        </w:rPr>
        <w:t> </w:t>
      </w:r>
      <w:r>
        <w:rPr/>
        <w:t>T.,</w:t>
      </w:r>
      <w:r>
        <w:rPr>
          <w:spacing w:val="22"/>
        </w:rPr>
        <w:t> </w:t>
      </w:r>
      <w:r>
        <w:rPr/>
        <w:t>1981.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theory</w:t>
      </w:r>
      <w:r>
        <w:rPr>
          <w:spacing w:val="1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multinational</w:t>
      </w:r>
      <w:r>
        <w:rPr>
          <w:spacing w:val="23"/>
        </w:rPr>
        <w:t> </w:t>
      </w:r>
      <w:r>
        <w:rPr/>
        <w:t>firm</w:t>
      </w:r>
      <w:r>
        <w:rPr>
          <w:spacing w:val="24"/>
        </w:rPr>
        <w:t> </w:t>
      </w:r>
      <w:r>
        <w:rPr/>
        <w:t>under</w:t>
      </w:r>
      <w:r>
        <w:rPr>
          <w:spacing w:val="24"/>
        </w:rPr>
        <w:t> </w:t>
      </w:r>
      <w:r>
        <w:rPr/>
        <w:t>exchange</w:t>
      </w:r>
      <w:r>
        <w:rPr>
          <w:spacing w:val="22"/>
        </w:rPr>
        <w:t> </w:t>
      </w:r>
      <w:r>
        <w:rPr/>
        <w:t>rate</w:t>
      </w:r>
      <w:r>
        <w:rPr>
          <w:spacing w:val="22"/>
        </w:rPr>
        <w:t> </w:t>
      </w:r>
      <w:r>
        <w:rPr/>
        <w:t>uncertainty.</w:t>
      </w:r>
    </w:p>
    <w:p>
      <w:pPr>
        <w:spacing w:before="0"/>
        <w:ind w:left="1531" w:right="0" w:firstLine="0"/>
        <w:jc w:val="left"/>
        <w:rPr>
          <w:sz w:val="24"/>
        </w:rPr>
      </w:pPr>
      <w:r>
        <w:rPr>
          <w:i/>
          <w:sz w:val="24"/>
        </w:rPr>
        <w:t>Canadian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 </w:t>
      </w:r>
      <w:r>
        <w:rPr>
          <w:sz w:val="24"/>
        </w:rPr>
        <w:t>14,</w:t>
      </w:r>
      <w:r>
        <w:rPr>
          <w:spacing w:val="-1"/>
          <w:sz w:val="24"/>
        </w:rPr>
        <w:t> </w:t>
      </w:r>
      <w:r>
        <w:rPr>
          <w:sz w:val="24"/>
        </w:rPr>
        <w:t>276-297.</w:t>
      </w:r>
    </w:p>
    <w:p>
      <w:pPr>
        <w:pStyle w:val="BodyText"/>
      </w:pPr>
    </w:p>
    <w:p>
      <w:pPr>
        <w:pStyle w:val="BodyText"/>
        <w:ind w:left="1531" w:right="996" w:hanging="720"/>
        <w:jc w:val="both"/>
      </w:pPr>
      <w:r>
        <w:rPr/>
        <w:t>Jalil, A., Ma, Y. and Naveed, A. 2008. The Finance-Fluctuation Nexus: Further 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Pakistan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ISSN 1450-2887,</w:t>
      </w:r>
      <w:r>
        <w:rPr>
          <w:spacing w:val="2"/>
        </w:rPr>
        <w:t> </w:t>
      </w:r>
      <w:r>
        <w:rPr/>
        <w:t>Issue</w:t>
      </w:r>
      <w:r>
        <w:rPr>
          <w:spacing w:val="-1"/>
        </w:rPr>
        <w:t> </w:t>
      </w:r>
      <w:r>
        <w:rPr/>
        <w:t>14.</w:t>
      </w:r>
    </w:p>
    <w:p>
      <w:pPr>
        <w:pStyle w:val="BodyText"/>
      </w:pPr>
    </w:p>
    <w:p>
      <w:pPr>
        <w:pStyle w:val="BodyText"/>
        <w:ind w:left="1531" w:right="997" w:hanging="720"/>
        <w:jc w:val="both"/>
      </w:pPr>
      <w:r>
        <w:rPr/>
        <w:drawing>
          <wp:anchor distT="0" distB="0" distL="0" distR="0" allowOverlap="1" layoutInCell="1" locked="0" behindDoc="1" simplePos="0" relativeHeight="478005248">
            <wp:simplePos x="0" y="0"/>
            <wp:positionH relativeFrom="page">
              <wp:posOffset>1485138</wp:posOffset>
            </wp:positionH>
            <wp:positionV relativeFrom="paragraph">
              <wp:posOffset>369863</wp:posOffset>
            </wp:positionV>
            <wp:extent cx="5102225" cy="5044439"/>
            <wp:effectExtent l="0" t="0" r="0" b="0"/>
            <wp:wrapNone/>
            <wp:docPr id="2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Jeanneret, A. 2010. Foreign Direct Investment and Exchange rate Volatility: A Non-</w:t>
      </w:r>
      <w:r>
        <w:rPr>
          <w:spacing w:val="1"/>
        </w:rPr>
        <w:t> </w:t>
      </w:r>
      <w:r>
        <w:rPr/>
        <w:t>Linear</w:t>
      </w:r>
      <w:r>
        <w:rPr>
          <w:spacing w:val="-1"/>
        </w:rPr>
        <w:t> </w:t>
      </w:r>
      <w:r>
        <w:rPr/>
        <w:t>Story, Working</w:t>
      </w:r>
      <w:r>
        <w:rPr>
          <w:spacing w:val="-2"/>
        </w:rPr>
        <w:t> </w:t>
      </w:r>
      <w:r>
        <w:rPr/>
        <w:t>Paper.</w:t>
      </w:r>
    </w:p>
    <w:p>
      <w:pPr>
        <w:pStyle w:val="BodyText"/>
      </w:pPr>
    </w:p>
    <w:p>
      <w:pPr>
        <w:pStyle w:val="BodyText"/>
        <w:ind w:left="1531" w:right="1003" w:hanging="720"/>
        <w:jc w:val="both"/>
      </w:pPr>
      <w:r>
        <w:rPr/>
        <w:t>Johansen,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1991.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Cointegrating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Vector Autoregressive</w:t>
      </w:r>
      <w:r>
        <w:rPr>
          <w:spacing w:val="-1"/>
        </w:rPr>
        <w:t> </w:t>
      </w:r>
      <w:r>
        <w:rPr/>
        <w:t>Models,</w:t>
      </w:r>
      <w:r>
        <w:rPr>
          <w:spacing w:val="-1"/>
        </w:rPr>
        <w:t> </w:t>
      </w:r>
      <w:r>
        <w:rPr/>
        <w:t>Econometrica, 59: 1551-80.</w:t>
      </w:r>
    </w:p>
    <w:p>
      <w:pPr>
        <w:pStyle w:val="BodyText"/>
        <w:spacing w:before="1"/>
      </w:pPr>
    </w:p>
    <w:p>
      <w:pPr>
        <w:pStyle w:val="BodyText"/>
        <w:ind w:left="1531" w:right="1003" w:hanging="720"/>
        <w:jc w:val="both"/>
      </w:pPr>
      <w:r>
        <w:rPr/>
        <w:t>Johansen,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/>
        <w:t>Likelihood-based</w:t>
      </w:r>
      <w:r>
        <w:rPr>
          <w:spacing w:val="1"/>
        </w:rPr>
        <w:t> </w:t>
      </w:r>
      <w:r>
        <w:rPr/>
        <w:t>inference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cointegrating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autoregressive</w:t>
      </w:r>
      <w:r>
        <w:rPr>
          <w:spacing w:val="-57"/>
        </w:rPr>
        <w:t> </w:t>
      </w:r>
      <w:r>
        <w:rPr/>
        <w:t>models.</w:t>
      </w:r>
      <w:r>
        <w:rPr>
          <w:spacing w:val="60"/>
        </w:rPr>
        <w:t> </w:t>
      </w:r>
      <w:r>
        <w:rPr/>
        <w:t>Oxford:</w:t>
      </w:r>
      <w:r>
        <w:rPr>
          <w:spacing w:val="-1"/>
        </w:rPr>
        <w:t> </w:t>
      </w:r>
      <w:r>
        <w:rPr/>
        <w:t>Oxford</w:t>
      </w:r>
      <w:r>
        <w:rPr>
          <w:spacing w:val="-3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1531" w:right="995" w:hanging="720"/>
        <w:jc w:val="both"/>
        <w:rPr>
          <w:sz w:val="24"/>
        </w:rPr>
      </w:pPr>
      <w:r>
        <w:rPr>
          <w:sz w:val="24"/>
        </w:rPr>
        <w:t>Johansen, S. and Juselius, K. 1990. Maximum likelihood estimation and inference on</w:t>
      </w:r>
      <w:r>
        <w:rPr>
          <w:spacing w:val="1"/>
          <w:sz w:val="24"/>
        </w:rPr>
        <w:t> </w:t>
      </w:r>
      <w:r>
        <w:rPr>
          <w:sz w:val="24"/>
        </w:rPr>
        <w:t>cointegration – with application to the demand for money.</w:t>
      </w:r>
      <w:r>
        <w:rPr>
          <w:spacing w:val="1"/>
          <w:sz w:val="24"/>
        </w:rPr>
        <w:t> </w:t>
      </w:r>
      <w:r>
        <w:rPr>
          <w:i/>
          <w:sz w:val="24"/>
        </w:rPr>
        <w:t>Oxford Bulletin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Statistics,</w:t>
      </w:r>
      <w:r>
        <w:rPr>
          <w:i/>
          <w:spacing w:val="1"/>
          <w:sz w:val="24"/>
        </w:rPr>
        <w:t> </w:t>
      </w:r>
      <w:r>
        <w:rPr>
          <w:sz w:val="24"/>
        </w:rPr>
        <w:t>52, 169-210.</w:t>
      </w:r>
    </w:p>
    <w:p>
      <w:pPr>
        <w:pStyle w:val="BodyText"/>
      </w:pPr>
    </w:p>
    <w:p>
      <w:pPr>
        <w:pStyle w:val="BodyText"/>
        <w:ind w:left="1531" w:right="1001" w:hanging="720"/>
        <w:jc w:val="both"/>
      </w:pPr>
      <w:r>
        <w:rPr/>
        <w:t>Jongwanich, J., Kohpaiboon, A., 2013. Capital flows and real exchange rates in emerging</w:t>
      </w:r>
      <w:r>
        <w:rPr>
          <w:spacing w:val="1"/>
        </w:rPr>
        <w:t> </w:t>
      </w:r>
      <w:r>
        <w:rPr/>
        <w:t>Asian</w:t>
      </w:r>
      <w:r>
        <w:rPr>
          <w:spacing w:val="-1"/>
        </w:rPr>
        <w:t> </w:t>
      </w:r>
      <w:r>
        <w:rPr/>
        <w:t>countries.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 Asian Economics </w:t>
      </w:r>
      <w:r>
        <w:rPr/>
        <w:t>24, 138-146.</w:t>
      </w:r>
    </w:p>
    <w:p>
      <w:pPr>
        <w:pStyle w:val="BodyText"/>
      </w:pPr>
    </w:p>
    <w:p>
      <w:pPr>
        <w:spacing w:before="0"/>
        <w:ind w:left="1531" w:right="1002" w:hanging="720"/>
        <w:jc w:val="both"/>
        <w:rPr>
          <w:i/>
          <w:sz w:val="24"/>
        </w:rPr>
      </w:pPr>
      <w:r>
        <w:rPr>
          <w:sz w:val="24"/>
        </w:rPr>
        <w:t>Junttila, J. and Korhonen, M. 2012.</w:t>
      </w:r>
      <w:r>
        <w:rPr>
          <w:spacing w:val="1"/>
          <w:sz w:val="24"/>
        </w:rPr>
        <w:t> </w:t>
      </w:r>
      <w:r>
        <w:rPr>
          <w:sz w:val="24"/>
        </w:rPr>
        <w:t>The Role of Inflation regime in the Exchange Rate</w:t>
      </w:r>
      <w:r>
        <w:rPr>
          <w:spacing w:val="1"/>
          <w:sz w:val="24"/>
        </w:rPr>
        <w:t> </w:t>
      </w:r>
      <w:r>
        <w:rPr>
          <w:sz w:val="24"/>
        </w:rPr>
        <w:t>Pass-through to Import Prices.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Review of Economic and Finance 24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(2012)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88-96.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811"/>
      </w:pPr>
      <w:r>
        <w:rPr/>
        <w:t>Kandil,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Fluctuations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Payments:</w:t>
      </w:r>
      <w:r>
        <w:rPr>
          <w:spacing w:val="-1"/>
        </w:rPr>
        <w:t> </w:t>
      </w:r>
      <w:r>
        <w:rPr/>
        <w:t>Channels</w:t>
      </w:r>
    </w:p>
    <w:p>
      <w:pPr>
        <w:spacing w:before="0"/>
        <w:ind w:left="1531" w:right="993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Interaction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Developing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Developed</w:t>
      </w:r>
      <w:r>
        <w:rPr>
          <w:spacing w:val="5"/>
          <w:sz w:val="24"/>
        </w:rPr>
        <w:t> </w:t>
      </w:r>
      <w:r>
        <w:rPr>
          <w:sz w:val="24"/>
        </w:rPr>
        <w:t>Countries.</w:t>
      </w:r>
      <w:r>
        <w:rPr>
          <w:spacing w:val="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Integration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 24(1), pp. 151-174.</w:t>
      </w:r>
    </w:p>
    <w:p>
      <w:pPr>
        <w:pStyle w:val="BodyText"/>
      </w:pPr>
    </w:p>
    <w:p>
      <w:pPr>
        <w:spacing w:before="0"/>
        <w:ind w:left="1531" w:right="993" w:hanging="720"/>
        <w:jc w:val="left"/>
        <w:rPr>
          <w:sz w:val="24"/>
        </w:rPr>
      </w:pPr>
      <w:r>
        <w:rPr>
          <w:sz w:val="24"/>
        </w:rPr>
        <w:t>Kasekende, L., Kitabire, D. and Martin, M. 1996. Capital Inflows and Macroeconomic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Sub-Saharan</w:t>
      </w:r>
      <w:r>
        <w:rPr>
          <w:spacing w:val="45"/>
          <w:sz w:val="24"/>
        </w:rPr>
        <w:t> </w:t>
      </w:r>
      <w:r>
        <w:rPr>
          <w:sz w:val="24"/>
        </w:rPr>
        <w:t>Africa,</w:t>
      </w:r>
      <w:r>
        <w:rPr>
          <w:spacing w:val="50"/>
          <w:sz w:val="24"/>
        </w:rPr>
        <w:t> </w:t>
      </w:r>
      <w:r>
        <w:rPr>
          <w:sz w:val="24"/>
        </w:rPr>
        <w:t>In:</w:t>
      </w:r>
      <w:r>
        <w:rPr>
          <w:spacing w:val="45"/>
          <w:sz w:val="24"/>
        </w:rPr>
        <w:t> </w:t>
      </w:r>
      <w:r>
        <w:rPr>
          <w:sz w:val="24"/>
        </w:rPr>
        <w:t>UNCTAD,</w:t>
      </w:r>
      <w:r>
        <w:rPr>
          <w:spacing w:val="4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Monetary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Issues for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1990s</w:t>
      </w:r>
      <w:r>
        <w:rPr>
          <w:sz w:val="24"/>
        </w:rPr>
        <w:t>, Vol.8,</w:t>
      </w:r>
    </w:p>
    <w:p>
      <w:pPr>
        <w:pStyle w:val="BodyText"/>
      </w:pPr>
    </w:p>
    <w:p>
      <w:pPr>
        <w:spacing w:before="0"/>
        <w:ind w:left="1622" w:right="994" w:hanging="812"/>
        <w:jc w:val="both"/>
        <w:rPr>
          <w:sz w:val="24"/>
        </w:rPr>
      </w:pPr>
      <w:r>
        <w:rPr>
          <w:sz w:val="24"/>
        </w:rPr>
        <w:t>Khan,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Sajjid,</w:t>
      </w:r>
      <w:r>
        <w:rPr>
          <w:spacing w:val="1"/>
          <w:sz w:val="24"/>
        </w:rPr>
        <w:t> </w:t>
      </w:r>
      <w:r>
        <w:rPr>
          <w:sz w:val="24"/>
        </w:rPr>
        <w:t>M.Z.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monetary</w:t>
      </w:r>
      <w:r>
        <w:rPr>
          <w:spacing w:val="1"/>
          <w:sz w:val="24"/>
        </w:rPr>
        <w:t> </w:t>
      </w:r>
      <w:r>
        <w:rPr>
          <w:sz w:val="24"/>
        </w:rPr>
        <w:t>dynamics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Pakistan: An autoregressive distributed lag (ARDL) approach, </w:t>
      </w:r>
      <w:r>
        <w:rPr>
          <w:i/>
          <w:sz w:val="24"/>
        </w:rPr>
        <w:t>Pakistan 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Economics</w:t>
      </w:r>
      <w:r>
        <w:rPr>
          <w:i/>
          <w:spacing w:val="3"/>
          <w:sz w:val="24"/>
        </w:rPr>
        <w:t> </w:t>
      </w:r>
      <w:r>
        <w:rPr>
          <w:sz w:val="24"/>
        </w:rPr>
        <w:t>Islamabad.</w:t>
      </w:r>
    </w:p>
    <w:p>
      <w:pPr>
        <w:pStyle w:val="BodyText"/>
      </w:pPr>
    </w:p>
    <w:p>
      <w:pPr>
        <w:pStyle w:val="BodyText"/>
        <w:spacing w:before="1"/>
        <w:ind w:left="1531" w:right="997" w:hanging="720"/>
        <w:jc w:val="both"/>
      </w:pPr>
      <w:r>
        <w:rPr/>
        <w:t>Klein,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Rosengren,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1994..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investment in the United States: Relative wealth vs. relative wage effects.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International Economics</w:t>
      </w:r>
      <w:r>
        <w:rPr>
          <w:i/>
          <w:spacing w:val="1"/>
        </w:rPr>
        <w:t> </w:t>
      </w:r>
      <w:r>
        <w:rPr/>
        <w:t>36(3–4), 373–389.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1" w:right="998" w:hanging="720"/>
        <w:jc w:val="both"/>
        <w:rPr>
          <w:sz w:val="22"/>
        </w:rPr>
      </w:pPr>
      <w:r>
        <w:rPr>
          <w:sz w:val="24"/>
        </w:rPr>
        <w:t>Knetter, M.M. 1994. Why are Retail Prices in Japan so High: Evidence from German</w:t>
      </w:r>
      <w:r>
        <w:rPr>
          <w:spacing w:val="1"/>
          <w:sz w:val="24"/>
        </w:rPr>
        <w:t> </w:t>
      </w:r>
      <w:r>
        <w:rPr>
          <w:sz w:val="24"/>
        </w:rPr>
        <w:t>Export</w:t>
      </w:r>
      <w:r>
        <w:rPr>
          <w:spacing w:val="1"/>
          <w:sz w:val="24"/>
        </w:rPr>
        <w:t> </w:t>
      </w:r>
      <w:r>
        <w:rPr>
          <w:sz w:val="24"/>
        </w:rPr>
        <w:t>prices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4894</w:t>
      </w:r>
      <w:r>
        <w:rPr>
          <w:spacing w:val="1"/>
          <w:sz w:val="24"/>
        </w:rPr>
        <w:t> </w:t>
      </w:r>
      <w:r>
        <w:rPr>
          <w:sz w:val="24"/>
        </w:rPr>
        <w:t>NBER</w:t>
      </w:r>
      <w:r>
        <w:rPr>
          <w:spacing w:val="1"/>
          <w:sz w:val="24"/>
        </w:rPr>
        <w:t> </w:t>
      </w:r>
      <w:r>
        <w:rPr>
          <w:sz w:val="22"/>
        </w:rPr>
        <w:t>1050</w:t>
      </w:r>
      <w:r>
        <w:rPr>
          <w:spacing w:val="1"/>
          <w:sz w:val="22"/>
        </w:rPr>
        <w:t> </w:t>
      </w:r>
      <w:r>
        <w:rPr>
          <w:sz w:val="22"/>
        </w:rPr>
        <w:t>Massachusetts</w:t>
      </w:r>
      <w:r>
        <w:rPr>
          <w:spacing w:val="1"/>
          <w:sz w:val="22"/>
        </w:rPr>
        <w:t> </w:t>
      </w:r>
      <w:r>
        <w:rPr>
          <w:sz w:val="22"/>
        </w:rPr>
        <w:t>Avenue</w:t>
      </w:r>
      <w:r>
        <w:rPr>
          <w:spacing w:val="1"/>
          <w:sz w:val="22"/>
        </w:rPr>
        <w:t> </w:t>
      </w:r>
      <w:r>
        <w:rPr>
          <w:sz w:val="22"/>
        </w:rPr>
        <w:t>Cambridge, MA</w:t>
      </w:r>
      <w:r>
        <w:rPr>
          <w:spacing w:val="-2"/>
          <w:sz w:val="22"/>
        </w:rPr>
        <w:t> </w:t>
      </w:r>
      <w:r>
        <w:rPr>
          <w:sz w:val="22"/>
        </w:rPr>
        <w:t>02138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before="72"/>
        <w:ind w:left="1531" w:right="996" w:hanging="720"/>
        <w:jc w:val="left"/>
        <w:rPr>
          <w:i/>
          <w:sz w:val="24"/>
        </w:rPr>
      </w:pPr>
      <w:r>
        <w:rPr>
          <w:sz w:val="24"/>
        </w:rPr>
        <w:t>Kodongo,</w:t>
      </w:r>
      <w:r>
        <w:rPr>
          <w:spacing w:val="14"/>
          <w:sz w:val="24"/>
        </w:rPr>
        <w:t> </w:t>
      </w:r>
      <w:r>
        <w:rPr>
          <w:sz w:val="24"/>
        </w:rPr>
        <w:t>O.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Ojah,</w:t>
      </w:r>
      <w:r>
        <w:rPr>
          <w:spacing w:val="15"/>
          <w:sz w:val="24"/>
        </w:rPr>
        <w:t> </w:t>
      </w:r>
      <w:r>
        <w:rPr>
          <w:sz w:val="24"/>
        </w:rPr>
        <w:t>K.</w:t>
      </w:r>
      <w:r>
        <w:rPr>
          <w:spacing w:val="14"/>
          <w:sz w:val="24"/>
        </w:rPr>
        <w:t> </w:t>
      </w:r>
      <w:r>
        <w:rPr>
          <w:sz w:val="24"/>
        </w:rPr>
        <w:t>2011.</w:t>
      </w:r>
      <w:r>
        <w:rPr>
          <w:spacing w:val="15"/>
          <w:sz w:val="24"/>
        </w:rPr>
        <w:t> </w:t>
      </w:r>
      <w:r>
        <w:rPr>
          <w:sz w:val="24"/>
        </w:rPr>
        <w:t>Real</w:t>
      </w:r>
      <w:r>
        <w:rPr>
          <w:spacing w:val="15"/>
          <w:sz w:val="24"/>
        </w:rPr>
        <w:t> </w:t>
      </w:r>
      <w:r>
        <w:rPr>
          <w:sz w:val="24"/>
        </w:rPr>
        <w:t>exchange</w:t>
      </w:r>
      <w:r>
        <w:rPr>
          <w:spacing w:val="14"/>
          <w:sz w:val="24"/>
        </w:rPr>
        <w:t> </w:t>
      </w:r>
      <w:r>
        <w:rPr>
          <w:sz w:val="24"/>
        </w:rPr>
        <w:t>rates,</w:t>
      </w:r>
      <w:r>
        <w:rPr>
          <w:spacing w:val="14"/>
          <w:sz w:val="24"/>
        </w:rPr>
        <w:t> </w:t>
      </w:r>
      <w:r>
        <w:rPr>
          <w:sz w:val="24"/>
        </w:rPr>
        <w:t>trade</w:t>
      </w:r>
      <w:r>
        <w:rPr>
          <w:spacing w:val="14"/>
          <w:sz w:val="24"/>
        </w:rPr>
        <w:t> </w:t>
      </w:r>
      <w:r>
        <w:rPr>
          <w:sz w:val="24"/>
        </w:rPr>
        <w:t>balance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capital</w:t>
      </w:r>
      <w:r>
        <w:rPr>
          <w:spacing w:val="15"/>
          <w:sz w:val="24"/>
        </w:rPr>
        <w:t> </w:t>
      </w:r>
      <w:r>
        <w:rPr>
          <w:sz w:val="24"/>
        </w:rPr>
        <w:t>flows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i/>
          <w:sz w:val="24"/>
        </w:rPr>
        <w:t>Journal of Economics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66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(2013), pp.22-46.</w:t>
      </w:r>
    </w:p>
    <w:p>
      <w:pPr>
        <w:pStyle w:val="BodyText"/>
        <w:rPr>
          <w:i/>
        </w:rPr>
      </w:pPr>
    </w:p>
    <w:p>
      <w:pPr>
        <w:pStyle w:val="BodyText"/>
        <w:ind w:left="811"/>
      </w:pPr>
      <w:r>
        <w:rPr/>
        <w:t>Kohlhagen,</w:t>
      </w:r>
      <w:r>
        <w:rPr>
          <w:spacing w:val="3"/>
        </w:rPr>
        <w:t> </w:t>
      </w:r>
      <w:r>
        <w:rPr/>
        <w:t>S.W.,</w:t>
      </w:r>
      <w:r>
        <w:rPr>
          <w:spacing w:val="61"/>
        </w:rPr>
        <w:t> </w:t>
      </w:r>
      <w:r>
        <w:rPr/>
        <w:t>1977.</w:t>
      </w:r>
      <w:r>
        <w:rPr>
          <w:spacing w:val="63"/>
        </w:rPr>
        <w:t> </w:t>
      </w:r>
      <w:r>
        <w:rPr/>
        <w:t>Exchange</w:t>
      </w:r>
      <w:r>
        <w:rPr>
          <w:spacing w:val="61"/>
        </w:rPr>
        <w:t> </w:t>
      </w:r>
      <w:r>
        <w:rPr/>
        <w:t>rates,</w:t>
      </w:r>
      <w:r>
        <w:rPr>
          <w:spacing w:val="60"/>
        </w:rPr>
        <w:t> </w:t>
      </w:r>
      <w:r>
        <w:rPr/>
        <w:t>profitability,</w:t>
      </w:r>
      <w:r>
        <w:rPr>
          <w:spacing w:val="61"/>
        </w:rPr>
        <w:t> </w:t>
      </w:r>
      <w:r>
        <w:rPr/>
        <w:t>and</w:t>
      </w:r>
      <w:r>
        <w:rPr>
          <w:spacing w:val="64"/>
        </w:rPr>
        <w:t> </w:t>
      </w:r>
      <w:r>
        <w:rPr/>
        <w:t>direct</w:t>
      </w:r>
      <w:r>
        <w:rPr>
          <w:spacing w:val="61"/>
        </w:rPr>
        <w:t> </w:t>
      </w:r>
      <w:r>
        <w:rPr/>
        <w:t>foreign</w:t>
      </w:r>
      <w:r>
        <w:rPr>
          <w:spacing w:val="61"/>
        </w:rPr>
        <w:t> </w:t>
      </w:r>
      <w:r>
        <w:rPr/>
        <w:t>investment.</w:t>
      </w:r>
    </w:p>
    <w:p>
      <w:pPr>
        <w:spacing w:before="0"/>
        <w:ind w:left="1531" w:right="0" w:firstLine="0"/>
        <w:jc w:val="left"/>
        <w:rPr>
          <w:sz w:val="24"/>
        </w:rPr>
      </w:pPr>
      <w:r>
        <w:rPr>
          <w:i/>
          <w:sz w:val="24"/>
        </w:rPr>
        <w:t>Southern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</w:t>
      </w:r>
      <w:r>
        <w:rPr>
          <w:sz w:val="24"/>
        </w:rPr>
        <w:t>68, 43-52.</w:t>
      </w:r>
    </w:p>
    <w:p>
      <w:pPr>
        <w:pStyle w:val="BodyText"/>
      </w:pPr>
    </w:p>
    <w:p>
      <w:pPr>
        <w:pStyle w:val="BodyText"/>
        <w:ind w:left="1531" w:right="1003" w:hanging="720"/>
      </w:pPr>
      <w:r>
        <w:rPr/>
        <w:t>Korsu, R.D. 2008.</w:t>
      </w:r>
      <w:r>
        <w:rPr>
          <w:spacing w:val="1"/>
        </w:rPr>
        <w:t> </w:t>
      </w:r>
      <w:r>
        <w:rPr/>
        <w:t>Exchange Rate and</w:t>
      </w:r>
      <w:r>
        <w:rPr>
          <w:spacing w:val="3"/>
        </w:rPr>
        <w:t> </w:t>
      </w:r>
      <w:r>
        <w:rPr/>
        <w:t>Balance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Payments</w:t>
      </w:r>
      <w:r>
        <w:rPr>
          <w:spacing w:val="1"/>
        </w:rPr>
        <w:t> </w:t>
      </w:r>
      <w:r>
        <w:rPr/>
        <w:t>Adjustments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Sierra</w:t>
      </w:r>
      <w:r>
        <w:rPr>
          <w:spacing w:val="1"/>
        </w:rPr>
        <w:t> </w:t>
      </w:r>
      <w:r>
        <w:rPr/>
        <w:t>Leone:</w:t>
      </w:r>
      <w:r>
        <w:rPr>
          <w:spacing w:val="-57"/>
        </w:rPr>
        <w:t> </w:t>
      </w:r>
      <w:r>
        <w:rPr/>
        <w:t>1970-2005.</w:t>
      </w:r>
      <w:r>
        <w:rPr>
          <w:spacing w:val="59"/>
        </w:rPr>
        <w:t> </w:t>
      </w:r>
      <w:r>
        <w:rPr/>
        <w:t>A PhD</w:t>
      </w:r>
      <w:r>
        <w:rPr>
          <w:spacing w:val="-1"/>
        </w:rPr>
        <w:t> </w:t>
      </w:r>
      <w:r>
        <w:rPr/>
        <w:t>Thesis,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Nigeria, 2008.</w:t>
      </w:r>
    </w:p>
    <w:p>
      <w:pPr>
        <w:pStyle w:val="BodyText"/>
      </w:pPr>
    </w:p>
    <w:p>
      <w:pPr>
        <w:pStyle w:val="BodyText"/>
        <w:ind w:left="1531" w:right="1158" w:hanging="720"/>
      </w:pPr>
      <w:r>
        <w:rPr/>
        <w:drawing>
          <wp:anchor distT="0" distB="0" distL="0" distR="0" allowOverlap="1" layoutInCell="1" locked="0" behindDoc="1" simplePos="0" relativeHeight="478005760">
            <wp:simplePos x="0" y="0"/>
            <wp:positionH relativeFrom="page">
              <wp:posOffset>1485138</wp:posOffset>
            </wp:positionH>
            <wp:positionV relativeFrom="paragraph">
              <wp:posOffset>19343</wp:posOffset>
            </wp:positionV>
            <wp:extent cx="5102225" cy="5044439"/>
            <wp:effectExtent l="0" t="0" r="0" b="0"/>
            <wp:wrapNone/>
            <wp:docPr id="2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Korsu, R.D. and Braima, S.J. 2010. The Determinants of the Real Exchange Rate in</w:t>
      </w:r>
      <w:r>
        <w:rPr>
          <w:spacing w:val="1"/>
        </w:rPr>
        <w:t> </w:t>
      </w:r>
      <w:r>
        <w:rPr/>
        <w:t>Sierra Leone. (On line) Retrieved December 10, 2011, from</w:t>
      </w:r>
      <w:r>
        <w:rPr>
          <w:spacing w:val="1"/>
        </w:rPr>
        <w:t> </w:t>
      </w:r>
      <w:hyperlink r:id="rId34">
        <w:r>
          <w:rPr/>
          <w:t>http://www.africametrics.org/documents/conference09/paper/Korsu_Braima.pdf</w:t>
        </w:r>
      </w:hyperlink>
      <w:r>
        <w:rPr/>
        <w:t>.</w:t>
      </w:r>
    </w:p>
    <w:p>
      <w:pPr>
        <w:pStyle w:val="BodyText"/>
        <w:spacing w:before="1"/>
      </w:pPr>
    </w:p>
    <w:p>
      <w:pPr>
        <w:pStyle w:val="BodyText"/>
        <w:ind w:left="1531" w:right="993" w:hanging="720"/>
        <w:jc w:val="both"/>
      </w:pPr>
      <w:r>
        <w:rPr/>
        <w:t>Kouri, P. J. K. 1976. The Exchange Rate and the Balance of Payments in the Short Run</w:t>
      </w:r>
      <w:r>
        <w:rPr>
          <w:spacing w:val="1"/>
        </w:rPr>
        <w:t> </w:t>
      </w:r>
      <w:r>
        <w:rPr/>
        <w:t>and in the Long Run: A Monetary Approach, </w:t>
      </w:r>
      <w:r>
        <w:rPr>
          <w:i/>
        </w:rPr>
        <w:t>Scandinavian Journal of Economics,</w:t>
      </w:r>
      <w:r>
        <w:rPr>
          <w:i/>
          <w:spacing w:val="-57"/>
        </w:rPr>
        <w:t> </w:t>
      </w:r>
      <w:r>
        <w:rPr/>
        <w:t>Vol. 78, No. 2, pp. 280–304.</w:t>
      </w:r>
    </w:p>
    <w:p>
      <w:pPr>
        <w:pStyle w:val="BodyText"/>
      </w:pPr>
    </w:p>
    <w:p>
      <w:pPr>
        <w:pStyle w:val="BodyText"/>
        <w:ind w:left="811"/>
      </w:pPr>
      <w:r>
        <w:rPr/>
        <w:t>Krugman, P.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Obstfeld,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1997.</w:t>
      </w:r>
      <w:r>
        <w:rPr>
          <w:spacing w:val="6"/>
        </w:rPr>
        <w:t> </w:t>
      </w:r>
      <w:r>
        <w:rPr/>
        <w:t>International</w:t>
      </w:r>
      <w:r>
        <w:rPr>
          <w:spacing w:val="2"/>
        </w:rPr>
        <w:t> </w:t>
      </w:r>
      <w:r>
        <w:rPr/>
        <w:t>Economics-Theory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Policy</w:t>
      </w:r>
      <w:r>
        <w:rPr>
          <w:spacing w:val="-4"/>
        </w:rPr>
        <w:t> </w:t>
      </w:r>
      <w:r>
        <w:rPr/>
        <w:t>(5</w:t>
      </w:r>
      <w:r>
        <w:rPr>
          <w:vertAlign w:val="superscript"/>
        </w:rPr>
        <w:t>th</w:t>
      </w:r>
      <w:r>
        <w:rPr>
          <w:spacing w:val="2"/>
          <w:vertAlign w:val="baseline"/>
        </w:rPr>
        <w:t> </w:t>
      </w:r>
      <w:r>
        <w:rPr>
          <w:vertAlign w:val="baseline"/>
        </w:rPr>
        <w:t>ed).</w:t>
      </w:r>
    </w:p>
    <w:p>
      <w:pPr>
        <w:pStyle w:val="BodyText"/>
        <w:ind w:left="1531"/>
      </w:pP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1"/>
        </w:rPr>
        <w:t> </w:t>
      </w:r>
      <w:r>
        <w:rPr/>
        <w:t>Addison</w:t>
      </w:r>
      <w:r>
        <w:rPr>
          <w:spacing w:val="-2"/>
        </w:rPr>
        <w:t> </w:t>
      </w:r>
      <w:r>
        <w:rPr/>
        <w:t>Wesley.</w:t>
      </w:r>
    </w:p>
    <w:p>
      <w:pPr>
        <w:pStyle w:val="BodyText"/>
      </w:pPr>
    </w:p>
    <w:p>
      <w:pPr>
        <w:pStyle w:val="BodyText"/>
        <w:ind w:left="1531" w:right="996" w:hanging="720"/>
        <w:jc w:val="both"/>
      </w:pPr>
      <w:r>
        <w:rPr/>
        <w:t>Lai, A.K. and Lowinger, T.C.2002. Nominal Effective Exchange Rate and Trade Balance</w:t>
      </w:r>
      <w:r>
        <w:rPr>
          <w:spacing w:val="1"/>
        </w:rPr>
        <w:t> </w:t>
      </w:r>
      <w:r>
        <w:rPr/>
        <w:t>Adjustment in South Asian Countries, </w:t>
      </w:r>
      <w:r>
        <w:rPr>
          <w:i/>
        </w:rPr>
        <w:t>Journal of Asian Economics, </w:t>
      </w:r>
      <w:r>
        <w:rPr/>
        <w:t>Vol. 13, pp.</w:t>
      </w:r>
      <w:r>
        <w:rPr>
          <w:spacing w:val="1"/>
        </w:rPr>
        <w:t> </w:t>
      </w:r>
      <w:r>
        <w:rPr/>
        <w:t>371-383.</w:t>
      </w:r>
    </w:p>
    <w:p>
      <w:pPr>
        <w:pStyle w:val="BodyText"/>
      </w:pPr>
    </w:p>
    <w:p>
      <w:pPr>
        <w:spacing w:before="0"/>
        <w:ind w:left="1531" w:right="1004" w:hanging="720"/>
        <w:jc w:val="both"/>
        <w:rPr>
          <w:sz w:val="24"/>
        </w:rPr>
      </w:pPr>
      <w:r>
        <w:rPr>
          <w:sz w:val="24"/>
        </w:rPr>
        <w:t>Lartey, E. 2008. Capital Inflows, Dutch Disease Effects and Monetary Policy in a Small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Economy.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1"/>
          <w:sz w:val="24"/>
        </w:rPr>
        <w:t> </w:t>
      </w:r>
      <w:r>
        <w:rPr>
          <w:sz w:val="24"/>
        </w:rPr>
        <w:t>16(5),</w:t>
      </w:r>
      <w:r>
        <w:rPr>
          <w:spacing w:val="-1"/>
          <w:sz w:val="24"/>
        </w:rPr>
        <w:t> </w:t>
      </w:r>
      <w:r>
        <w:rPr>
          <w:sz w:val="24"/>
        </w:rPr>
        <w:t>pp.971-989.</w:t>
      </w:r>
    </w:p>
    <w:p>
      <w:pPr>
        <w:pStyle w:val="BodyText"/>
      </w:pPr>
    </w:p>
    <w:p>
      <w:pPr>
        <w:pStyle w:val="BodyText"/>
        <w:spacing w:before="1"/>
        <w:ind w:left="1531" w:right="997" w:hanging="720"/>
        <w:jc w:val="both"/>
      </w:pPr>
      <w:r>
        <w:rPr/>
        <w:t>Machlup, F. 1960. Three Concepts of Balance of Payments and the so-called Dollar</w:t>
      </w:r>
      <w:r>
        <w:rPr>
          <w:spacing w:val="1"/>
        </w:rPr>
        <w:t> </w:t>
      </w:r>
      <w:r>
        <w:rPr/>
        <w:t>Shortage.</w:t>
      </w:r>
      <w:r>
        <w:rPr>
          <w:spacing w:val="1"/>
        </w:rPr>
        <w:t>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vol.</w:t>
      </w:r>
      <w:r>
        <w:rPr>
          <w:spacing w:val="2"/>
        </w:rPr>
        <w:t> </w:t>
      </w:r>
      <w:r>
        <w:rPr/>
        <w:t>LX</w:t>
      </w:r>
      <w:r>
        <w:rPr>
          <w:spacing w:val="-2"/>
        </w:rPr>
        <w:t> </w:t>
      </w:r>
      <w:r>
        <w:rPr/>
        <w:t>, pp.46 – 68.</w:t>
      </w:r>
    </w:p>
    <w:p>
      <w:pPr>
        <w:pStyle w:val="BodyText"/>
      </w:pPr>
    </w:p>
    <w:p>
      <w:pPr>
        <w:pStyle w:val="BodyText"/>
        <w:ind w:left="1531" w:right="999" w:hanging="720"/>
        <w:jc w:val="both"/>
      </w:pPr>
      <w:r>
        <w:rPr/>
        <w:t>Markusen, J. R., 1998. Trade versus Investment Liberalization. NBER working paper</w:t>
      </w:r>
      <w:r>
        <w:rPr>
          <w:spacing w:val="1"/>
        </w:rPr>
        <w:t> </w:t>
      </w:r>
      <w:r>
        <w:rPr/>
        <w:t>6231.</w:t>
      </w:r>
    </w:p>
    <w:p>
      <w:pPr>
        <w:pStyle w:val="BodyText"/>
      </w:pPr>
    </w:p>
    <w:p>
      <w:pPr>
        <w:spacing w:before="0"/>
        <w:ind w:left="1531" w:right="995" w:hanging="720"/>
        <w:jc w:val="both"/>
        <w:rPr>
          <w:sz w:val="24"/>
        </w:rPr>
      </w:pPr>
      <w:r>
        <w:rPr>
          <w:sz w:val="24"/>
        </w:rPr>
        <w:t>Marwah, K. and Klein, L.R. 1996. Estimation of J-curves: United States and Canada.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Economics</w:t>
      </w:r>
      <w:r>
        <w:rPr>
          <w:i/>
          <w:spacing w:val="1"/>
          <w:sz w:val="24"/>
        </w:rPr>
        <w:t> </w:t>
      </w:r>
      <w:r>
        <w:rPr>
          <w:sz w:val="24"/>
        </w:rPr>
        <w:t>29(3): 523-539.</w:t>
      </w:r>
    </w:p>
    <w:p>
      <w:pPr>
        <w:pStyle w:val="BodyText"/>
      </w:pPr>
    </w:p>
    <w:p>
      <w:pPr>
        <w:spacing w:before="0"/>
        <w:ind w:left="1531" w:right="996" w:hanging="720"/>
        <w:jc w:val="both"/>
        <w:rPr>
          <w:i/>
          <w:sz w:val="24"/>
        </w:rPr>
      </w:pPr>
      <w:r>
        <w:rPr>
          <w:sz w:val="24"/>
        </w:rPr>
        <w:t>Masha, I and Park, C. 2012. Exchange Rate Pass-Through to Prices in Maldives.</w:t>
      </w:r>
      <w:r>
        <w:rPr>
          <w:spacing w:val="1"/>
          <w:sz w:val="24"/>
        </w:rPr>
        <w:t> </w:t>
      </w:r>
      <w:r>
        <w:rPr>
          <w:i/>
          <w:sz w:val="24"/>
        </w:rPr>
        <w:t>IMF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Paper, Asia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Pacific Department.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WP/12/126.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531" w:right="1001" w:hanging="720"/>
        <w:jc w:val="both"/>
      </w:pPr>
      <w:r>
        <w:rPr/>
        <w:t>Masten, C.R.M., 2007. The Impact of Exchange Rate Volatility on U.S. Foreign Direct</w:t>
      </w:r>
      <w:r>
        <w:rPr>
          <w:spacing w:val="1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Latin America,</w:t>
      </w:r>
      <w:r>
        <w:rPr>
          <w:spacing w:val="-1"/>
        </w:rPr>
        <w:t> </w:t>
      </w:r>
      <w:r>
        <w:rPr/>
        <w:t>Dissertation in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Delaware,</w:t>
      </w:r>
      <w:r>
        <w:rPr>
          <w:spacing w:val="-1"/>
        </w:rPr>
        <w:t> </w:t>
      </w:r>
      <w:r>
        <w:rPr/>
        <w:t>U.S.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1" w:right="1000" w:hanging="720"/>
        <w:jc w:val="both"/>
        <w:rPr>
          <w:i/>
          <w:sz w:val="24"/>
        </w:rPr>
      </w:pPr>
      <w:r>
        <w:rPr>
          <w:sz w:val="24"/>
        </w:rPr>
        <w:t>McCarthy, J. 2000. Pass-Through of Exchange Rates and Imports Prices to Domestic</w:t>
      </w:r>
      <w:r>
        <w:rPr>
          <w:spacing w:val="1"/>
          <w:sz w:val="24"/>
        </w:rPr>
        <w:t> </w:t>
      </w:r>
      <w:r>
        <w:rPr>
          <w:sz w:val="24"/>
        </w:rPr>
        <w:t>Inflation in Some Industrialised Economies, </w:t>
      </w:r>
      <w:r>
        <w:rPr>
          <w:i/>
          <w:sz w:val="24"/>
        </w:rPr>
        <w:t>in Bank for International Settlements,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Paper No.79 Basel.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72"/>
        <w:ind w:left="811"/>
        <w:jc w:val="both"/>
      </w:pPr>
      <w:r>
        <w:rPr/>
        <w:t>Meade,</w:t>
      </w:r>
      <w:r>
        <w:rPr>
          <w:spacing w:val="28"/>
        </w:rPr>
        <w:t> </w:t>
      </w:r>
      <w:r>
        <w:rPr/>
        <w:t>J.</w:t>
      </w:r>
      <w:r>
        <w:rPr>
          <w:spacing w:val="29"/>
        </w:rPr>
        <w:t> </w:t>
      </w:r>
      <w:r>
        <w:rPr/>
        <w:t>E.,</w:t>
      </w:r>
      <w:r>
        <w:rPr>
          <w:spacing w:val="29"/>
        </w:rPr>
        <w:t> </w:t>
      </w:r>
      <w:r>
        <w:rPr/>
        <w:t>1952.</w:t>
      </w:r>
      <w:r>
        <w:rPr>
          <w:spacing w:val="27"/>
        </w:rPr>
        <w:t> </w:t>
      </w:r>
      <w:r>
        <w:rPr/>
        <w:t>External</w:t>
      </w:r>
      <w:r>
        <w:rPr>
          <w:spacing w:val="30"/>
        </w:rPr>
        <w:t> </w:t>
      </w:r>
      <w:r>
        <w:rPr/>
        <w:t>Economies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Diseconornies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Competitive</w:t>
      </w:r>
      <w:r>
        <w:rPr>
          <w:spacing w:val="30"/>
        </w:rPr>
        <w:t> </w:t>
      </w:r>
      <w:r>
        <w:rPr/>
        <w:t>Situation.</w:t>
      </w:r>
    </w:p>
    <w:p>
      <w:pPr>
        <w:pStyle w:val="BodyText"/>
        <w:ind w:left="1531"/>
        <w:jc w:val="both"/>
      </w:pPr>
      <w:r>
        <w:rPr/>
        <w:t>Economic</w:t>
      </w:r>
      <w:r>
        <w:rPr>
          <w:spacing w:val="-2"/>
        </w:rPr>
        <w:t> </w:t>
      </w:r>
      <w:r>
        <w:rPr/>
        <w:t>Journal, Vol. 62, pp. 59—67.</w:t>
      </w:r>
    </w:p>
    <w:p>
      <w:pPr>
        <w:spacing w:before="0"/>
        <w:ind w:left="1711" w:right="994" w:hanging="900"/>
        <w:jc w:val="both"/>
        <w:rPr>
          <w:i/>
          <w:sz w:val="24"/>
        </w:rPr>
      </w:pPr>
      <w:r>
        <w:rPr>
          <w:sz w:val="24"/>
        </w:rPr>
        <w:t>Mohammad, S.D. and</w:t>
      </w:r>
      <w:r>
        <w:rPr>
          <w:spacing w:val="60"/>
          <w:sz w:val="24"/>
        </w:rPr>
        <w:t> </w:t>
      </w:r>
      <w:r>
        <w:rPr>
          <w:sz w:val="24"/>
        </w:rPr>
        <w:t>Hussein, A. 2010. The Role of Exchange Rate on Balance of</w:t>
      </w:r>
      <w:r>
        <w:rPr>
          <w:spacing w:val="1"/>
          <w:sz w:val="24"/>
        </w:rPr>
        <w:t> </w:t>
      </w:r>
      <w:r>
        <w:rPr>
          <w:sz w:val="24"/>
        </w:rPr>
        <w:t>Trade: Empirical from Pakistan.</w:t>
      </w:r>
      <w:r>
        <w:rPr>
          <w:spacing w:val="1"/>
          <w:sz w:val="24"/>
        </w:rPr>
        <w:t> </w:t>
      </w:r>
      <w:r>
        <w:rPr>
          <w:i/>
          <w:sz w:val="24"/>
        </w:rPr>
        <w:t>European Journal of Social Sciences, Vol.14,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(2010).</w:t>
      </w:r>
    </w:p>
    <w:p>
      <w:pPr>
        <w:pStyle w:val="BodyText"/>
        <w:rPr>
          <w:i/>
        </w:rPr>
      </w:pPr>
    </w:p>
    <w:p>
      <w:pPr>
        <w:spacing w:before="0"/>
        <w:ind w:left="1711" w:right="997" w:hanging="900"/>
        <w:jc w:val="both"/>
        <w:rPr>
          <w:sz w:val="24"/>
        </w:rPr>
      </w:pPr>
      <w:r>
        <w:rPr>
          <w:sz w:val="24"/>
        </w:rPr>
        <w:t>Mundell , R. A. 1968. Growth and Balance of Payments.</w:t>
      </w:r>
      <w:r>
        <w:rPr>
          <w:spacing w:val="60"/>
          <w:sz w:val="24"/>
        </w:rPr>
        <w:t> </w:t>
      </w:r>
      <w:r>
        <w:rPr>
          <w:i/>
          <w:sz w:val="24"/>
        </w:rPr>
        <w:t>In International Economics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NY,</w:t>
      </w:r>
      <w:r>
        <w:rPr>
          <w:spacing w:val="-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2371" w:val="left" w:leader="none"/>
        </w:tabs>
        <w:spacing w:before="90"/>
        <w:ind w:left="1622" w:right="994" w:hanging="81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006272">
            <wp:simplePos x="0" y="0"/>
            <wp:positionH relativeFrom="page">
              <wp:posOffset>1485138</wp:posOffset>
            </wp:positionH>
            <wp:positionV relativeFrom="paragraph">
              <wp:posOffset>76493</wp:posOffset>
            </wp:positionV>
            <wp:extent cx="5102225" cy="5044439"/>
            <wp:effectExtent l="0" t="0" r="0" b="0"/>
            <wp:wrapNone/>
            <wp:docPr id="28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 </w:t>
        <w:tab/>
        <w:tab/>
      </w:r>
      <w:r>
        <w:rPr>
          <w:sz w:val="24"/>
        </w:rPr>
        <w:t>1971.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Dollar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Mix:</w:t>
      </w:r>
      <w:r>
        <w:rPr>
          <w:spacing w:val="1"/>
          <w:sz w:val="24"/>
        </w:rPr>
        <w:t> </w:t>
      </w:r>
      <w:r>
        <w:rPr>
          <w:sz w:val="24"/>
        </w:rPr>
        <w:t>1971.</w:t>
      </w:r>
      <w:r>
        <w:rPr>
          <w:spacing w:val="1"/>
          <w:sz w:val="24"/>
        </w:rPr>
        <w:t> </w:t>
      </w:r>
      <w:r>
        <w:rPr>
          <w:i/>
          <w:sz w:val="24"/>
        </w:rPr>
        <w:t>Essays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Finance,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Finance</w:t>
      </w:r>
      <w:r>
        <w:rPr>
          <w:spacing w:val="-1"/>
          <w:sz w:val="24"/>
        </w:rPr>
        <w:t> </w:t>
      </w:r>
      <w:r>
        <w:rPr>
          <w:sz w:val="24"/>
        </w:rPr>
        <w:t>Section,</w:t>
      </w:r>
      <w:r>
        <w:rPr>
          <w:spacing w:val="-1"/>
          <w:sz w:val="24"/>
        </w:rPr>
        <w:t> </w:t>
      </w:r>
      <w:r>
        <w:rPr>
          <w:sz w:val="24"/>
        </w:rPr>
        <w:t>Princeton</w:t>
      </w:r>
      <w:r>
        <w:rPr>
          <w:spacing w:val="-1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</w:pPr>
    </w:p>
    <w:p>
      <w:pPr>
        <w:spacing w:before="0"/>
        <w:ind w:left="1531" w:right="998" w:hanging="720"/>
        <w:jc w:val="both"/>
        <w:rPr>
          <w:sz w:val="24"/>
        </w:rPr>
      </w:pPr>
      <w:r>
        <w:rPr>
          <w:sz w:val="24"/>
        </w:rPr>
        <w:t>Mungule,</w:t>
      </w:r>
      <w:r>
        <w:rPr>
          <w:spacing w:val="1"/>
          <w:sz w:val="24"/>
        </w:rPr>
        <w:t> </w:t>
      </w:r>
      <w:r>
        <w:rPr>
          <w:sz w:val="24"/>
        </w:rPr>
        <w:t>K.O.</w:t>
      </w:r>
      <w:r>
        <w:rPr>
          <w:spacing w:val="1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Zambia.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Consortium,</w:t>
      </w:r>
      <w:r>
        <w:rPr>
          <w:i/>
          <w:spacing w:val="1"/>
          <w:sz w:val="24"/>
        </w:rPr>
        <w:t> </w:t>
      </w:r>
      <w:r>
        <w:rPr>
          <w:sz w:val="24"/>
        </w:rPr>
        <w:t>Research Paper</w:t>
      </w:r>
      <w:r>
        <w:rPr>
          <w:spacing w:val="1"/>
          <w:sz w:val="24"/>
        </w:rPr>
        <w:t> </w:t>
      </w:r>
      <w:r>
        <w:rPr>
          <w:sz w:val="24"/>
        </w:rPr>
        <w:t>146.</w:t>
      </w:r>
    </w:p>
    <w:p>
      <w:pPr>
        <w:pStyle w:val="BodyText"/>
        <w:spacing w:before="1"/>
      </w:pPr>
    </w:p>
    <w:p>
      <w:pPr>
        <w:spacing w:before="0"/>
        <w:ind w:left="1531" w:right="996" w:hanging="720"/>
        <w:jc w:val="both"/>
        <w:rPr>
          <w:sz w:val="24"/>
        </w:rPr>
      </w:pPr>
      <w:r>
        <w:rPr>
          <w:sz w:val="24"/>
        </w:rPr>
        <w:t>Mussa, M. 1976. The Exchange Rate, the Balance of Payments and Monetary and Fiscal</w:t>
      </w:r>
      <w:r>
        <w:rPr>
          <w:spacing w:val="1"/>
          <w:sz w:val="24"/>
        </w:rPr>
        <w:t> </w:t>
      </w:r>
      <w:r>
        <w:rPr>
          <w:sz w:val="24"/>
        </w:rPr>
        <w:t>Policy under a Regime of Controlled Floating.</w:t>
      </w:r>
      <w:r>
        <w:rPr>
          <w:spacing w:val="1"/>
          <w:sz w:val="24"/>
        </w:rPr>
        <w:t> </w:t>
      </w:r>
      <w:r>
        <w:rPr>
          <w:i/>
          <w:sz w:val="24"/>
        </w:rPr>
        <w:t>The Scandinavian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sz w:val="24"/>
        </w:rPr>
        <w:t>Vol. 78. pp.</w:t>
      </w:r>
      <w:r>
        <w:rPr>
          <w:spacing w:val="2"/>
          <w:sz w:val="24"/>
        </w:rPr>
        <w:t> </w:t>
      </w:r>
      <w:r>
        <w:rPr>
          <w:sz w:val="24"/>
        </w:rPr>
        <w:t>229-248.</w:t>
      </w:r>
    </w:p>
    <w:p>
      <w:pPr>
        <w:pStyle w:val="BodyText"/>
      </w:pPr>
    </w:p>
    <w:p>
      <w:pPr>
        <w:pStyle w:val="BodyText"/>
        <w:ind w:left="1531" w:right="997" w:hanging="720"/>
        <w:jc w:val="both"/>
      </w:pPr>
      <w:r>
        <w:rPr/>
        <w:t>Mwega, E. M. 1993. Real exchange Rate Misalignment and Macroeconomic Performance</w:t>
      </w:r>
      <w:r>
        <w:rPr>
          <w:spacing w:val="-57"/>
        </w:rPr>
        <w:t> </w:t>
      </w:r>
      <w:r>
        <w:rPr/>
        <w:t>in Kenya. An interim report presented at AERC Workshop, Cape Town, May 29-</w:t>
      </w:r>
      <w:r>
        <w:rPr>
          <w:spacing w:val="1"/>
        </w:rPr>
        <w:t> </w:t>
      </w:r>
      <w:r>
        <w:rPr/>
        <w:t>June</w:t>
      </w:r>
      <w:r>
        <w:rPr>
          <w:spacing w:val="-1"/>
        </w:rPr>
        <w:t> </w:t>
      </w:r>
      <w:r>
        <w:rPr/>
        <w:t>1.</w:t>
      </w:r>
    </w:p>
    <w:p>
      <w:pPr>
        <w:pStyle w:val="BodyText"/>
      </w:pPr>
    </w:p>
    <w:p>
      <w:pPr>
        <w:spacing w:before="0"/>
        <w:ind w:left="1531" w:right="996" w:hanging="720"/>
        <w:jc w:val="both"/>
        <w:rPr>
          <w:i/>
          <w:sz w:val="24"/>
        </w:rPr>
      </w:pPr>
      <w:r>
        <w:rPr>
          <w:sz w:val="24"/>
        </w:rPr>
        <w:t>Mwase, N. 2006. An Empirical Investigation of the Exchange Rate Pass-Through in</w:t>
      </w:r>
      <w:r>
        <w:rPr>
          <w:spacing w:val="1"/>
          <w:sz w:val="24"/>
        </w:rPr>
        <w:t> </w:t>
      </w:r>
      <w:r>
        <w:rPr>
          <w:sz w:val="24"/>
        </w:rPr>
        <w:t>Tanzania.</w:t>
      </w:r>
      <w:r>
        <w:rPr>
          <w:spacing w:val="58"/>
          <w:sz w:val="24"/>
        </w:rPr>
        <w:t> </w:t>
      </w:r>
      <w:r>
        <w:rPr>
          <w:i/>
          <w:sz w:val="24"/>
        </w:rPr>
        <w:t>IMF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Paper 06/150, 2006.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531" w:right="995" w:hanging="720"/>
        <w:jc w:val="both"/>
      </w:pPr>
      <w:r>
        <w:rPr/>
        <w:t>Narayan, P. K. 2004. New Zealand‘s trade balance: evidence of the J-curve and granger</w:t>
      </w:r>
      <w:r>
        <w:rPr>
          <w:spacing w:val="1"/>
        </w:rPr>
        <w:t> </w:t>
      </w:r>
      <w:r>
        <w:rPr/>
        <w:t>causality,</w:t>
      </w:r>
      <w:r>
        <w:rPr>
          <w:spacing w:val="1"/>
        </w:rPr>
        <w:t> </w:t>
      </w:r>
      <w:r>
        <w:rPr>
          <w:i/>
        </w:rPr>
        <w:t>Applied economic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 vol. 11, no.</w:t>
      </w:r>
      <w:r>
        <w:rPr>
          <w:spacing w:val="-1"/>
        </w:rPr>
        <w:t> </w:t>
      </w:r>
      <w:r>
        <w:rPr/>
        <w:t>6, pp. 351-354</w:t>
      </w:r>
    </w:p>
    <w:p>
      <w:pPr>
        <w:pStyle w:val="BodyText"/>
      </w:pPr>
    </w:p>
    <w:p>
      <w:pPr>
        <w:pStyle w:val="BodyText"/>
        <w:ind w:left="1531" w:right="997" w:hanging="720"/>
        <w:jc w:val="both"/>
      </w:pPr>
      <w:r>
        <w:rPr/>
        <w:t>Ndung‘u,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Ngugi</w:t>
      </w:r>
      <w:r>
        <w:rPr>
          <w:spacing w:val="1"/>
        </w:rPr>
        <w:t> </w:t>
      </w:r>
      <w:r>
        <w:rPr/>
        <w:t>R.W.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Liberalization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Kenya: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Financial and Foreign Exchange Markets.</w:t>
      </w:r>
      <w:r>
        <w:rPr>
          <w:spacing w:val="1"/>
        </w:rPr>
        <w:t> </w:t>
      </w:r>
      <w:r>
        <w:rPr/>
        <w:t>Journal of International Development.</w:t>
      </w:r>
      <w:r>
        <w:rPr>
          <w:spacing w:val="1"/>
        </w:rPr>
        <w:t> </w:t>
      </w:r>
      <w:r>
        <w:rPr/>
        <w:t>Vol.11, 465-491</w:t>
      </w:r>
    </w:p>
    <w:p>
      <w:pPr>
        <w:pStyle w:val="BodyText"/>
      </w:pPr>
    </w:p>
    <w:p>
      <w:pPr>
        <w:pStyle w:val="BodyText"/>
        <w:ind w:left="1531" w:right="997" w:hanging="720"/>
        <w:jc w:val="both"/>
      </w:pPr>
      <w:r>
        <w:rPr/>
        <w:t>Ndikumana, L. 2003. Capital flows, capital account regimes, and foreign exchange rate</w:t>
      </w:r>
      <w:r>
        <w:rPr>
          <w:spacing w:val="1"/>
        </w:rPr>
        <w:t> </w:t>
      </w:r>
      <w:r>
        <w:rPr/>
        <w:t>regimes in Africa, in:</w:t>
      </w:r>
      <w:r>
        <w:rPr>
          <w:spacing w:val="1"/>
        </w:rPr>
        <w:t> </w:t>
      </w:r>
      <w:r>
        <w:rPr/>
        <w:t>United Nations Conference on Trade and Development</w:t>
      </w:r>
      <w:r>
        <w:rPr>
          <w:spacing w:val="1"/>
        </w:rPr>
        <w:t> </w:t>
      </w:r>
      <w:r>
        <w:rPr/>
        <w:t>(UNCTAD)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flows: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Africa,</w:t>
      </w:r>
      <w:r>
        <w:rPr>
          <w:spacing w:val="2"/>
        </w:rPr>
        <w:t> </w:t>
      </w:r>
      <w:r>
        <w:rPr/>
        <w:t>UNCTAD, Geneva,</w:t>
      </w:r>
      <w:r>
        <w:rPr>
          <w:spacing w:val="1"/>
        </w:rPr>
        <w:t> </w:t>
      </w:r>
      <w:r>
        <w:rPr/>
        <w:t>pp. 313-384.</w:t>
      </w:r>
    </w:p>
    <w:p>
      <w:pPr>
        <w:pStyle w:val="BodyText"/>
      </w:pPr>
    </w:p>
    <w:p>
      <w:pPr>
        <w:spacing w:before="1"/>
        <w:ind w:left="1531" w:right="999" w:hanging="720"/>
        <w:jc w:val="both"/>
        <w:rPr>
          <w:sz w:val="24"/>
        </w:rPr>
      </w:pPr>
      <w:r>
        <w:rPr>
          <w:sz w:val="24"/>
        </w:rPr>
        <w:t>Nwani,</w:t>
      </w:r>
      <w:r>
        <w:rPr>
          <w:spacing w:val="1"/>
          <w:sz w:val="24"/>
        </w:rPr>
        <w:t> </w:t>
      </w:r>
      <w:r>
        <w:rPr>
          <w:sz w:val="24"/>
        </w:rPr>
        <w:t>M.V.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Balance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1"/>
          <w:sz w:val="24"/>
        </w:rPr>
        <w:t> </w:t>
      </w:r>
      <w:r>
        <w:rPr>
          <w:sz w:val="24"/>
        </w:rPr>
        <w:t>Fluctuation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Economic Associates;</w:t>
      </w:r>
      <w:r>
        <w:rPr>
          <w:spacing w:val="60"/>
          <w:sz w:val="24"/>
        </w:rPr>
        <w:t> </w:t>
      </w:r>
      <w:r>
        <w:rPr>
          <w:sz w:val="24"/>
        </w:rPr>
        <w:t>Victoria Island, Lagos, Nigeria.</w:t>
      </w:r>
      <w:r>
        <w:rPr>
          <w:spacing w:val="61"/>
          <w:sz w:val="24"/>
        </w:rPr>
        <w:t> </w:t>
      </w:r>
      <w:r>
        <w:rPr>
          <w:sz w:val="24"/>
        </w:rPr>
        <w:t>Downloaded from the</w:t>
      </w:r>
      <w:r>
        <w:rPr>
          <w:spacing w:val="1"/>
          <w:sz w:val="24"/>
        </w:rPr>
        <w:t> </w:t>
      </w:r>
      <w:r>
        <w:rPr>
          <w:i/>
          <w:sz w:val="24"/>
        </w:rPr>
        <w:t>web: </w:t>
      </w:r>
      <w:hyperlink r:id="rId35">
        <w:r>
          <w:rPr>
            <w:i/>
            <w:sz w:val="24"/>
          </w:rPr>
          <w:t>http://www.depot.gdnet.org/newkb/fulltext/NWANI.pdf. </w:t>
        </w:r>
      </w:hyperlink>
      <w:r>
        <w:rPr>
          <w:sz w:val="24"/>
        </w:rPr>
        <w:t>Date accessed: April</w:t>
      </w:r>
      <w:r>
        <w:rPr>
          <w:spacing w:val="1"/>
          <w:sz w:val="24"/>
        </w:rPr>
        <w:t> </w:t>
      </w:r>
      <w:r>
        <w:rPr>
          <w:sz w:val="24"/>
        </w:rPr>
        <w:t>12, 2012.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1" w:right="1004" w:hanging="720"/>
        <w:jc w:val="both"/>
      </w:pPr>
      <w:r>
        <w:rPr/>
        <w:t>Obadan, M.I. and Nwobike, C. C. 1991. A Cost Benefit Analysis of Multiple Exchange</w:t>
      </w:r>
      <w:r>
        <w:rPr>
          <w:spacing w:val="1"/>
        </w:rPr>
        <w:t> </w:t>
      </w:r>
      <w:r>
        <w:rPr/>
        <w:t>Rates</w:t>
      </w:r>
      <w:r>
        <w:rPr>
          <w:spacing w:val="59"/>
        </w:rPr>
        <w:t> </w:t>
      </w:r>
      <w:r>
        <w:rPr/>
        <w:t>Policy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Countries.</w:t>
      </w:r>
      <w:r>
        <w:rPr>
          <w:spacing w:val="3"/>
        </w:rPr>
        <w:t> </w:t>
      </w:r>
      <w:r>
        <w:rPr>
          <w:i/>
        </w:rPr>
        <w:t>Nigeria Financial Review</w:t>
      </w:r>
      <w:r>
        <w:rPr/>
        <w:t>, Vol.</w:t>
      </w:r>
      <w:r>
        <w:rPr>
          <w:spacing w:val="-1"/>
        </w:rPr>
        <w:t> </w:t>
      </w:r>
      <w:r>
        <w:rPr/>
        <w:t>3, No. 4.</w:t>
      </w:r>
    </w:p>
    <w:p>
      <w:pPr>
        <w:spacing w:after="0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72"/>
        <w:ind w:left="1442" w:right="997" w:hanging="632"/>
        <w:jc w:val="both"/>
      </w:pPr>
      <w:r>
        <w:rPr/>
        <w:t>Ostry, D.J. 1988. The Balance of Trade, Terms of Trade, and Real Exchange Rate: An</w:t>
      </w:r>
      <w:r>
        <w:rPr>
          <w:spacing w:val="1"/>
        </w:rPr>
        <w:t> </w:t>
      </w:r>
      <w:r>
        <w:rPr/>
        <w:t>Intertemporal Optimizing Framework. Staff Papers - </w:t>
      </w:r>
      <w:r>
        <w:rPr>
          <w:i/>
        </w:rPr>
        <w:t>International Monetary Fund</w:t>
      </w:r>
      <w:r>
        <w:rPr/>
        <w:t>,</w:t>
      </w:r>
      <w:r>
        <w:rPr>
          <w:spacing w:val="-57"/>
        </w:rPr>
        <w:t> </w:t>
      </w:r>
      <w:r>
        <w:rPr/>
        <w:t>Vol. 35, No. 4, pp. 541-573</w:t>
      </w:r>
    </w:p>
    <w:p>
      <w:pPr>
        <w:pStyle w:val="BodyText"/>
      </w:pPr>
    </w:p>
    <w:p>
      <w:pPr>
        <w:pStyle w:val="BodyText"/>
        <w:ind w:left="1442" w:right="994" w:hanging="632"/>
        <w:jc w:val="both"/>
      </w:pPr>
      <w:r>
        <w:rPr/>
        <w:t>Oyinlola, M. and Egwaikhide, F.O. 2011.</w:t>
      </w:r>
      <w:r>
        <w:rPr>
          <w:spacing w:val="1"/>
        </w:rPr>
        <w:t> </w:t>
      </w:r>
      <w:r>
        <w:rPr/>
        <w:t>Exchange Rate Pass-Through to Domestic</w:t>
      </w:r>
      <w:r>
        <w:rPr>
          <w:spacing w:val="1"/>
        </w:rPr>
        <w:t> </w:t>
      </w:r>
      <w:r>
        <w:rPr/>
        <w:t>Prices in Nigeria: Dynamic Investigation. </w:t>
      </w:r>
      <w:r>
        <w:rPr>
          <w:i/>
        </w:rPr>
        <w:t>The Social Sciences, </w:t>
      </w:r>
      <w:r>
        <w:rPr/>
        <w:t>Volume 6, Issues 2</w:t>
      </w:r>
      <w:r>
        <w:rPr>
          <w:spacing w:val="1"/>
        </w:rPr>
        <w:t> </w:t>
      </w:r>
      <w:r>
        <w:rPr/>
        <w:t>pp: 87-95.</w:t>
      </w:r>
    </w:p>
    <w:p>
      <w:pPr>
        <w:pStyle w:val="BodyText"/>
      </w:pPr>
    </w:p>
    <w:p>
      <w:pPr>
        <w:spacing w:before="0"/>
        <w:ind w:left="1442" w:right="998" w:hanging="632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8006784">
            <wp:simplePos x="0" y="0"/>
            <wp:positionH relativeFrom="page">
              <wp:posOffset>1485138</wp:posOffset>
            </wp:positionH>
            <wp:positionV relativeFrom="paragraph">
              <wp:posOffset>194604</wp:posOffset>
            </wp:positionV>
            <wp:extent cx="5102225" cy="5044439"/>
            <wp:effectExtent l="0" t="0" r="0" b="0"/>
            <wp:wrapNone/>
            <wp:docPr id="28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Pearce, I.F. 1961. The Problem of the Balance of Payments.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9, 218-27.</w:t>
      </w:r>
    </w:p>
    <w:p>
      <w:pPr>
        <w:pStyle w:val="BodyText"/>
        <w:rPr>
          <w:i/>
        </w:rPr>
      </w:pPr>
    </w:p>
    <w:p>
      <w:pPr>
        <w:pStyle w:val="BodyText"/>
        <w:ind w:left="1442" w:right="994" w:hanging="632"/>
        <w:jc w:val="both"/>
      </w:pPr>
      <w:r>
        <w:rPr/>
        <w:t>Pesaran,</w:t>
      </w:r>
      <w:r>
        <w:rPr>
          <w:spacing w:val="1"/>
        </w:rPr>
        <w:t> </w:t>
      </w:r>
      <w:r>
        <w:rPr/>
        <w:t>M.H.,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Shin,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Autoregressive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Lag</w:t>
      </w:r>
      <w:r>
        <w:rPr>
          <w:spacing w:val="60"/>
        </w:rPr>
        <w:t> </w:t>
      </w:r>
      <w:r>
        <w:rPr/>
        <w:t>Modeling</w:t>
      </w:r>
      <w:r>
        <w:rPr>
          <w:spacing w:val="1"/>
        </w:rPr>
        <w:t> </w:t>
      </w:r>
      <w:r>
        <w:rPr/>
        <w:t>Approach to Cointegration Analysis, in Econometrics and Economic Theory in the</w:t>
      </w:r>
      <w:r>
        <w:rPr>
          <w:spacing w:val="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Century: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Ragnar</w:t>
      </w:r>
      <w:r>
        <w:rPr>
          <w:spacing w:val="1"/>
          <w:vertAlign w:val="baseline"/>
        </w:rPr>
        <w:t> </w:t>
      </w:r>
      <w:r>
        <w:rPr>
          <w:vertAlign w:val="baseline"/>
        </w:rPr>
        <w:t>Frisch</w:t>
      </w:r>
      <w:r>
        <w:rPr>
          <w:spacing w:val="1"/>
          <w:vertAlign w:val="baseline"/>
        </w:rPr>
        <w:t> </w:t>
      </w:r>
      <w:r>
        <w:rPr>
          <w:vertAlign w:val="baseline"/>
        </w:rPr>
        <w:t>Centennial</w:t>
      </w:r>
      <w:r>
        <w:rPr>
          <w:spacing w:val="1"/>
          <w:vertAlign w:val="baseline"/>
        </w:rPr>
        <w:t> </w:t>
      </w:r>
      <w:r>
        <w:rPr>
          <w:vertAlign w:val="baseline"/>
        </w:rPr>
        <w:t>Symposium,</w:t>
      </w:r>
      <w:r>
        <w:rPr>
          <w:spacing w:val="1"/>
          <w:vertAlign w:val="baseline"/>
        </w:rPr>
        <w:t> </w:t>
      </w:r>
      <w:r>
        <w:rPr>
          <w:vertAlign w:val="baseline"/>
        </w:rPr>
        <w:t>edited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S.</w:t>
      </w:r>
      <w:r>
        <w:rPr>
          <w:spacing w:val="1"/>
          <w:vertAlign w:val="baseline"/>
        </w:rPr>
        <w:t> </w:t>
      </w:r>
      <w:r>
        <w:rPr>
          <w:vertAlign w:val="baseline"/>
        </w:rPr>
        <w:t>Strom</w:t>
      </w:r>
      <w:r>
        <w:rPr>
          <w:spacing w:val="1"/>
          <w:vertAlign w:val="baseline"/>
        </w:rPr>
        <w:t> </w:t>
      </w:r>
      <w:r>
        <w:rPr>
          <w:vertAlign w:val="baseline"/>
        </w:rPr>
        <w:t>(Cambridge,</w:t>
      </w:r>
      <w:r>
        <w:rPr>
          <w:spacing w:val="-1"/>
          <w:vertAlign w:val="baseline"/>
        </w:rPr>
        <w:t> </w:t>
      </w:r>
      <w:r>
        <w:rPr>
          <w:vertAlign w:val="baseline"/>
        </w:rPr>
        <w:t>England: Cambridge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Press).</w:t>
      </w:r>
    </w:p>
    <w:p>
      <w:pPr>
        <w:pStyle w:val="BodyText"/>
        <w:spacing w:before="1"/>
      </w:pPr>
    </w:p>
    <w:p>
      <w:pPr>
        <w:pStyle w:val="BodyText"/>
        <w:ind w:left="1442" w:right="997" w:hanging="632"/>
        <w:jc w:val="both"/>
      </w:pPr>
      <w:r>
        <w:rPr/>
        <w:t>Pesaran,</w:t>
      </w:r>
      <w:r>
        <w:rPr>
          <w:spacing w:val="57"/>
        </w:rPr>
        <w:t> </w:t>
      </w:r>
      <w:r>
        <w:rPr/>
        <w:t>M.H.,</w:t>
      </w:r>
      <w:r>
        <w:rPr>
          <w:spacing w:val="58"/>
        </w:rPr>
        <w:t> </w:t>
      </w:r>
      <w:r>
        <w:rPr/>
        <w:t>Shin,</w:t>
      </w:r>
      <w:r>
        <w:rPr>
          <w:spacing w:val="59"/>
        </w:rPr>
        <w:t> </w:t>
      </w:r>
      <w:r>
        <w:rPr/>
        <w:t>Y.,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Richard</w:t>
      </w:r>
      <w:r>
        <w:rPr>
          <w:spacing w:val="57"/>
        </w:rPr>
        <w:t> </w:t>
      </w:r>
      <w:r>
        <w:rPr/>
        <w:t>J.S.</w:t>
      </w:r>
      <w:r>
        <w:rPr>
          <w:spacing w:val="58"/>
        </w:rPr>
        <w:t> </w:t>
      </w:r>
      <w:r>
        <w:rPr/>
        <w:t>1999.</w:t>
      </w:r>
      <w:r>
        <w:rPr>
          <w:spacing w:val="58"/>
        </w:rPr>
        <w:t> </w:t>
      </w:r>
      <w:r>
        <w:rPr/>
        <w:t>Bounds</w:t>
      </w:r>
      <w:r>
        <w:rPr>
          <w:spacing w:val="59"/>
        </w:rPr>
        <w:t> </w:t>
      </w:r>
      <w:r>
        <w:rPr/>
        <w:t>Testing</w:t>
      </w:r>
      <w:r>
        <w:rPr>
          <w:spacing w:val="56"/>
        </w:rPr>
        <w:t> </w:t>
      </w:r>
      <w:r>
        <w:rPr/>
        <w:t>Approaches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-57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Long</w:t>
      </w:r>
      <w:r>
        <w:rPr>
          <w:spacing w:val="-3"/>
        </w:rPr>
        <w:t> </w:t>
      </w:r>
      <w:r>
        <w:rPr/>
        <w:t>Run</w:t>
      </w:r>
      <w:r>
        <w:rPr>
          <w:spacing w:val="-1"/>
        </w:rPr>
        <w:t> </w:t>
      </w:r>
      <w:r>
        <w:rPr/>
        <w:t>Relationships.  February</w:t>
      </w:r>
      <w:r>
        <w:rPr>
          <w:spacing w:val="-3"/>
        </w:rPr>
        <w:t> </w:t>
      </w:r>
      <w:r>
        <w:rPr/>
        <w:t>(Working</w:t>
      </w:r>
      <w:r>
        <w:rPr>
          <w:spacing w:val="-3"/>
        </w:rPr>
        <w:t> </w:t>
      </w:r>
      <w:r>
        <w:rPr/>
        <w:t>Paper).</w:t>
      </w:r>
    </w:p>
    <w:p>
      <w:pPr>
        <w:pStyle w:val="BodyText"/>
      </w:pPr>
    </w:p>
    <w:p>
      <w:pPr>
        <w:spacing w:before="0"/>
        <w:ind w:left="1442" w:right="992" w:hanging="632"/>
        <w:jc w:val="both"/>
        <w:rPr>
          <w:sz w:val="24"/>
        </w:rPr>
      </w:pPr>
      <w:r>
        <w:rPr>
          <w:sz w:val="24"/>
        </w:rPr>
        <w:t>Pesaran, M. H., Shin, Y. and Smith, R. J. 2001. Bounds Testing Approaches to the</w:t>
      </w:r>
      <w:r>
        <w:rPr>
          <w:spacing w:val="1"/>
          <w:sz w:val="24"/>
        </w:rPr>
        <w:t> </w:t>
      </w:r>
      <w:r>
        <w:rPr>
          <w:sz w:val="24"/>
        </w:rPr>
        <w:t>Analysis of Level Relationships. </w:t>
      </w:r>
      <w:r>
        <w:rPr>
          <w:i/>
          <w:sz w:val="24"/>
        </w:rPr>
        <w:t>Journal of Applied Econometrics: </w:t>
      </w:r>
      <w:r>
        <w:rPr>
          <w:sz w:val="24"/>
        </w:rPr>
        <w:t>Vol.16: 289-</w:t>
      </w:r>
      <w:r>
        <w:rPr>
          <w:spacing w:val="1"/>
          <w:sz w:val="24"/>
        </w:rPr>
        <w:t> </w:t>
      </w:r>
      <w:r>
        <w:rPr>
          <w:sz w:val="24"/>
        </w:rPr>
        <w:t>326.</w:t>
      </w:r>
    </w:p>
    <w:p>
      <w:pPr>
        <w:pStyle w:val="BodyText"/>
      </w:pPr>
    </w:p>
    <w:p>
      <w:pPr>
        <w:pStyle w:val="BodyText"/>
        <w:ind w:left="827" w:right="1012"/>
        <w:jc w:val="center"/>
      </w:pPr>
      <w:r>
        <w:rPr/>
        <w:t>Petrovic,</w:t>
      </w:r>
      <w:r>
        <w:rPr>
          <w:spacing w:val="24"/>
        </w:rPr>
        <w:t> </w:t>
      </w:r>
      <w:r>
        <w:rPr/>
        <w:t>P.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Gligoric,</w:t>
      </w:r>
      <w:r>
        <w:rPr>
          <w:spacing w:val="24"/>
        </w:rPr>
        <w:t> </w:t>
      </w:r>
      <w:r>
        <w:rPr/>
        <w:t>M.</w:t>
      </w:r>
      <w:r>
        <w:rPr>
          <w:spacing w:val="25"/>
        </w:rPr>
        <w:t> </w:t>
      </w:r>
      <w:r>
        <w:rPr/>
        <w:t>2010.</w:t>
      </w:r>
      <w:r>
        <w:rPr>
          <w:spacing w:val="50"/>
        </w:rPr>
        <w:t> </w:t>
      </w:r>
      <w:r>
        <w:rPr/>
        <w:t>Exchange</w:t>
      </w:r>
      <w:r>
        <w:rPr>
          <w:spacing w:val="26"/>
        </w:rPr>
        <w:t> </w:t>
      </w:r>
      <w:r>
        <w:rPr/>
        <w:t>Rate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Trade</w:t>
      </w:r>
      <w:r>
        <w:rPr>
          <w:spacing w:val="24"/>
        </w:rPr>
        <w:t> </w:t>
      </w:r>
      <w:r>
        <w:rPr/>
        <w:t>Balance:</w:t>
      </w:r>
      <w:r>
        <w:rPr>
          <w:spacing w:val="27"/>
        </w:rPr>
        <w:t> </w:t>
      </w:r>
      <w:r>
        <w:rPr/>
        <w:t>J-curve</w:t>
      </w:r>
      <w:r>
        <w:rPr>
          <w:spacing w:val="24"/>
        </w:rPr>
        <w:t> </w:t>
      </w:r>
      <w:r>
        <w:rPr/>
        <w:t>Effect.</w:t>
      </w:r>
    </w:p>
    <w:p>
      <w:pPr>
        <w:spacing w:before="0"/>
        <w:ind w:left="1442" w:right="0" w:firstLine="0"/>
        <w:jc w:val="left"/>
        <w:rPr>
          <w:sz w:val="24"/>
        </w:rPr>
      </w:pPr>
      <w:r>
        <w:rPr>
          <w:i/>
          <w:sz w:val="24"/>
        </w:rPr>
        <w:t>Pandeconomicus.</w:t>
      </w:r>
      <w:r>
        <w:rPr>
          <w:i/>
          <w:spacing w:val="-1"/>
          <w:sz w:val="24"/>
        </w:rPr>
        <w:t> </w:t>
      </w:r>
      <w:r>
        <w:rPr>
          <w:sz w:val="24"/>
        </w:rPr>
        <w:t>1:</w:t>
      </w:r>
      <w:r>
        <w:rPr>
          <w:spacing w:val="-1"/>
          <w:sz w:val="24"/>
        </w:rPr>
        <w:t> </w:t>
      </w:r>
      <w:r>
        <w:rPr>
          <w:sz w:val="24"/>
        </w:rPr>
        <w:t>23-41.</w:t>
      </w:r>
    </w:p>
    <w:p>
      <w:pPr>
        <w:pStyle w:val="BodyText"/>
      </w:pPr>
    </w:p>
    <w:p>
      <w:pPr>
        <w:pStyle w:val="BodyText"/>
        <w:spacing w:before="1"/>
        <w:ind w:left="1442" w:right="999" w:hanging="632"/>
        <w:jc w:val="both"/>
      </w:pPr>
      <w:r>
        <w:rPr/>
        <w:t>Phillips, P.C.B., and Hansen, B.E. 1990. Statistical inference in instrumental variables</w:t>
      </w:r>
      <w:r>
        <w:rPr>
          <w:spacing w:val="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I(1)</w:t>
      </w:r>
      <w:r>
        <w:rPr>
          <w:spacing w:val="-1"/>
        </w:rPr>
        <w:t> </w:t>
      </w:r>
      <w:r>
        <w:rPr/>
        <w:t>processes.</w:t>
      </w:r>
      <w:r>
        <w:rPr>
          <w:spacing w:val="1"/>
        </w:rPr>
        <w:t> </w:t>
      </w:r>
      <w:r>
        <w:rPr>
          <w:i/>
        </w:rPr>
        <w:t>Review</w:t>
      </w:r>
      <w:r>
        <w:rPr>
          <w:i/>
          <w:spacing w:val="-1"/>
        </w:rPr>
        <w:t> </w:t>
      </w:r>
      <w:r>
        <w:rPr>
          <w:i/>
        </w:rPr>
        <w:t>of Economic Studies</w:t>
      </w:r>
      <w:r>
        <w:rPr>
          <w:i/>
          <w:spacing w:val="-1"/>
        </w:rPr>
        <w:t> </w:t>
      </w:r>
      <w:r>
        <w:rPr>
          <w:i/>
        </w:rPr>
        <w:t>57, </w:t>
      </w:r>
      <w:r>
        <w:rPr/>
        <w:t>99-125.</w:t>
      </w:r>
    </w:p>
    <w:p>
      <w:pPr>
        <w:pStyle w:val="BodyText"/>
      </w:pPr>
    </w:p>
    <w:p>
      <w:pPr>
        <w:pStyle w:val="BodyText"/>
        <w:ind w:right="192"/>
        <w:jc w:val="center"/>
      </w:pPr>
      <w:r>
        <w:rPr/>
        <w:t>Philips,</w:t>
      </w:r>
      <w:r>
        <w:rPr>
          <w:spacing w:val="4"/>
        </w:rPr>
        <w:t> </w:t>
      </w:r>
      <w:r>
        <w:rPr/>
        <w:t>P.C.B.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Perron,</w:t>
      </w:r>
      <w:r>
        <w:rPr>
          <w:spacing w:val="5"/>
        </w:rPr>
        <w:t> </w:t>
      </w:r>
      <w:r>
        <w:rPr/>
        <w:t>P.</w:t>
      </w:r>
      <w:r>
        <w:rPr>
          <w:spacing w:val="5"/>
        </w:rPr>
        <w:t> </w:t>
      </w:r>
      <w:r>
        <w:rPr/>
        <w:t>1988.</w:t>
      </w:r>
      <w:r>
        <w:rPr>
          <w:spacing w:val="6"/>
        </w:rPr>
        <w:t> </w:t>
      </w:r>
      <w:r>
        <w:rPr/>
        <w:t>Testing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Unit</w:t>
      </w:r>
      <w:r>
        <w:rPr>
          <w:spacing w:val="6"/>
        </w:rPr>
        <w:t> </w:t>
      </w:r>
      <w:r>
        <w:rPr/>
        <w:t>Root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Time</w:t>
      </w:r>
      <w:r>
        <w:rPr>
          <w:spacing w:val="3"/>
        </w:rPr>
        <w:t> </w:t>
      </w:r>
      <w:r>
        <w:rPr/>
        <w:t>Series</w:t>
      </w:r>
      <w:r>
        <w:rPr>
          <w:spacing w:val="6"/>
        </w:rPr>
        <w:t> </w:t>
      </w:r>
      <w:r>
        <w:rPr/>
        <w:t>Regression.</w:t>
      </w:r>
    </w:p>
    <w:p>
      <w:pPr>
        <w:spacing w:before="0"/>
        <w:ind w:left="1531" w:right="0" w:firstLine="0"/>
        <w:jc w:val="left"/>
        <w:rPr>
          <w:sz w:val="24"/>
        </w:rPr>
      </w:pPr>
      <w:r>
        <w:rPr>
          <w:i/>
          <w:sz w:val="24"/>
        </w:rPr>
        <w:t>Biometrica</w:t>
      </w:r>
      <w:r>
        <w:rPr>
          <w:i/>
          <w:spacing w:val="-2"/>
          <w:sz w:val="24"/>
        </w:rPr>
        <w:t> </w:t>
      </w:r>
      <w:r>
        <w:rPr>
          <w:sz w:val="24"/>
        </w:rPr>
        <w:t>75,</w:t>
      </w:r>
      <w:r>
        <w:rPr>
          <w:spacing w:val="-1"/>
          <w:sz w:val="24"/>
        </w:rPr>
        <w:t> </w:t>
      </w:r>
      <w:r>
        <w:rPr>
          <w:sz w:val="24"/>
        </w:rPr>
        <w:t>335-46</w:t>
      </w:r>
    </w:p>
    <w:p>
      <w:pPr>
        <w:pStyle w:val="BodyText"/>
      </w:pPr>
    </w:p>
    <w:p>
      <w:pPr>
        <w:pStyle w:val="BodyText"/>
        <w:ind w:left="1531" w:right="995" w:hanging="720"/>
        <w:jc w:val="both"/>
      </w:pPr>
      <w:r>
        <w:rPr/>
        <w:t>Polak, J.J. 1957. Monetary Analysis on Income Formation and Payments Problems. </w:t>
      </w:r>
      <w:r>
        <w:rPr>
          <w:i/>
        </w:rPr>
        <w:t>IMF</w:t>
      </w:r>
      <w:r>
        <w:rPr>
          <w:i/>
          <w:spacing w:val="1"/>
        </w:rPr>
        <w:t> </w:t>
      </w:r>
      <w:r>
        <w:rPr>
          <w:i/>
        </w:rPr>
        <w:t>Staff</w:t>
      </w:r>
      <w:r>
        <w:rPr>
          <w:i/>
          <w:spacing w:val="-1"/>
        </w:rPr>
        <w:t> </w:t>
      </w:r>
      <w:r>
        <w:rPr>
          <w:i/>
        </w:rPr>
        <w:t>Papers, 6,</w:t>
      </w:r>
      <w:r>
        <w:rPr>
          <w:i/>
          <w:spacing w:val="1"/>
        </w:rPr>
        <w:t> </w:t>
      </w:r>
      <w:r>
        <w:rPr/>
        <w:t>1-50.</w:t>
      </w:r>
    </w:p>
    <w:p>
      <w:pPr>
        <w:pStyle w:val="BodyText"/>
      </w:pPr>
    </w:p>
    <w:p>
      <w:pPr>
        <w:spacing w:before="0"/>
        <w:ind w:left="1531" w:right="995" w:hanging="720"/>
        <w:jc w:val="both"/>
        <w:rPr>
          <w:i/>
          <w:sz w:val="24"/>
        </w:rPr>
      </w:pPr>
      <w:r>
        <w:rPr>
          <w:sz w:val="24"/>
        </w:rPr>
        <w:t>Qureshi, M.S. and Tsangarides, C.G. 2011. Exchange Rate Regimes and Trade: Is Africa</w:t>
      </w:r>
      <w:r>
        <w:rPr>
          <w:spacing w:val="1"/>
          <w:sz w:val="24"/>
        </w:rPr>
        <w:t> </w:t>
      </w:r>
      <w:r>
        <w:rPr>
          <w:sz w:val="24"/>
        </w:rPr>
        <w:t>Different?</w:t>
      </w:r>
      <w:r>
        <w:rPr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UNU-WIDER,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Working Paper 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2011/4.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531" w:right="998" w:hanging="720"/>
        <w:jc w:val="both"/>
      </w:pPr>
      <w:r>
        <w:rPr/>
        <w:t>Ratha, D. and William, S. 2007. South-South Migration and Remittances. World Bank</w:t>
      </w:r>
      <w:r>
        <w:rPr>
          <w:spacing w:val="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 No. 102.</w:t>
      </w:r>
      <w:r>
        <w:rPr>
          <w:spacing w:val="2"/>
        </w:rPr>
        <w:t> </w:t>
      </w:r>
      <w:r>
        <w:rPr/>
        <w:t>Washington D.C.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811" w:right="998" w:firstLine="0"/>
        <w:jc w:val="center"/>
        <w:rPr>
          <w:i/>
          <w:sz w:val="24"/>
        </w:rPr>
      </w:pPr>
      <w:r>
        <w:rPr>
          <w:sz w:val="24"/>
        </w:rPr>
        <w:t>Razafimahefa,</w:t>
      </w:r>
      <w:r>
        <w:rPr>
          <w:spacing w:val="28"/>
          <w:sz w:val="24"/>
        </w:rPr>
        <w:t> </w:t>
      </w:r>
      <w:r>
        <w:rPr>
          <w:sz w:val="24"/>
        </w:rPr>
        <w:t>I.F.,</w:t>
      </w:r>
      <w:r>
        <w:rPr>
          <w:spacing w:val="26"/>
          <w:sz w:val="24"/>
        </w:rPr>
        <w:t> </w:t>
      </w:r>
      <w:r>
        <w:rPr>
          <w:sz w:val="24"/>
        </w:rPr>
        <w:t>2012.</w:t>
      </w:r>
      <w:r>
        <w:rPr>
          <w:spacing w:val="26"/>
          <w:sz w:val="24"/>
        </w:rPr>
        <w:t> </w:t>
      </w:r>
      <w:r>
        <w:rPr>
          <w:sz w:val="24"/>
        </w:rPr>
        <w:t>Exchange</w:t>
      </w:r>
      <w:r>
        <w:rPr>
          <w:spacing w:val="25"/>
          <w:sz w:val="24"/>
        </w:rPr>
        <w:t> </w:t>
      </w:r>
      <w:r>
        <w:rPr>
          <w:sz w:val="24"/>
        </w:rPr>
        <w:t>Rate</w:t>
      </w:r>
      <w:r>
        <w:rPr>
          <w:spacing w:val="26"/>
          <w:sz w:val="24"/>
        </w:rPr>
        <w:t> </w:t>
      </w:r>
      <w:r>
        <w:rPr>
          <w:sz w:val="24"/>
        </w:rPr>
        <w:t>Pass-Through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Sub-Saharan</w:t>
      </w:r>
      <w:r>
        <w:rPr>
          <w:spacing w:val="29"/>
          <w:sz w:val="24"/>
        </w:rPr>
        <w:t> </w:t>
      </w:r>
      <w:r>
        <w:rPr>
          <w:sz w:val="24"/>
        </w:rPr>
        <w:t>Economies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Determinants.</w:t>
      </w:r>
      <w:r>
        <w:rPr>
          <w:spacing w:val="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Monetary Fund Working 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WP/12/141.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72"/>
        <w:ind w:left="1531" w:right="996" w:hanging="720"/>
        <w:jc w:val="both"/>
      </w:pPr>
      <w:r>
        <w:rPr/>
        <w:t>Reinke, J. 2007. Remittances in the Balance of Payments Framework: Current Problems</w:t>
      </w:r>
      <w:r>
        <w:rPr>
          <w:spacing w:val="1"/>
        </w:rPr>
        <w:t> </w:t>
      </w:r>
      <w:r>
        <w:rPr/>
        <w:t>and Forthcoming Improvements. Irving Fisher Committee (IFC) on Central Bank</w:t>
      </w:r>
      <w:r>
        <w:rPr>
          <w:spacing w:val="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Bulletin N. 27.</w:t>
      </w:r>
      <w:r>
        <w:rPr>
          <w:spacing w:val="-1"/>
        </w:rPr>
        <w:t> </w:t>
      </w:r>
      <w:r>
        <w:rPr/>
        <w:t>Bank for</w:t>
      </w:r>
      <w:r>
        <w:rPr>
          <w:spacing w:val="1"/>
        </w:rPr>
        <w:t> </w:t>
      </w:r>
      <w:r>
        <w:rPr/>
        <w:t>International Settlements.</w:t>
      </w:r>
    </w:p>
    <w:p>
      <w:pPr>
        <w:pStyle w:val="BodyText"/>
      </w:pPr>
    </w:p>
    <w:p>
      <w:pPr>
        <w:spacing w:before="0"/>
        <w:ind w:left="1622" w:right="999" w:hanging="812"/>
        <w:jc w:val="both"/>
        <w:rPr>
          <w:i/>
          <w:sz w:val="24"/>
        </w:rPr>
      </w:pPr>
      <w:r>
        <w:rPr>
          <w:sz w:val="24"/>
        </w:rPr>
        <w:t>Rowland,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Pass-Through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Prices: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Colombia.</w:t>
      </w:r>
      <w:r>
        <w:rPr>
          <w:spacing w:val="-1"/>
          <w:sz w:val="24"/>
        </w:rPr>
        <w:t> </w:t>
      </w:r>
      <w:r>
        <w:rPr>
          <w:i/>
          <w:sz w:val="24"/>
        </w:rPr>
        <w:t>Banco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Republica, the Colombia,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Central Bank.</w:t>
      </w:r>
    </w:p>
    <w:p>
      <w:pPr>
        <w:pStyle w:val="BodyText"/>
        <w:rPr>
          <w:i/>
        </w:rPr>
      </w:pPr>
    </w:p>
    <w:p>
      <w:pPr>
        <w:pStyle w:val="BodyText"/>
        <w:ind w:left="1622" w:right="994" w:hanging="812"/>
        <w:jc w:val="both"/>
      </w:pPr>
      <w:r>
        <w:rPr/>
        <w:drawing>
          <wp:anchor distT="0" distB="0" distL="0" distR="0" allowOverlap="1" layoutInCell="1" locked="0" behindDoc="1" simplePos="0" relativeHeight="478007296">
            <wp:simplePos x="0" y="0"/>
            <wp:positionH relativeFrom="page">
              <wp:posOffset>1485138</wp:posOffset>
            </wp:positionH>
            <wp:positionV relativeFrom="paragraph">
              <wp:posOffset>369863</wp:posOffset>
            </wp:positionV>
            <wp:extent cx="5102225" cy="5044439"/>
            <wp:effectExtent l="0" t="0" r="0" b="0"/>
            <wp:wrapNone/>
            <wp:docPr id="28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Sander,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Migrant</w:t>
      </w:r>
      <w:r>
        <w:rPr>
          <w:spacing w:val="1"/>
        </w:rPr>
        <w:t> </w:t>
      </w:r>
      <w:r>
        <w:rPr/>
        <w:t>Remittances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Countries—A</w:t>
      </w:r>
      <w:r>
        <w:rPr>
          <w:spacing w:val="1"/>
        </w:rPr>
        <w:t> </w:t>
      </w:r>
      <w:r>
        <w:rPr/>
        <w:t>Scoping</w:t>
      </w:r>
      <w:r>
        <w:rPr>
          <w:spacing w:val="1"/>
        </w:rPr>
        <w:t> </w:t>
      </w:r>
      <w:r>
        <w:rPr/>
        <w:t>Study:</w:t>
      </w:r>
      <w:r>
        <w:rPr>
          <w:spacing w:val="1"/>
        </w:rPr>
        <w:t> </w:t>
      </w:r>
      <w:r>
        <w:rPr/>
        <w:t>Overview and Introduction to Issues for Pro-Poor Financial Services. Prepared by</w:t>
      </w:r>
      <w:r>
        <w:rPr>
          <w:spacing w:val="-57"/>
        </w:rPr>
        <w:t> </w:t>
      </w:r>
      <w:r>
        <w:rPr/>
        <w:t>Bannock Consulting for the U.K. Department for International Development,</w:t>
      </w:r>
      <w:r>
        <w:rPr>
          <w:spacing w:val="1"/>
        </w:rPr>
        <w:t> </w:t>
      </w:r>
      <w:r>
        <w:rPr/>
        <w:t>London.</w:t>
      </w:r>
    </w:p>
    <w:p>
      <w:pPr>
        <w:pStyle w:val="BodyText"/>
      </w:pPr>
    </w:p>
    <w:p>
      <w:pPr>
        <w:pStyle w:val="BodyText"/>
        <w:ind w:left="1622" w:right="1000" w:hanging="812"/>
        <w:jc w:val="both"/>
      </w:pPr>
      <w:r>
        <w:rPr/>
        <w:t>Sander, C. and Maimbo, S.M. 2003. Migrant Labour Remittances in Africa: Reducing</w:t>
      </w:r>
      <w:r>
        <w:rPr>
          <w:spacing w:val="1"/>
        </w:rPr>
        <w:t> </w:t>
      </w:r>
      <w:r>
        <w:rPr/>
        <w:t>Obstacles to Developmental Contributions.</w:t>
      </w:r>
      <w:r>
        <w:rPr>
          <w:spacing w:val="1"/>
        </w:rPr>
        <w:t> </w:t>
      </w:r>
      <w:r>
        <w:rPr/>
        <w:t>Africa Region Working Paper Series</w:t>
      </w:r>
      <w:r>
        <w:rPr>
          <w:spacing w:val="-57"/>
        </w:rPr>
        <w:t> </w:t>
      </w:r>
      <w:r>
        <w:rPr/>
        <w:t>No.64.</w:t>
      </w:r>
    </w:p>
    <w:p>
      <w:pPr>
        <w:pStyle w:val="BodyText"/>
        <w:spacing w:before="1"/>
      </w:pPr>
    </w:p>
    <w:p>
      <w:pPr>
        <w:pStyle w:val="BodyText"/>
        <w:ind w:left="1622" w:right="997" w:hanging="812"/>
        <w:jc w:val="both"/>
      </w:pPr>
      <w:r>
        <w:rPr/>
        <w:t>Schoorl, J.J., Heering, L., Esveldt,I., Groenewold, G.,</w:t>
      </w:r>
      <w:r>
        <w:rPr>
          <w:spacing w:val="1"/>
        </w:rPr>
        <w:t> </w:t>
      </w:r>
      <w:r>
        <w:rPr/>
        <w:t>van der Erf, R. F., Bosch, A.M., de</w:t>
      </w:r>
      <w:r>
        <w:rPr>
          <w:spacing w:val="-57"/>
        </w:rPr>
        <w:t> </w:t>
      </w:r>
      <w:r>
        <w:rPr/>
        <w:t>Valk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Bruijn,</w:t>
      </w:r>
      <w:r>
        <w:rPr>
          <w:spacing w:val="1"/>
        </w:rPr>
        <w:t> </w:t>
      </w:r>
      <w:r>
        <w:rPr/>
        <w:t>B.J..</w:t>
      </w:r>
      <w:r>
        <w:rPr>
          <w:spacing w:val="1"/>
        </w:rPr>
        <w:t> </w:t>
      </w:r>
      <w:r>
        <w:rPr/>
        <w:t>2000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Push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Pull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Migration:</w:t>
      </w:r>
      <w:r>
        <w:rPr>
          <w:spacing w:val="-1"/>
        </w:rPr>
        <w:t> </w:t>
      </w:r>
      <w:r>
        <w:rPr/>
        <w:t>a Comparative</w:t>
      </w:r>
      <w:r>
        <w:rPr>
          <w:spacing w:val="-1"/>
        </w:rPr>
        <w:t> </w:t>
      </w:r>
      <w:r>
        <w:rPr/>
        <w:t>Report.</w:t>
      </w:r>
      <w:r>
        <w:rPr>
          <w:spacing w:val="-1"/>
        </w:rPr>
        <w:t> </w:t>
      </w:r>
      <w:r>
        <w:rPr/>
        <w:t>Research report</w:t>
      </w:r>
      <w:r>
        <w:rPr>
          <w:spacing w:val="1"/>
        </w:rPr>
        <w:t> </w:t>
      </w:r>
      <w:r>
        <w:rPr/>
        <w:t>3/2000/E/no.14.</w:t>
      </w:r>
    </w:p>
    <w:p>
      <w:pPr>
        <w:pStyle w:val="BodyText"/>
      </w:pPr>
    </w:p>
    <w:p>
      <w:pPr>
        <w:spacing w:before="0"/>
        <w:ind w:left="1531" w:right="992" w:hanging="720"/>
        <w:jc w:val="both"/>
        <w:rPr>
          <w:i/>
          <w:sz w:val="24"/>
        </w:rPr>
      </w:pPr>
      <w:r>
        <w:rPr>
          <w:sz w:val="24"/>
        </w:rPr>
        <w:t>Sekantsi,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Volatility on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60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Exports to the United States: A Bounds Test Approach.</w:t>
      </w:r>
      <w:r>
        <w:rPr>
          <w:spacing w:val="1"/>
          <w:sz w:val="24"/>
        </w:rPr>
        <w:t> </w:t>
      </w:r>
      <w:r>
        <w:rPr>
          <w:i/>
          <w:sz w:val="24"/>
        </w:rPr>
        <w:t>Journal of 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 and Business Studies. ISSN 1843-763X Volume:IV Issues 2 pp. 119-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139.</w:t>
      </w:r>
    </w:p>
    <w:p>
      <w:pPr>
        <w:pStyle w:val="BodyText"/>
        <w:rPr>
          <w:i/>
        </w:rPr>
      </w:pPr>
    </w:p>
    <w:p>
      <w:pPr>
        <w:pStyle w:val="BodyText"/>
        <w:ind w:left="1531" w:right="993" w:hanging="720"/>
        <w:jc w:val="both"/>
      </w:pPr>
      <w:r>
        <w:rPr/>
        <w:t>Sharifi-Renani, H., Mirfatah, M., 2012.</w:t>
      </w:r>
      <w:r>
        <w:rPr>
          <w:spacing w:val="1"/>
        </w:rPr>
        <w:t> </w:t>
      </w:r>
      <w:r>
        <w:rPr/>
        <w:t>The Impact of Exchange Rate Volatility on</w:t>
      </w:r>
      <w:r>
        <w:rPr>
          <w:spacing w:val="1"/>
        </w:rPr>
        <w:t> </w:t>
      </w:r>
      <w:r>
        <w:rPr/>
        <w:t>Foreign Direct Investment in Iran.</w:t>
      </w:r>
      <w:r>
        <w:rPr>
          <w:spacing w:val="1"/>
        </w:rPr>
        <w:t> </w:t>
      </w:r>
      <w:r>
        <w:rPr>
          <w:i/>
        </w:rPr>
        <w:t>Procedia Economics and Fiance </w:t>
      </w:r>
      <w:r>
        <w:rPr/>
        <w:t>1: 365-373.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online at</w:t>
      </w:r>
      <w:r>
        <w:rPr>
          <w:spacing w:val="1"/>
        </w:rPr>
        <w:t> </w:t>
      </w:r>
      <w:hyperlink r:id="rId36">
        <w:r>
          <w:rPr/>
          <w:t>www.sciencedirect.com</w:t>
        </w:r>
      </w:hyperlink>
      <w:r>
        <w:rPr/>
        <w:t>.</w:t>
      </w:r>
    </w:p>
    <w:p>
      <w:pPr>
        <w:pStyle w:val="BodyText"/>
        <w:spacing w:before="1"/>
      </w:pPr>
    </w:p>
    <w:p>
      <w:pPr>
        <w:pStyle w:val="BodyText"/>
        <w:ind w:left="1531" w:right="994" w:hanging="720"/>
        <w:jc w:val="both"/>
      </w:pPr>
      <w:r>
        <w:rPr/>
        <w:t>Silumbu, E.B.D. 1995. The Role of Exchange Rate and Monetary Policy in the Monetary</w:t>
      </w:r>
      <w:r>
        <w:rPr>
          <w:spacing w:val="1"/>
        </w:rPr>
        <w:t> </w:t>
      </w:r>
      <w:r>
        <w:rPr/>
        <w:t>Approach to the Balance of Payments: Evidence from Malawi.</w:t>
      </w:r>
      <w:r>
        <w:rPr>
          <w:spacing w:val="1"/>
        </w:rPr>
        <w:t> </w:t>
      </w:r>
      <w:r>
        <w:rPr>
          <w:i/>
        </w:rPr>
        <w:t>African Economic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Consortium,</w:t>
      </w:r>
      <w:r>
        <w:rPr>
          <w:i/>
          <w:spacing w:val="1"/>
        </w:rPr>
        <w:t> </w:t>
      </w:r>
      <w:r>
        <w:rPr/>
        <w:t>Research Paper 37,</w:t>
      </w:r>
      <w:r>
        <w:rPr>
          <w:spacing w:val="1"/>
        </w:rPr>
        <w:t> </w:t>
      </w:r>
      <w:r>
        <w:rPr/>
        <w:t>1995.</w:t>
      </w:r>
    </w:p>
    <w:p>
      <w:pPr>
        <w:pStyle w:val="BodyText"/>
      </w:pPr>
    </w:p>
    <w:p>
      <w:pPr>
        <w:pStyle w:val="BodyText"/>
        <w:ind w:left="1531" w:right="990" w:hanging="720"/>
        <w:jc w:val="both"/>
      </w:pPr>
      <w:r>
        <w:rPr/>
        <w:t>Sodersten, R.O. 1989. International Economics, New York, Harper and Row, pp, 226-</w:t>
      </w:r>
      <w:r>
        <w:rPr>
          <w:spacing w:val="1"/>
        </w:rPr>
        <w:t> </w:t>
      </w:r>
      <w:r>
        <w:rPr/>
        <w:t>241.</w:t>
      </w:r>
    </w:p>
    <w:p>
      <w:pPr>
        <w:pStyle w:val="BodyText"/>
      </w:pPr>
    </w:p>
    <w:p>
      <w:pPr>
        <w:pStyle w:val="BodyText"/>
        <w:ind w:left="1531" w:right="1583" w:hanging="720"/>
      </w:pPr>
      <w:r>
        <w:rPr/>
        <w:t>Stock, J.H. and Watson, M. W. 1993. A simple estimator of cointegrating vectors in</w:t>
      </w:r>
      <w:r>
        <w:rPr>
          <w:spacing w:val="-58"/>
        </w:rPr>
        <w:t> </w:t>
      </w:r>
      <w:r>
        <w:rPr/>
        <w:t>higher</w:t>
      </w:r>
      <w:r>
        <w:rPr>
          <w:spacing w:val="-1"/>
        </w:rPr>
        <w:t> </w:t>
      </w:r>
      <w:r>
        <w:rPr/>
        <w:t>order integrated systems, Econometrica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61(4)</w:t>
      </w:r>
      <w:r>
        <w:rPr>
          <w:spacing w:val="-1"/>
        </w:rPr>
        <w:t> </w:t>
      </w:r>
      <w:r>
        <w:rPr/>
        <w:t>:783-820.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891" w:val="left" w:leader="none"/>
          <w:tab w:pos="3437" w:val="left" w:leader="none"/>
        </w:tabs>
        <w:spacing w:before="90"/>
        <w:ind w:left="1622" w:right="999" w:hanging="812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and</w:t>
      </w:r>
      <w:r>
        <w:rPr>
          <w:sz w:val="24"/>
          <w:u w:val="single"/>
        </w:rPr>
        <w:tab/>
      </w:r>
      <w:r>
        <w:rPr>
          <w:sz w:val="24"/>
        </w:rPr>
        <w:t>1988. Testing for common trend.</w:t>
      </w:r>
      <w:r>
        <w:rPr>
          <w:spacing w:val="1"/>
          <w:sz w:val="24"/>
        </w:rPr>
        <w:t> </w:t>
      </w:r>
      <w:r>
        <w:rPr>
          <w:i/>
          <w:sz w:val="24"/>
        </w:rPr>
        <w:t>Journal of the 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Association, 83,</w:t>
      </w:r>
      <w:r>
        <w:rPr>
          <w:i/>
          <w:spacing w:val="1"/>
          <w:sz w:val="24"/>
        </w:rPr>
        <w:t> </w:t>
      </w:r>
      <w:r>
        <w:rPr>
          <w:sz w:val="24"/>
        </w:rPr>
        <w:t>1097-1107.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1" w:right="1001" w:hanging="720"/>
        <w:jc w:val="both"/>
      </w:pPr>
      <w:r>
        <w:rPr/>
        <w:t>Sultan, R. 2010. Short-run and</w:t>
      </w:r>
      <w:r>
        <w:rPr>
          <w:spacing w:val="60"/>
        </w:rPr>
        <w:t> </w:t>
      </w:r>
      <w:r>
        <w:rPr/>
        <w:t>Long-run Elasticities of Gasoline Demand in Mauritius:</w:t>
      </w:r>
      <w:r>
        <w:rPr>
          <w:spacing w:val="1"/>
        </w:rPr>
        <w:t> </w:t>
      </w:r>
      <w:r>
        <w:rPr/>
        <w:t>An ARDL Bounds Test Approach. Journal of Emerging Trends in Economics 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Sciences (JETEMS) 1 (2): 90-95.</w:t>
      </w:r>
    </w:p>
    <w:p>
      <w:pPr>
        <w:spacing w:after="0"/>
        <w:jc w:val="both"/>
        <w:sectPr>
          <w:pgSz w:w="12240" w:h="15840"/>
          <w:pgMar w:header="0" w:footer="1015" w:top="1360" w:bottom="1200" w:left="1320" w:right="440"/>
        </w:sectPr>
      </w:pPr>
    </w:p>
    <w:p>
      <w:pPr>
        <w:spacing w:before="72"/>
        <w:ind w:left="1531" w:right="995" w:hanging="720"/>
        <w:jc w:val="both"/>
        <w:rPr>
          <w:i/>
          <w:sz w:val="24"/>
        </w:rPr>
      </w:pPr>
      <w:r>
        <w:rPr>
          <w:sz w:val="24"/>
        </w:rPr>
        <w:t>Swanson, J.C. 1979. The Consequences of Emigration for Economic Development. 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of the Literature,</w:t>
      </w:r>
      <w:r>
        <w:rPr>
          <w:spacing w:val="3"/>
          <w:sz w:val="24"/>
        </w:rPr>
        <w:t> </w:t>
      </w:r>
      <w:r>
        <w:rPr>
          <w:i/>
          <w:sz w:val="24"/>
        </w:rPr>
        <w:t>Papers in Anthropology, 20: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39-56.</w:t>
      </w:r>
    </w:p>
    <w:p>
      <w:pPr>
        <w:pStyle w:val="BodyText"/>
        <w:rPr>
          <w:i/>
        </w:rPr>
      </w:pPr>
    </w:p>
    <w:p>
      <w:pPr>
        <w:pStyle w:val="BodyText"/>
        <w:ind w:left="1531" w:right="997" w:hanging="720"/>
        <w:jc w:val="both"/>
        <w:rPr>
          <w:i/>
        </w:rPr>
      </w:pPr>
      <w:r>
        <w:rPr/>
        <w:t>Takagi, S. and Shi, Z. 2011. Exchange rate movements and foreign direct investment</w:t>
      </w:r>
      <w:r>
        <w:rPr>
          <w:spacing w:val="1"/>
        </w:rPr>
        <w:t> </w:t>
      </w:r>
      <w:r>
        <w:rPr/>
        <w:t>(FDI):</w:t>
      </w:r>
      <w:r>
        <w:rPr>
          <w:spacing w:val="-1"/>
        </w:rPr>
        <w:t> </w:t>
      </w:r>
      <w:r>
        <w:rPr/>
        <w:t>Japanese</w:t>
      </w:r>
      <w:r>
        <w:rPr>
          <w:spacing w:val="-2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Asia,</w:t>
      </w:r>
      <w:r>
        <w:rPr>
          <w:spacing w:val="-1"/>
        </w:rPr>
        <w:t> </w:t>
      </w:r>
      <w:r>
        <w:rPr/>
        <w:t>1987-2008.</w:t>
      </w:r>
      <w:r>
        <w:rPr>
          <w:spacing w:val="-1"/>
        </w:rPr>
        <w:t> </w:t>
      </w:r>
      <w:r>
        <w:rPr>
          <w:i/>
        </w:rPr>
        <w:t>Japan and</w:t>
      </w:r>
      <w:r>
        <w:rPr>
          <w:i/>
          <w:spacing w:val="1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Economy.</w:t>
      </w:r>
    </w:p>
    <w:p>
      <w:pPr>
        <w:pStyle w:val="BodyText"/>
        <w:rPr>
          <w:i/>
        </w:rPr>
      </w:pPr>
    </w:p>
    <w:p>
      <w:pPr>
        <w:spacing w:before="0"/>
        <w:ind w:left="1442" w:right="998" w:hanging="632"/>
        <w:jc w:val="both"/>
        <w:rPr>
          <w:i/>
          <w:sz w:val="24"/>
        </w:rPr>
      </w:pPr>
      <w:r>
        <w:rPr>
          <w:sz w:val="24"/>
        </w:rPr>
        <w:t>Taylor, J. 2000. Low Inflation, pass-through, and the pricing Power of Firms.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44(7),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1389-1408.</w:t>
      </w:r>
    </w:p>
    <w:p>
      <w:pPr>
        <w:pStyle w:val="BodyText"/>
        <w:rPr>
          <w:i/>
        </w:rPr>
      </w:pPr>
    </w:p>
    <w:p>
      <w:pPr>
        <w:spacing w:before="0"/>
        <w:ind w:left="1442" w:right="994" w:hanging="632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8007808">
            <wp:simplePos x="0" y="0"/>
            <wp:positionH relativeFrom="page">
              <wp:posOffset>1485138</wp:posOffset>
            </wp:positionH>
            <wp:positionV relativeFrom="paragraph">
              <wp:posOffset>19343</wp:posOffset>
            </wp:positionV>
            <wp:extent cx="5102225" cy="5044439"/>
            <wp:effectExtent l="0" t="0" r="0" b="0"/>
            <wp:wrapNone/>
            <wp:docPr id="28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Thorbecke, W. and Kato, A, 2011. The Effect of Exchange Rate Changes on Japanese</w:t>
      </w:r>
      <w:r>
        <w:rPr>
          <w:spacing w:val="1"/>
          <w:sz w:val="24"/>
        </w:rPr>
        <w:t> </w:t>
      </w:r>
      <w:r>
        <w:rPr>
          <w:sz w:val="24"/>
        </w:rPr>
        <w:t>Consumption</w:t>
      </w:r>
      <w:r>
        <w:rPr>
          <w:spacing w:val="1"/>
          <w:sz w:val="24"/>
        </w:rPr>
        <w:t> </w:t>
      </w:r>
      <w:r>
        <w:rPr>
          <w:sz w:val="24"/>
        </w:rPr>
        <w:t>Exports.</w:t>
      </w:r>
      <w:r>
        <w:rPr>
          <w:spacing w:val="1"/>
          <w:sz w:val="24"/>
        </w:rPr>
        <w:t> </w:t>
      </w:r>
      <w:r>
        <w:rPr>
          <w:sz w:val="24"/>
        </w:rPr>
        <w:t>Macroeconomics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papers</w:t>
      </w:r>
      <w:r>
        <w:rPr>
          <w:spacing w:val="1"/>
          <w:sz w:val="24"/>
        </w:rPr>
        <w:t> </w:t>
      </w:r>
      <w:r>
        <w:rPr>
          <w:sz w:val="24"/>
        </w:rPr>
        <w:t>23238,</w:t>
      </w:r>
      <w:r>
        <w:rPr>
          <w:spacing w:val="1"/>
          <w:sz w:val="24"/>
        </w:rPr>
        <w:t> </w:t>
      </w:r>
      <w:r>
        <w:rPr>
          <w:i/>
          <w:sz w:val="24"/>
        </w:rPr>
        <w:t>East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Bureau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442" w:right="999" w:hanging="632"/>
        <w:jc w:val="both"/>
        <w:rPr>
          <w:i/>
          <w:sz w:val="24"/>
        </w:rPr>
      </w:pPr>
      <w:r>
        <w:rPr>
          <w:sz w:val="24"/>
        </w:rPr>
        <w:t>Thorbecke, W. and Kato, A. 2012. The Effect of Exchange Rate Changes on Germany‘s</w:t>
      </w:r>
      <w:r>
        <w:rPr>
          <w:spacing w:val="1"/>
          <w:sz w:val="24"/>
        </w:rPr>
        <w:t> </w:t>
      </w:r>
      <w:r>
        <w:rPr>
          <w:sz w:val="24"/>
        </w:rPr>
        <w:t>Exports.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papers12081,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Industry (RIETI).</w:t>
      </w:r>
    </w:p>
    <w:p>
      <w:pPr>
        <w:pStyle w:val="BodyText"/>
        <w:rPr>
          <w:i/>
        </w:rPr>
      </w:pPr>
    </w:p>
    <w:p>
      <w:pPr>
        <w:pStyle w:val="BodyText"/>
        <w:ind w:left="1442" w:right="993" w:hanging="632"/>
      </w:pPr>
      <w:r>
        <w:rPr/>
        <w:t>Tiwari,</w:t>
      </w:r>
      <w:r>
        <w:rPr>
          <w:spacing w:val="2"/>
        </w:rPr>
        <w:t> </w:t>
      </w:r>
      <w:r>
        <w:rPr/>
        <w:t>R.</w:t>
      </w:r>
      <w:r>
        <w:rPr>
          <w:spacing w:val="2"/>
        </w:rPr>
        <w:t> </w:t>
      </w:r>
      <w:r>
        <w:rPr/>
        <w:t>2003.</w:t>
      </w:r>
      <w:r>
        <w:rPr>
          <w:spacing w:val="3"/>
        </w:rPr>
        <w:t> </w:t>
      </w:r>
      <w:r>
        <w:rPr/>
        <w:t>Post-Crisis</w:t>
      </w:r>
      <w:r>
        <w:rPr>
          <w:spacing w:val="3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Regimes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South-East</w:t>
      </w:r>
      <w:r>
        <w:rPr>
          <w:spacing w:val="3"/>
        </w:rPr>
        <w:t> </w:t>
      </w:r>
      <w:r>
        <w:rPr/>
        <w:t>Asia:</w:t>
      </w:r>
      <w:r>
        <w:rPr>
          <w:spacing w:val="4"/>
        </w:rPr>
        <w:t> </w:t>
      </w:r>
      <w:r>
        <w:rPr/>
        <w:t>An</w:t>
      </w:r>
      <w:r>
        <w:rPr>
          <w:spacing w:val="2"/>
        </w:rPr>
        <w:t> </w:t>
      </w:r>
      <w:r>
        <w:rPr/>
        <w:t>Empirical</w:t>
      </w:r>
      <w:r>
        <w:rPr>
          <w:spacing w:val="3"/>
        </w:rPr>
        <w:t> </w:t>
      </w:r>
      <w:r>
        <w:rPr/>
        <w:t>Survey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De-facto Poli,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hyperlink r:id="rId37">
        <w:r>
          <w:rPr/>
          <w:t>http://www.rrz.uni-hamburg.de/RRZ/R.Tiwari/.</w:t>
        </w:r>
      </w:hyperlink>
    </w:p>
    <w:p>
      <w:pPr>
        <w:pStyle w:val="BodyText"/>
      </w:pPr>
    </w:p>
    <w:p>
      <w:pPr>
        <w:pStyle w:val="BodyText"/>
        <w:ind w:left="1442" w:right="993" w:hanging="632"/>
      </w:pPr>
      <w:r>
        <w:rPr/>
        <w:t>Vargas-Silva,</w:t>
      </w:r>
      <w:r>
        <w:rPr>
          <w:spacing w:val="19"/>
        </w:rPr>
        <w:t> </w:t>
      </w:r>
      <w:r>
        <w:rPr/>
        <w:t>C.,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Pozo,</w:t>
      </w:r>
      <w:r>
        <w:rPr>
          <w:spacing w:val="20"/>
        </w:rPr>
        <w:t> </w:t>
      </w:r>
      <w:r>
        <w:rPr/>
        <w:t>S.</w:t>
      </w:r>
      <w:r>
        <w:rPr>
          <w:spacing w:val="19"/>
        </w:rPr>
        <w:t> </w:t>
      </w:r>
      <w:r>
        <w:rPr/>
        <w:t>2006.</w:t>
      </w:r>
      <w:r>
        <w:rPr>
          <w:spacing w:val="20"/>
        </w:rPr>
        <w:t> </w:t>
      </w:r>
      <w:r>
        <w:rPr/>
        <w:t>Do</w:t>
      </w:r>
      <w:r>
        <w:rPr>
          <w:spacing w:val="19"/>
        </w:rPr>
        <w:t> </w:t>
      </w:r>
      <w:r>
        <w:rPr/>
        <w:t>Immigrants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Their</w:t>
      </w:r>
      <w:r>
        <w:rPr>
          <w:spacing w:val="19"/>
        </w:rPr>
        <w:t> </w:t>
      </w:r>
      <w:r>
        <w:rPr/>
        <w:t>Remittances</w:t>
      </w:r>
      <w:r>
        <w:rPr>
          <w:spacing w:val="20"/>
        </w:rPr>
        <w:t> </w:t>
      </w:r>
      <w:r>
        <w:rPr/>
        <w:t>Respond</w:t>
      </w:r>
      <w:r>
        <w:rPr>
          <w:spacing w:val="20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Rate?</w:t>
      </w:r>
      <w:r>
        <w:rPr>
          <w:spacing w:val="4"/>
        </w:rPr>
        <w:t> </w:t>
      </w:r>
      <w:r>
        <w:rPr/>
        <w:t>Burlington: University</w:t>
      </w:r>
      <w:r>
        <w:rPr>
          <w:spacing w:val="-5"/>
        </w:rPr>
        <w:t> </w:t>
      </w:r>
      <w:r>
        <w:rPr/>
        <w:t>of Vermont. Mimeo.</w:t>
      </w:r>
    </w:p>
    <w:p>
      <w:pPr>
        <w:pStyle w:val="BodyText"/>
      </w:pPr>
    </w:p>
    <w:p>
      <w:pPr>
        <w:spacing w:before="0"/>
        <w:ind w:left="1531" w:right="999" w:hanging="720"/>
        <w:jc w:val="left"/>
        <w:rPr>
          <w:sz w:val="24"/>
        </w:rPr>
      </w:pPr>
      <w:r>
        <w:rPr>
          <w:sz w:val="24"/>
        </w:rPr>
        <w:t>Whitman,</w:t>
      </w:r>
      <w:r>
        <w:rPr>
          <w:spacing w:val="6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V.</w:t>
      </w:r>
      <w:r>
        <w:rPr>
          <w:spacing w:val="6"/>
          <w:sz w:val="24"/>
        </w:rPr>
        <w:t> </w:t>
      </w:r>
      <w:r>
        <w:rPr>
          <w:sz w:val="24"/>
        </w:rPr>
        <w:t>1975.</w:t>
      </w:r>
      <w:r>
        <w:rPr>
          <w:spacing w:val="6"/>
          <w:sz w:val="24"/>
        </w:rPr>
        <w:t> </w:t>
      </w:r>
      <w:r>
        <w:rPr>
          <w:sz w:val="24"/>
        </w:rPr>
        <w:t>Global</w:t>
      </w:r>
      <w:r>
        <w:rPr>
          <w:spacing w:val="7"/>
          <w:sz w:val="24"/>
        </w:rPr>
        <w:t> </w:t>
      </w:r>
      <w:r>
        <w:rPr>
          <w:sz w:val="24"/>
        </w:rPr>
        <w:t>Monetarism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Monetary</w:t>
      </w:r>
      <w:r>
        <w:rPr>
          <w:spacing w:val="2"/>
          <w:sz w:val="24"/>
        </w:rPr>
        <w:t> </w:t>
      </w:r>
      <w:r>
        <w:rPr>
          <w:sz w:val="24"/>
        </w:rPr>
        <w:t>Approach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Balance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Payments.</w:t>
      </w:r>
      <w:r>
        <w:rPr>
          <w:spacing w:val="-1"/>
          <w:sz w:val="24"/>
        </w:rPr>
        <w:t> </w:t>
      </w:r>
      <w:r>
        <w:rPr>
          <w:i/>
          <w:sz w:val="24"/>
        </w:rPr>
        <w:t>Brookings Papers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Activity</w:t>
      </w:r>
      <w:r>
        <w:rPr>
          <w:sz w:val="24"/>
        </w:rPr>
        <w:t>, No. 3,</w:t>
      </w:r>
      <w:r>
        <w:rPr>
          <w:spacing w:val="-1"/>
          <w:sz w:val="24"/>
        </w:rPr>
        <w:t> </w:t>
      </w:r>
      <w:r>
        <w:rPr>
          <w:sz w:val="24"/>
        </w:rPr>
        <w:t>pp, 491-536.</w:t>
      </w:r>
    </w:p>
    <w:p>
      <w:pPr>
        <w:pStyle w:val="BodyText"/>
      </w:pPr>
    </w:p>
    <w:p>
      <w:pPr>
        <w:pStyle w:val="BodyText"/>
        <w:spacing w:before="1"/>
        <w:ind w:left="811"/>
      </w:pPr>
      <w:r>
        <w:rPr/>
        <w:t>Woodruff,</w:t>
      </w:r>
      <w:r>
        <w:rPr>
          <w:spacing w:val="3"/>
        </w:rPr>
        <w:t> </w:t>
      </w:r>
      <w:r>
        <w:rPr/>
        <w:t>C.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Zenteno,</w:t>
      </w:r>
      <w:r>
        <w:rPr>
          <w:spacing w:val="4"/>
        </w:rPr>
        <w:t> </w:t>
      </w:r>
      <w:r>
        <w:rPr/>
        <w:t>R.</w:t>
      </w:r>
      <w:r>
        <w:rPr>
          <w:spacing w:val="3"/>
        </w:rPr>
        <w:t> </w:t>
      </w:r>
      <w:r>
        <w:rPr/>
        <w:t>2007.</w:t>
      </w:r>
      <w:r>
        <w:rPr>
          <w:spacing w:val="4"/>
        </w:rPr>
        <w:t> </w:t>
      </w:r>
      <w:r>
        <w:rPr/>
        <w:t>Migration</w:t>
      </w:r>
      <w:r>
        <w:rPr>
          <w:spacing w:val="3"/>
        </w:rPr>
        <w:t> </w:t>
      </w:r>
      <w:r>
        <w:rPr/>
        <w:t>networks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microenterprises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Mexico.</w:t>
      </w:r>
    </w:p>
    <w:p>
      <w:pPr>
        <w:pStyle w:val="BodyText"/>
        <w:ind w:left="1531"/>
      </w:pP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82,</w:t>
      </w:r>
      <w:r>
        <w:rPr>
          <w:spacing w:val="-1"/>
        </w:rPr>
        <w:t> </w:t>
      </w:r>
      <w:r>
        <w:rPr/>
        <w:t>509–528.</w:t>
      </w:r>
    </w:p>
    <w:p>
      <w:pPr>
        <w:pStyle w:val="BodyText"/>
      </w:pPr>
    </w:p>
    <w:p>
      <w:pPr>
        <w:pStyle w:val="BodyText"/>
        <w:ind w:left="1711" w:right="1006" w:hanging="900"/>
        <w:jc w:val="both"/>
      </w:pPr>
      <w:r>
        <w:rPr/>
        <w:t>Xiong, R.S., 2005. Impact of Exchange Rate Uncertainty on Foreign Direct Investment,</w:t>
      </w:r>
      <w:r>
        <w:rPr>
          <w:spacing w:val="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in University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Wisconsin-Milwaukee.</w:t>
      </w:r>
    </w:p>
    <w:p>
      <w:pPr>
        <w:pStyle w:val="BodyText"/>
      </w:pPr>
    </w:p>
    <w:p>
      <w:pPr>
        <w:spacing w:before="0"/>
        <w:ind w:left="1711" w:right="998" w:hanging="900"/>
        <w:jc w:val="both"/>
        <w:rPr>
          <w:i/>
          <w:sz w:val="24"/>
        </w:rPr>
      </w:pPr>
      <w:r>
        <w:rPr>
          <w:sz w:val="24"/>
        </w:rPr>
        <w:t>Yaya,</w:t>
      </w:r>
      <w:r>
        <w:rPr>
          <w:spacing w:val="1"/>
          <w:sz w:val="24"/>
        </w:rPr>
        <w:t> </w:t>
      </w:r>
      <w:r>
        <w:rPr>
          <w:sz w:val="24"/>
        </w:rPr>
        <w:t>M.E.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Lu,</w:t>
      </w:r>
      <w:r>
        <w:rPr>
          <w:spacing w:val="1"/>
          <w:sz w:val="24"/>
        </w:rPr>
        <w:t> </w:t>
      </w:r>
      <w:r>
        <w:rPr>
          <w:sz w:val="24"/>
        </w:rPr>
        <w:t>X.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Short-Run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Exchange Rate and Balance of Trade in China. </w:t>
      </w:r>
      <w:r>
        <w:rPr>
          <w:i/>
          <w:sz w:val="24"/>
        </w:rPr>
        <w:t>International Journal of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March 201:9(1), 15-27.</w:t>
      </w:r>
    </w:p>
    <w:p>
      <w:pPr>
        <w:pStyle w:val="BodyText"/>
        <w:rPr>
          <w:i/>
        </w:rPr>
      </w:pPr>
    </w:p>
    <w:p>
      <w:pPr>
        <w:pStyle w:val="BodyText"/>
        <w:ind w:left="1711" w:right="997" w:hanging="900"/>
        <w:jc w:val="both"/>
      </w:pPr>
      <w:r>
        <w:rPr/>
        <w:t>Zhang, Z. 1999. Foreign Exchange Rate Reform, the Balance of Trade and Economic</w:t>
      </w:r>
      <w:r>
        <w:rPr>
          <w:spacing w:val="1"/>
        </w:rPr>
        <w:t> </w:t>
      </w:r>
      <w:r>
        <w:rPr/>
        <w:t>Growth: An Empirical Analysis for China.</w:t>
      </w:r>
      <w:r>
        <w:rPr>
          <w:spacing w:val="1"/>
        </w:rPr>
        <w:t> </w:t>
      </w:r>
      <w:r>
        <w:rPr>
          <w:i/>
        </w:rPr>
        <w:t>Journal of Economic Development</w:t>
      </w:r>
      <w:r>
        <w:rPr>
          <w:i/>
          <w:spacing w:val="1"/>
        </w:rPr>
        <w:t> </w:t>
      </w:r>
      <w:r>
        <w:rPr/>
        <w:t>Vol. 24, No.2.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811"/>
      </w:pPr>
      <w:r>
        <w:rPr/>
        <w:t>Bank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Sierra Leone:</w:t>
      </w:r>
      <w:r>
        <w:rPr>
          <w:spacing w:val="-1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Account,</w:t>
      </w:r>
      <w:r>
        <w:rPr>
          <w:spacing w:val="-1"/>
        </w:rPr>
        <w:t> </w:t>
      </w:r>
      <w:r>
        <w:rPr/>
        <w:t>2012,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972" w:val="left" w:leader="none"/>
        </w:tabs>
        <w:ind w:left="811"/>
      </w:pPr>
      <w:r>
        <w:rPr>
          <w:u w:val="single"/>
        </w:rPr>
        <w:t> </w:t>
        <w:tab/>
      </w:r>
      <w:r>
        <w:rPr/>
        <w:t>Bulletin</w:t>
      </w:r>
      <w:r>
        <w:rPr>
          <w:spacing w:val="-5"/>
        </w:rPr>
        <w:t> </w:t>
      </w:r>
      <w:r>
        <w:rPr/>
        <w:t>July-December,</w:t>
      </w:r>
      <w:r>
        <w:rPr>
          <w:spacing w:val="-1"/>
        </w:rPr>
        <w:t> </w:t>
      </w:r>
      <w:r>
        <w:rPr/>
        <w:t>2012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972" w:val="left" w:leader="none"/>
        </w:tabs>
        <w:ind w:left="811"/>
      </w:pPr>
      <w:r>
        <w:rPr>
          <w:u w:val="single"/>
        </w:rPr>
        <w:t> </w:t>
        <w:tab/>
      </w:r>
      <w:r>
        <w:rPr/>
        <w:t>Monthly</w:t>
      </w:r>
      <w:r>
        <w:rPr>
          <w:spacing w:val="-6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Review</w:t>
      </w:r>
      <w:r>
        <w:rPr>
          <w:spacing w:val="1"/>
        </w:rPr>
        <w:t> </w:t>
      </w:r>
      <w:r>
        <w:rPr/>
        <w:t>(Various</w:t>
      </w:r>
      <w:r>
        <w:rPr>
          <w:spacing w:val="-1"/>
        </w:rPr>
        <w:t> </w:t>
      </w:r>
      <w:r>
        <w:rPr/>
        <w:t>Copies)</w:t>
      </w:r>
    </w:p>
    <w:p>
      <w:pPr>
        <w:spacing w:after="0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line="276" w:lineRule="auto" w:before="74"/>
        <w:ind w:left="1442" w:right="1093" w:hanging="632"/>
      </w:pPr>
      <w:r>
        <w:rPr/>
        <w:t>UNCTAD</w:t>
      </w:r>
      <w:r>
        <w:rPr>
          <w:spacing w:val="-3"/>
        </w:rPr>
        <w:t> </w:t>
      </w:r>
      <w:r>
        <w:rPr/>
        <w:t>2011.</w:t>
      </w:r>
      <w:r>
        <w:rPr>
          <w:spacing w:val="-1"/>
        </w:rPr>
        <w:t> </w:t>
      </w:r>
      <w:r>
        <w:rPr/>
        <w:t>Trade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Report, 2011.</w:t>
      </w:r>
      <w:r>
        <w:rPr>
          <w:spacing w:val="58"/>
        </w:rPr>
        <w:t> </w:t>
      </w:r>
      <w:r>
        <w:rPr/>
        <w:t>Post-Crisis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the World economy.</w:t>
      </w:r>
      <w:r>
        <w:rPr>
          <w:spacing w:val="1"/>
        </w:rPr>
        <w:t> </w:t>
      </w:r>
      <w:r>
        <w:rPr/>
        <w:t>Report by the Secretariat of the United Nations Conference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 Development.</w:t>
      </w:r>
    </w:p>
    <w:p>
      <w:pPr>
        <w:pStyle w:val="BodyText"/>
        <w:tabs>
          <w:tab w:pos="7421" w:val="left" w:leader="none"/>
        </w:tabs>
        <w:spacing w:before="198"/>
        <w:ind w:left="1531" w:right="1002" w:hanging="720"/>
      </w:pPr>
      <w:r>
        <w:rPr/>
        <w:drawing>
          <wp:anchor distT="0" distB="0" distL="0" distR="0" allowOverlap="1" layoutInCell="1" locked="0" behindDoc="1" simplePos="0" relativeHeight="478008320">
            <wp:simplePos x="0" y="0"/>
            <wp:positionH relativeFrom="page">
              <wp:posOffset>1485138</wp:posOffset>
            </wp:positionH>
            <wp:positionV relativeFrom="paragraph">
              <wp:posOffset>990893</wp:posOffset>
            </wp:positionV>
            <wp:extent cx="5102225" cy="5044439"/>
            <wp:effectExtent l="0" t="0" r="0" b="0"/>
            <wp:wrapNone/>
            <wp:docPr id="29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World</w:t>
      </w:r>
      <w:r>
        <w:rPr>
          <w:spacing w:val="41"/>
        </w:rPr>
        <w:t> </w:t>
      </w:r>
      <w:r>
        <w:rPr/>
        <w:t>Bank</w:t>
      </w:r>
      <w:r>
        <w:rPr>
          <w:spacing w:val="41"/>
        </w:rPr>
        <w:t> </w:t>
      </w:r>
      <w:r>
        <w:rPr/>
        <w:t>2011.</w:t>
      </w:r>
      <w:r>
        <w:rPr>
          <w:spacing w:val="40"/>
        </w:rPr>
        <w:t> </w:t>
      </w:r>
      <w:r>
        <w:rPr/>
        <w:t>Migration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Remittances</w:t>
      </w:r>
      <w:r>
        <w:rPr>
          <w:spacing w:val="41"/>
        </w:rPr>
        <w:t> </w:t>
      </w:r>
      <w:r>
        <w:rPr/>
        <w:t>Fact</w:t>
      </w:r>
      <w:r>
        <w:rPr>
          <w:spacing w:val="42"/>
        </w:rPr>
        <w:t> </w:t>
      </w:r>
      <w:r>
        <w:rPr/>
        <w:t>book</w:t>
      </w:r>
      <w:r>
        <w:rPr>
          <w:spacing w:val="40"/>
        </w:rPr>
        <w:t> </w:t>
      </w:r>
      <w:r>
        <w:rPr/>
        <w:t>2011.</w:t>
        <w:tab/>
        <w:t>Second</w:t>
      </w:r>
      <w:r>
        <w:rPr>
          <w:spacing w:val="38"/>
        </w:rPr>
        <w:t> </w:t>
      </w:r>
      <w:r>
        <w:rPr/>
        <w:t>Edition,</w:t>
      </w:r>
      <w:r>
        <w:rPr>
          <w:spacing w:val="34"/>
        </w:rPr>
        <w:t> </w:t>
      </w:r>
      <w:r>
        <w:rPr/>
        <w:t>The</w:t>
      </w:r>
      <w:r>
        <w:rPr>
          <w:spacing w:val="-57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Bank.</w:t>
      </w:r>
    </w:p>
    <w:p>
      <w:pPr>
        <w:spacing w:after="0"/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1"/>
        <w:ind w:left="825"/>
      </w:pPr>
      <w:bookmarkStart w:name="_TOC_250000" w:id="73"/>
      <w:bookmarkEnd w:id="73"/>
      <w:r>
        <w:rPr/>
        <w:t>APPENDICES</w:t>
      </w:r>
    </w:p>
    <w:p>
      <w:pPr>
        <w:pStyle w:val="Heading2"/>
        <w:spacing w:line="276" w:lineRule="auto" w:before="51"/>
        <w:ind w:left="2191" w:right="434" w:hanging="1380"/>
      </w:pPr>
      <w:r>
        <w:rPr/>
        <w:t>Appendix 1:</w:t>
      </w:r>
      <w:r>
        <w:rPr>
          <w:spacing w:val="1"/>
        </w:rPr>
        <w:t> </w:t>
      </w:r>
      <w:r>
        <w:rPr/>
        <w:t>The Autoregressive Distributed Lags (ARDL) Model of the Main</w:t>
      </w:r>
      <w:r>
        <w:rPr>
          <w:spacing w:val="-57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of Payments</w:t>
      </w:r>
    </w:p>
    <w:p>
      <w:pPr>
        <w:spacing w:before="11"/>
        <w:ind w:left="811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Overall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Balance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Payments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Equation</w:t>
      </w:r>
    </w:p>
    <w:p>
      <w:pPr>
        <w:tabs>
          <w:tab w:pos="4908" w:val="left" w:leader="none"/>
          <w:tab w:pos="6965" w:val="left" w:leader="none"/>
        </w:tabs>
        <w:spacing w:line="41" w:lineRule="exact" w:before="60"/>
        <w:ind w:left="2875" w:right="0" w:firstLine="0"/>
        <w:jc w:val="left"/>
        <w:rPr>
          <w:i/>
          <w:sz w:val="9"/>
        </w:rPr>
      </w:pPr>
      <w:r>
        <w:rPr>
          <w:i/>
          <w:w w:val="200"/>
          <w:sz w:val="9"/>
        </w:rPr>
        <w:t>k</w:t>
        <w:tab/>
        <w:t>k</w:t>
        <w:tab/>
        <w:t>k</w:t>
      </w:r>
    </w:p>
    <w:p>
      <w:pPr>
        <w:tabs>
          <w:tab w:pos="4567" w:val="left" w:leader="none"/>
          <w:tab w:pos="6847" w:val="left" w:leader="none"/>
        </w:tabs>
        <w:spacing w:line="158" w:lineRule="exact" w:before="0"/>
        <w:ind w:left="868" w:right="0" w:firstLine="0"/>
        <w:jc w:val="left"/>
        <w:rPr>
          <w:rFonts w:ascii="Symbol" w:hAnsi="Symbol"/>
          <w:sz w:val="16"/>
        </w:rPr>
      </w:pPr>
      <w:r>
        <w:rPr>
          <w:i/>
          <w:w w:val="185"/>
          <w:sz w:val="16"/>
        </w:rPr>
        <w:t>L</w:t>
      </w:r>
      <w:r>
        <w:rPr>
          <w:i/>
          <w:spacing w:val="-30"/>
          <w:w w:val="185"/>
          <w:sz w:val="16"/>
        </w:rPr>
        <w:t> </w:t>
      </w:r>
      <w:r>
        <w:rPr>
          <w:w w:val="185"/>
          <w:sz w:val="16"/>
        </w:rPr>
        <w:t>n</w:t>
      </w:r>
      <w:r>
        <w:rPr>
          <w:spacing w:val="-10"/>
          <w:w w:val="185"/>
          <w:sz w:val="16"/>
        </w:rPr>
        <w:t> </w:t>
      </w:r>
      <w:r>
        <w:rPr>
          <w:i/>
          <w:w w:val="185"/>
          <w:sz w:val="16"/>
        </w:rPr>
        <w:t>BoP</w:t>
      </w:r>
      <w:r>
        <w:rPr>
          <w:i/>
          <w:spacing w:val="38"/>
          <w:w w:val="185"/>
          <w:sz w:val="16"/>
        </w:rPr>
        <w:t> </w:t>
      </w:r>
      <w:r>
        <w:rPr>
          <w:rFonts w:ascii="Symbol" w:hAnsi="Symbol"/>
          <w:w w:val="185"/>
          <w:sz w:val="16"/>
        </w:rPr>
        <w:t></w:t>
      </w:r>
      <w:r>
        <w:rPr>
          <w:spacing w:val="-28"/>
          <w:w w:val="185"/>
          <w:sz w:val="16"/>
        </w:rPr>
        <w:t> </w:t>
      </w:r>
      <w:r>
        <w:rPr>
          <w:rFonts w:ascii="Symbol" w:hAnsi="Symbol"/>
          <w:w w:val="185"/>
          <w:sz w:val="19"/>
        </w:rPr>
        <w:t></w:t>
      </w:r>
      <w:r>
        <w:rPr>
          <w:w w:val="185"/>
          <w:sz w:val="19"/>
        </w:rPr>
        <w:t> </w:t>
      </w:r>
      <w:r>
        <w:rPr>
          <w:spacing w:val="21"/>
          <w:w w:val="185"/>
          <w:sz w:val="19"/>
        </w:rPr>
        <w:t> </w:t>
      </w:r>
      <w:r>
        <w:rPr>
          <w:rFonts w:ascii="Symbol" w:hAnsi="Symbol"/>
          <w:w w:val="185"/>
          <w:sz w:val="16"/>
        </w:rPr>
        <w:t></w:t>
      </w:r>
      <w:r>
        <w:rPr>
          <w:spacing w:val="-18"/>
          <w:w w:val="185"/>
          <w:sz w:val="16"/>
        </w:rPr>
        <w:t> </w:t>
      </w:r>
      <w:r>
        <w:rPr>
          <w:rFonts w:ascii="Symbol" w:hAnsi="Symbol"/>
          <w:w w:val="185"/>
          <w:position w:val="-3"/>
          <w:sz w:val="25"/>
        </w:rPr>
        <w:t></w:t>
      </w:r>
      <w:r>
        <w:rPr>
          <w:rFonts w:ascii="Symbol" w:hAnsi="Symbol"/>
          <w:w w:val="185"/>
          <w:sz w:val="19"/>
        </w:rPr>
        <w:t></w:t>
      </w:r>
      <w:r>
        <w:rPr>
          <w:spacing w:val="81"/>
          <w:w w:val="185"/>
          <w:sz w:val="19"/>
        </w:rPr>
        <w:t> </w:t>
      </w:r>
      <w:r>
        <w:rPr>
          <w:i/>
          <w:w w:val="185"/>
          <w:sz w:val="16"/>
        </w:rPr>
        <w:t>LnBoP</w:t>
        <w:tab/>
      </w:r>
      <w:r>
        <w:rPr>
          <w:rFonts w:ascii="Symbol" w:hAnsi="Symbol"/>
          <w:w w:val="185"/>
          <w:sz w:val="16"/>
        </w:rPr>
        <w:t></w:t>
      </w:r>
      <w:r>
        <w:rPr>
          <w:spacing w:val="-17"/>
          <w:w w:val="185"/>
          <w:sz w:val="16"/>
        </w:rPr>
        <w:t> </w:t>
      </w:r>
      <w:r>
        <w:rPr>
          <w:rFonts w:ascii="Symbol" w:hAnsi="Symbol"/>
          <w:w w:val="185"/>
          <w:position w:val="-3"/>
          <w:sz w:val="25"/>
        </w:rPr>
        <w:t></w:t>
      </w:r>
      <w:r>
        <w:rPr>
          <w:rFonts w:ascii="Symbol" w:hAnsi="Symbol"/>
          <w:w w:val="185"/>
          <w:sz w:val="19"/>
        </w:rPr>
        <w:t></w:t>
      </w:r>
      <w:r>
        <w:rPr>
          <w:w w:val="185"/>
          <w:sz w:val="19"/>
        </w:rPr>
        <w:t> </w:t>
      </w:r>
      <w:r>
        <w:rPr>
          <w:spacing w:val="35"/>
          <w:w w:val="185"/>
          <w:sz w:val="19"/>
        </w:rPr>
        <w:t> </w:t>
      </w:r>
      <w:r>
        <w:rPr>
          <w:i/>
          <w:w w:val="185"/>
          <w:sz w:val="16"/>
        </w:rPr>
        <w:t>LnREER</w:t>
        <w:tab/>
      </w:r>
      <w:r>
        <w:rPr>
          <w:rFonts w:ascii="Symbol" w:hAnsi="Symbol"/>
          <w:w w:val="190"/>
          <w:position w:val="-3"/>
          <w:sz w:val="25"/>
        </w:rPr>
        <w:t></w:t>
      </w:r>
      <w:r>
        <w:rPr>
          <w:rFonts w:ascii="Symbol" w:hAnsi="Symbol"/>
          <w:w w:val="190"/>
          <w:sz w:val="19"/>
        </w:rPr>
        <w:t></w:t>
      </w:r>
      <w:r>
        <w:rPr>
          <w:w w:val="190"/>
          <w:sz w:val="19"/>
        </w:rPr>
        <w:t> </w:t>
      </w:r>
      <w:r>
        <w:rPr>
          <w:spacing w:val="3"/>
          <w:w w:val="190"/>
          <w:sz w:val="19"/>
        </w:rPr>
        <w:t> </w:t>
      </w:r>
      <w:r>
        <w:rPr>
          <w:i/>
          <w:w w:val="190"/>
          <w:sz w:val="16"/>
        </w:rPr>
        <w:t>LnGDP</w:t>
      </w:r>
      <w:r>
        <w:rPr>
          <w:i/>
          <w:w w:val="190"/>
          <w:sz w:val="16"/>
          <w:vertAlign w:val="superscript"/>
        </w:rPr>
        <w:t>d</w:t>
      </w:r>
      <w:r>
        <w:rPr>
          <w:i/>
          <w:spacing w:val="39"/>
          <w:w w:val="190"/>
          <w:sz w:val="16"/>
          <w:vertAlign w:val="baseline"/>
        </w:rPr>
        <w:t> </w:t>
      </w:r>
      <w:r>
        <w:rPr>
          <w:rFonts w:ascii="Symbol" w:hAnsi="Symbol"/>
          <w:w w:val="190"/>
          <w:sz w:val="16"/>
          <w:vertAlign w:val="baseline"/>
        </w:rPr>
        <w:t></w:t>
      </w:r>
    </w:p>
    <w:p>
      <w:pPr>
        <w:spacing w:after="0" w:line="158" w:lineRule="exact"/>
        <w:jc w:val="left"/>
        <w:rPr>
          <w:rFonts w:ascii="Symbol" w:hAnsi="Symbol"/>
          <w:sz w:val="16"/>
        </w:rPr>
        <w:sectPr>
          <w:pgSz w:w="12240" w:h="15840"/>
          <w:pgMar w:header="0" w:footer="1015" w:top="1500" w:bottom="1200" w:left="1320" w:right="440"/>
        </w:sectPr>
      </w:pPr>
    </w:p>
    <w:p>
      <w:pPr>
        <w:tabs>
          <w:tab w:pos="2363" w:val="left" w:leader="none"/>
          <w:tab w:pos="3297" w:val="left" w:leader="none"/>
          <w:tab w:pos="4259" w:val="left" w:leader="none"/>
        </w:tabs>
        <w:spacing w:line="249" w:lineRule="auto" w:before="6"/>
        <w:ind w:left="2806" w:right="0" w:hanging="1033"/>
        <w:jc w:val="left"/>
        <w:rPr>
          <w:sz w:val="9"/>
        </w:rPr>
      </w:pPr>
      <w:r>
        <w:rPr>
          <w:i/>
          <w:w w:val="200"/>
          <w:sz w:val="9"/>
        </w:rPr>
        <w:t>t</w:t>
        <w:tab/>
      </w:r>
      <w:r>
        <w:rPr>
          <w:w w:val="200"/>
          <w:sz w:val="9"/>
        </w:rPr>
        <w:t>0</w:t>
        <w:tab/>
        <w:tab/>
        <w:t>1</w:t>
      </w:r>
      <w:r>
        <w:rPr>
          <w:i/>
          <w:w w:val="200"/>
          <w:sz w:val="9"/>
        </w:rPr>
        <w:t>i</w:t>
        <w:tab/>
      </w:r>
      <w:r>
        <w:rPr>
          <w:i/>
          <w:spacing w:val="-6"/>
          <w:w w:val="200"/>
          <w:sz w:val="9"/>
        </w:rPr>
        <w:t>t</w:t>
      </w:r>
      <w:r>
        <w:rPr>
          <w:i/>
          <w:spacing w:val="-26"/>
          <w:w w:val="200"/>
          <w:sz w:val="9"/>
        </w:rPr>
        <w:t> </w:t>
      </w:r>
      <w:r>
        <w:rPr>
          <w:rFonts w:ascii="Symbol" w:hAnsi="Symbol"/>
          <w:spacing w:val="-6"/>
          <w:w w:val="200"/>
          <w:sz w:val="9"/>
        </w:rPr>
        <w:t></w:t>
      </w:r>
      <w:r>
        <w:rPr>
          <w:i/>
          <w:spacing w:val="-6"/>
          <w:w w:val="200"/>
          <w:sz w:val="9"/>
        </w:rPr>
        <w:t>i</w:t>
      </w:r>
      <w:r>
        <w:rPr>
          <w:i/>
          <w:spacing w:val="-42"/>
          <w:w w:val="200"/>
          <w:sz w:val="9"/>
        </w:rPr>
        <w:t> </w:t>
      </w:r>
      <w:r>
        <w:rPr>
          <w:i/>
          <w:w w:val="200"/>
          <w:sz w:val="9"/>
        </w:rPr>
        <w:t>i</w:t>
      </w:r>
      <w:r>
        <w:rPr>
          <w:i/>
          <w:spacing w:val="-33"/>
          <w:w w:val="200"/>
          <w:sz w:val="9"/>
        </w:rPr>
        <w:t> </w:t>
      </w:r>
      <w:r>
        <w:rPr>
          <w:rFonts w:ascii="Symbol" w:hAnsi="Symbol"/>
          <w:w w:val="200"/>
          <w:sz w:val="9"/>
        </w:rPr>
        <w:t></w:t>
      </w:r>
      <w:r>
        <w:rPr>
          <w:w w:val="200"/>
          <w:sz w:val="9"/>
        </w:rPr>
        <w:t>1</w:t>
      </w:r>
    </w:p>
    <w:p>
      <w:pPr>
        <w:pStyle w:val="BodyText"/>
        <w:spacing w:before="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1"/>
        <w:ind w:left="304" w:right="0" w:firstLine="0"/>
        <w:jc w:val="left"/>
        <w:rPr>
          <w:sz w:val="9"/>
        </w:rPr>
      </w:pPr>
      <w:r>
        <w:rPr>
          <w:i/>
          <w:spacing w:val="-5"/>
          <w:w w:val="200"/>
          <w:sz w:val="9"/>
        </w:rPr>
        <w:t>i</w:t>
      </w:r>
      <w:r>
        <w:rPr>
          <w:i/>
          <w:spacing w:val="-33"/>
          <w:w w:val="200"/>
          <w:sz w:val="9"/>
        </w:rPr>
        <w:t> </w:t>
      </w:r>
      <w:r>
        <w:rPr>
          <w:rFonts w:ascii="Symbol" w:hAnsi="Symbol"/>
          <w:spacing w:val="-4"/>
          <w:w w:val="200"/>
          <w:sz w:val="9"/>
        </w:rPr>
        <w:t></w:t>
      </w:r>
      <w:r>
        <w:rPr>
          <w:spacing w:val="-4"/>
          <w:w w:val="200"/>
          <w:sz w:val="9"/>
        </w:rPr>
        <w:t>0</w:t>
      </w:r>
    </w:p>
    <w:p>
      <w:pPr>
        <w:tabs>
          <w:tab w:pos="1461" w:val="left" w:leader="none"/>
        </w:tabs>
        <w:spacing w:before="6"/>
        <w:ind w:left="227" w:right="0" w:firstLine="0"/>
        <w:jc w:val="left"/>
        <w:rPr>
          <w:i/>
          <w:sz w:val="9"/>
        </w:rPr>
      </w:pPr>
      <w:r>
        <w:rPr/>
        <w:br w:type="column"/>
      </w:r>
      <w:r>
        <w:rPr>
          <w:w w:val="200"/>
          <w:sz w:val="9"/>
        </w:rPr>
        <w:t>2</w:t>
      </w:r>
      <w:r>
        <w:rPr>
          <w:i/>
          <w:w w:val="200"/>
          <w:sz w:val="9"/>
        </w:rPr>
        <w:t>i</w:t>
        <w:tab/>
      </w:r>
      <w:r>
        <w:rPr>
          <w:i/>
          <w:spacing w:val="-6"/>
          <w:w w:val="200"/>
          <w:sz w:val="9"/>
        </w:rPr>
        <w:t>t</w:t>
      </w:r>
      <w:r>
        <w:rPr>
          <w:i/>
          <w:spacing w:val="-25"/>
          <w:w w:val="200"/>
          <w:sz w:val="9"/>
        </w:rPr>
        <w:t> </w:t>
      </w:r>
      <w:r>
        <w:rPr>
          <w:rFonts w:ascii="Symbol" w:hAnsi="Symbol"/>
          <w:spacing w:val="-6"/>
          <w:w w:val="200"/>
          <w:sz w:val="9"/>
        </w:rPr>
        <w:t></w:t>
      </w:r>
      <w:r>
        <w:rPr>
          <w:i/>
          <w:spacing w:val="-6"/>
          <w:w w:val="200"/>
          <w:sz w:val="9"/>
        </w:rPr>
        <w:t>i</w:t>
      </w:r>
    </w:p>
    <w:p>
      <w:pPr>
        <w:spacing w:before="13"/>
        <w:ind w:left="556" w:right="0" w:firstLine="0"/>
        <w:jc w:val="left"/>
        <w:rPr>
          <w:i/>
          <w:sz w:val="9"/>
        </w:rPr>
      </w:pPr>
      <w:r>
        <w:rPr/>
        <w:br w:type="column"/>
      </w:r>
      <w:r>
        <w:rPr>
          <w:spacing w:val="-1"/>
          <w:w w:val="200"/>
          <w:sz w:val="9"/>
        </w:rPr>
        <w:t>3</w:t>
      </w:r>
      <w:r>
        <w:rPr>
          <w:i/>
          <w:spacing w:val="-1"/>
          <w:w w:val="200"/>
          <w:sz w:val="9"/>
        </w:rPr>
        <w:t>i</w:t>
      </w:r>
    </w:p>
    <w:p>
      <w:pPr>
        <w:spacing w:before="4"/>
        <w:ind w:left="36" w:right="0" w:firstLine="0"/>
        <w:jc w:val="left"/>
        <w:rPr>
          <w:sz w:val="9"/>
        </w:rPr>
      </w:pPr>
      <w:r>
        <w:rPr>
          <w:i/>
          <w:w w:val="195"/>
          <w:sz w:val="9"/>
        </w:rPr>
        <w:t>i</w:t>
      </w:r>
      <w:r>
        <w:rPr>
          <w:i/>
          <w:spacing w:val="-28"/>
          <w:w w:val="195"/>
          <w:sz w:val="9"/>
        </w:rPr>
        <w:t> </w:t>
      </w:r>
      <w:r>
        <w:rPr>
          <w:rFonts w:ascii="Symbol" w:hAnsi="Symbol"/>
          <w:w w:val="195"/>
          <w:sz w:val="9"/>
        </w:rPr>
        <w:t></w:t>
      </w:r>
      <w:r>
        <w:rPr>
          <w:w w:val="195"/>
          <w:sz w:val="9"/>
        </w:rPr>
        <w:t>0</w:t>
      </w:r>
    </w:p>
    <w:p>
      <w:pPr>
        <w:spacing w:before="51"/>
        <w:ind w:left="908" w:right="0" w:firstLine="0"/>
        <w:jc w:val="left"/>
        <w:rPr>
          <w:i/>
          <w:sz w:val="7"/>
        </w:rPr>
      </w:pPr>
      <w:r>
        <w:rPr/>
        <w:br w:type="column"/>
      </w:r>
      <w:r>
        <w:rPr>
          <w:i/>
          <w:spacing w:val="-1"/>
          <w:w w:val="185"/>
          <w:sz w:val="7"/>
        </w:rPr>
        <w:t>t</w:t>
      </w:r>
      <w:r>
        <w:rPr>
          <w:i/>
          <w:spacing w:val="-23"/>
          <w:w w:val="185"/>
          <w:sz w:val="7"/>
        </w:rPr>
        <w:t> </w:t>
      </w:r>
      <w:r>
        <w:rPr>
          <w:rFonts w:ascii="Symbol" w:hAnsi="Symbol"/>
          <w:w w:val="185"/>
          <w:sz w:val="7"/>
        </w:rPr>
        <w:t></w:t>
      </w:r>
      <w:r>
        <w:rPr>
          <w:i/>
          <w:w w:val="185"/>
          <w:sz w:val="7"/>
        </w:rPr>
        <w:t>i</w:t>
      </w:r>
      <w:r>
        <w:rPr>
          <w:i/>
          <w:sz w:val="7"/>
        </w:rPr>
        <w:t>    </w:t>
      </w:r>
      <w:r>
        <w:rPr>
          <w:i/>
          <w:spacing w:val="-8"/>
          <w:sz w:val="7"/>
        </w:rPr>
        <w:t> </w:t>
      </w:r>
    </w:p>
    <w:p>
      <w:pPr>
        <w:spacing w:after="0"/>
        <w:jc w:val="left"/>
        <w:rPr>
          <w:sz w:val="7"/>
        </w:rPr>
        <w:sectPr>
          <w:type w:val="continuous"/>
          <w:pgSz w:w="12240" w:h="15840"/>
          <w:pgMar w:top="1500" w:bottom="1200" w:left="1320" w:right="440"/>
          <w:cols w:num="5" w:equalWidth="0">
            <w:col w:w="4480" w:space="40"/>
            <w:col w:w="564" w:space="39"/>
            <w:col w:w="1682" w:space="40"/>
            <w:col w:w="696" w:space="39"/>
            <w:col w:w="2900"/>
          </w:cols>
        </w:sectPr>
      </w:pPr>
    </w:p>
    <w:p>
      <w:pPr>
        <w:tabs>
          <w:tab w:pos="3323" w:val="left" w:leader="none"/>
          <w:tab w:pos="5325" w:val="left" w:leader="none"/>
        </w:tabs>
        <w:spacing w:line="41" w:lineRule="exact" w:before="49"/>
        <w:ind w:left="1156" w:right="0" w:firstLine="0"/>
        <w:jc w:val="left"/>
        <w:rPr>
          <w:i/>
          <w:sz w:val="9"/>
        </w:rPr>
      </w:pPr>
      <w:r>
        <w:rPr>
          <w:i/>
          <w:w w:val="200"/>
          <w:sz w:val="9"/>
        </w:rPr>
        <w:t>k</w:t>
        <w:tab/>
        <w:t>k</w:t>
        <w:tab/>
        <w:t>k</w:t>
      </w:r>
    </w:p>
    <w:p>
      <w:pPr>
        <w:spacing w:after="0" w:line="41" w:lineRule="exact"/>
        <w:jc w:val="left"/>
        <w:rPr>
          <w:sz w:val="9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4984" w:val="left" w:leader="none"/>
        </w:tabs>
        <w:spacing w:line="158" w:lineRule="exact" w:before="0"/>
        <w:ind w:left="858" w:right="0" w:firstLine="0"/>
        <w:jc w:val="left"/>
        <w:rPr>
          <w:i/>
          <w:sz w:val="16"/>
        </w:rPr>
      </w:pPr>
      <w:r>
        <w:rPr>
          <w:rFonts w:ascii="Symbol" w:hAnsi="Symbol"/>
          <w:w w:val="185"/>
          <w:sz w:val="16"/>
        </w:rPr>
        <w:t></w:t>
      </w:r>
      <w:r>
        <w:rPr>
          <w:rFonts w:ascii="Symbol" w:hAnsi="Symbol"/>
          <w:w w:val="185"/>
          <w:position w:val="-3"/>
          <w:sz w:val="25"/>
        </w:rPr>
        <w:t></w:t>
      </w:r>
      <w:r>
        <w:rPr>
          <w:rFonts w:ascii="Symbol" w:hAnsi="Symbol"/>
          <w:w w:val="185"/>
          <w:sz w:val="19"/>
        </w:rPr>
        <w:t></w:t>
      </w:r>
      <w:r>
        <w:rPr>
          <w:w w:val="185"/>
          <w:sz w:val="19"/>
        </w:rPr>
        <w:t> </w:t>
      </w:r>
      <w:r>
        <w:rPr>
          <w:spacing w:val="33"/>
          <w:w w:val="185"/>
          <w:sz w:val="19"/>
        </w:rPr>
        <w:t> </w:t>
      </w:r>
      <w:r>
        <w:rPr>
          <w:i/>
          <w:w w:val="185"/>
          <w:sz w:val="16"/>
        </w:rPr>
        <w:t>LnGDP</w:t>
      </w:r>
      <w:r>
        <w:rPr>
          <w:i/>
          <w:spacing w:val="-25"/>
          <w:w w:val="185"/>
          <w:sz w:val="16"/>
        </w:rPr>
        <w:t> </w:t>
      </w:r>
      <w:r>
        <w:rPr>
          <w:i/>
          <w:w w:val="185"/>
          <w:sz w:val="16"/>
          <w:vertAlign w:val="superscript"/>
        </w:rPr>
        <w:t>f</w:t>
      </w:r>
      <w:r>
        <w:rPr>
          <w:i/>
          <w:w w:val="185"/>
          <w:sz w:val="16"/>
          <w:vertAlign w:val="baseline"/>
        </w:rPr>
        <w:t> </w:t>
      </w:r>
      <w:r>
        <w:rPr>
          <w:i/>
          <w:spacing w:val="20"/>
          <w:w w:val="185"/>
          <w:sz w:val="16"/>
          <w:vertAlign w:val="baseline"/>
        </w:rPr>
        <w:t> </w:t>
      </w:r>
      <w:r>
        <w:rPr>
          <w:rFonts w:ascii="Symbol" w:hAnsi="Symbol"/>
          <w:w w:val="185"/>
          <w:sz w:val="16"/>
          <w:vertAlign w:val="baseline"/>
        </w:rPr>
        <w:t></w:t>
      </w:r>
      <w:r>
        <w:rPr>
          <w:spacing w:val="-17"/>
          <w:w w:val="185"/>
          <w:sz w:val="16"/>
          <w:vertAlign w:val="baseline"/>
        </w:rPr>
        <w:t> </w:t>
      </w:r>
      <w:r>
        <w:rPr>
          <w:rFonts w:ascii="Symbol" w:hAnsi="Symbol"/>
          <w:w w:val="185"/>
          <w:position w:val="-3"/>
          <w:sz w:val="25"/>
          <w:vertAlign w:val="baseline"/>
        </w:rPr>
        <w:t></w:t>
      </w:r>
      <w:r>
        <w:rPr>
          <w:rFonts w:ascii="Symbol" w:hAnsi="Symbol"/>
          <w:w w:val="185"/>
          <w:sz w:val="19"/>
          <w:vertAlign w:val="baseline"/>
        </w:rPr>
        <w:t></w:t>
      </w:r>
      <w:r>
        <w:rPr>
          <w:w w:val="185"/>
          <w:sz w:val="19"/>
          <w:vertAlign w:val="baseline"/>
        </w:rPr>
        <w:t> </w:t>
      </w:r>
      <w:r>
        <w:rPr>
          <w:spacing w:val="31"/>
          <w:w w:val="185"/>
          <w:sz w:val="19"/>
          <w:vertAlign w:val="baseline"/>
        </w:rPr>
        <w:t> </w:t>
      </w:r>
      <w:r>
        <w:rPr>
          <w:i/>
          <w:w w:val="185"/>
          <w:sz w:val="16"/>
          <w:vertAlign w:val="baseline"/>
        </w:rPr>
        <w:t>LnMS</w:t>
        <w:tab/>
      </w:r>
      <w:r>
        <w:rPr>
          <w:rFonts w:ascii="Symbol" w:hAnsi="Symbol"/>
          <w:spacing w:val="-2"/>
          <w:w w:val="185"/>
          <w:sz w:val="16"/>
          <w:vertAlign w:val="baseline"/>
        </w:rPr>
        <w:t></w:t>
      </w:r>
      <w:r>
        <w:rPr>
          <w:spacing w:val="-22"/>
          <w:w w:val="185"/>
          <w:sz w:val="16"/>
          <w:vertAlign w:val="baseline"/>
        </w:rPr>
        <w:t> </w:t>
      </w:r>
      <w:r>
        <w:rPr>
          <w:rFonts w:ascii="Symbol" w:hAnsi="Symbol"/>
          <w:spacing w:val="-2"/>
          <w:w w:val="185"/>
          <w:position w:val="-3"/>
          <w:sz w:val="25"/>
          <w:vertAlign w:val="baseline"/>
        </w:rPr>
        <w:t></w:t>
      </w:r>
      <w:r>
        <w:rPr>
          <w:rFonts w:ascii="Symbol" w:hAnsi="Symbol"/>
          <w:spacing w:val="-2"/>
          <w:w w:val="185"/>
          <w:sz w:val="19"/>
          <w:vertAlign w:val="baseline"/>
        </w:rPr>
        <w:t></w:t>
      </w:r>
      <w:r>
        <w:rPr>
          <w:spacing w:val="107"/>
          <w:w w:val="185"/>
          <w:sz w:val="19"/>
          <w:vertAlign w:val="baseline"/>
        </w:rPr>
        <w:t> </w:t>
      </w:r>
      <w:r>
        <w:rPr>
          <w:i/>
          <w:spacing w:val="-2"/>
          <w:w w:val="185"/>
          <w:sz w:val="16"/>
          <w:vertAlign w:val="baseline"/>
        </w:rPr>
        <w:t>IR</w:t>
      </w:r>
    </w:p>
    <w:p>
      <w:pPr>
        <w:spacing w:line="138" w:lineRule="exact" w:before="20"/>
        <w:ind w:left="249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80"/>
          <w:sz w:val="16"/>
        </w:rPr>
        <w:t></w:t>
      </w:r>
      <w:r>
        <w:rPr>
          <w:spacing w:val="-42"/>
          <w:w w:val="180"/>
          <w:sz w:val="16"/>
        </w:rPr>
        <w:t> </w:t>
      </w:r>
      <w:r>
        <w:rPr>
          <w:rFonts w:ascii="Symbol" w:hAnsi="Symbol"/>
          <w:w w:val="180"/>
          <w:sz w:val="19"/>
        </w:rPr>
        <w:t></w:t>
      </w:r>
      <w:r>
        <w:rPr>
          <w:spacing w:val="39"/>
          <w:w w:val="180"/>
          <w:sz w:val="19"/>
        </w:rPr>
        <w:t> </w:t>
      </w:r>
      <w:r>
        <w:rPr>
          <w:i/>
          <w:w w:val="180"/>
          <w:sz w:val="16"/>
        </w:rPr>
        <w:t>D</w:t>
      </w:r>
      <w:r>
        <w:rPr>
          <w:i/>
          <w:spacing w:val="48"/>
          <w:w w:val="180"/>
          <w:sz w:val="16"/>
        </w:rPr>
        <w:t> </w:t>
      </w:r>
      <w:r>
        <w:rPr>
          <w:rFonts w:ascii="Symbol" w:hAnsi="Symbol"/>
          <w:w w:val="180"/>
          <w:sz w:val="16"/>
        </w:rPr>
        <w:t></w:t>
      </w:r>
      <w:r>
        <w:rPr>
          <w:spacing w:val="-31"/>
          <w:w w:val="180"/>
          <w:sz w:val="16"/>
        </w:rPr>
        <w:t> </w:t>
      </w:r>
      <w:r>
        <w:rPr>
          <w:rFonts w:ascii="Symbol" w:hAnsi="Symbol"/>
          <w:w w:val="180"/>
          <w:sz w:val="19"/>
        </w:rPr>
        <w:t></w:t>
      </w:r>
    </w:p>
    <w:p>
      <w:pPr>
        <w:spacing w:after="0" w:line="138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top="1500" w:bottom="1200" w:left="1320" w:right="440"/>
          <w:cols w:num="2" w:equalWidth="0">
            <w:col w:w="6235" w:space="40"/>
            <w:col w:w="4205"/>
          </w:cols>
        </w:sectPr>
      </w:pPr>
    </w:p>
    <w:p>
      <w:pPr>
        <w:pStyle w:val="BodyText"/>
        <w:spacing w:before="10"/>
        <w:rPr>
          <w:rFonts w:ascii="Symbol" w:hAnsi="Symbol"/>
          <w:sz w:val="9"/>
        </w:rPr>
      </w:pPr>
    </w:p>
    <w:p>
      <w:pPr>
        <w:spacing w:before="0"/>
        <w:ind w:left="0" w:right="0" w:firstLine="0"/>
        <w:jc w:val="right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78009344">
            <wp:simplePos x="0" y="0"/>
            <wp:positionH relativeFrom="page">
              <wp:posOffset>1485138</wp:posOffset>
            </wp:positionH>
            <wp:positionV relativeFrom="paragraph">
              <wp:posOffset>46323</wp:posOffset>
            </wp:positionV>
            <wp:extent cx="5102225" cy="5044439"/>
            <wp:effectExtent l="0" t="0" r="0" b="0"/>
            <wp:wrapNone/>
            <wp:docPr id="29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200"/>
          <w:sz w:val="9"/>
        </w:rPr>
        <w:t>i</w:t>
      </w:r>
      <w:r>
        <w:rPr>
          <w:i/>
          <w:spacing w:val="-31"/>
          <w:w w:val="200"/>
          <w:sz w:val="9"/>
        </w:rPr>
        <w:t> </w:t>
      </w:r>
      <w:r>
        <w:rPr>
          <w:rFonts w:ascii="Symbol" w:hAnsi="Symbol"/>
          <w:w w:val="200"/>
          <w:sz w:val="9"/>
        </w:rPr>
        <w:t></w:t>
      </w:r>
      <w:r>
        <w:rPr>
          <w:w w:val="200"/>
          <w:sz w:val="9"/>
        </w:rPr>
        <w:t>0</w:t>
      </w:r>
    </w:p>
    <w:p>
      <w:pPr>
        <w:tabs>
          <w:tab w:pos="1302" w:val="left" w:leader="none"/>
        </w:tabs>
        <w:spacing w:before="5"/>
        <w:ind w:left="226" w:right="0" w:firstLine="0"/>
        <w:jc w:val="left"/>
        <w:rPr>
          <w:i/>
          <w:sz w:val="9"/>
        </w:rPr>
      </w:pPr>
      <w:r>
        <w:rPr/>
        <w:br w:type="column"/>
      </w:r>
      <w:r>
        <w:rPr>
          <w:w w:val="200"/>
          <w:sz w:val="9"/>
        </w:rPr>
        <w:t>4</w:t>
      </w:r>
      <w:r>
        <w:rPr>
          <w:i/>
          <w:w w:val="200"/>
          <w:sz w:val="9"/>
        </w:rPr>
        <w:t>i</w:t>
        <w:tab/>
      </w:r>
      <w:r>
        <w:rPr>
          <w:i/>
          <w:spacing w:val="-6"/>
          <w:w w:val="200"/>
          <w:sz w:val="9"/>
        </w:rPr>
        <w:t>t</w:t>
      </w:r>
      <w:r>
        <w:rPr>
          <w:i/>
          <w:spacing w:val="-27"/>
          <w:w w:val="200"/>
          <w:sz w:val="9"/>
        </w:rPr>
        <w:t> </w:t>
      </w:r>
      <w:r>
        <w:rPr>
          <w:rFonts w:ascii="Symbol" w:hAnsi="Symbol"/>
          <w:spacing w:val="-5"/>
          <w:w w:val="200"/>
          <w:sz w:val="9"/>
        </w:rPr>
        <w:t></w:t>
      </w:r>
      <w:r>
        <w:rPr>
          <w:i/>
          <w:spacing w:val="-5"/>
          <w:w w:val="200"/>
          <w:sz w:val="9"/>
        </w:rPr>
        <w:t>i</w:t>
      </w:r>
    </w:p>
    <w:p>
      <w:pPr>
        <w:pStyle w:val="BodyText"/>
        <w:spacing w:before="5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spacing w:before="0"/>
        <w:ind w:left="304" w:right="0" w:firstLine="0"/>
        <w:jc w:val="left"/>
        <w:rPr>
          <w:sz w:val="9"/>
        </w:rPr>
      </w:pPr>
      <w:r>
        <w:rPr>
          <w:i/>
          <w:spacing w:val="-4"/>
          <w:w w:val="200"/>
          <w:sz w:val="9"/>
        </w:rPr>
        <w:t>i</w:t>
      </w:r>
      <w:r>
        <w:rPr>
          <w:i/>
          <w:spacing w:val="-33"/>
          <w:w w:val="200"/>
          <w:sz w:val="9"/>
        </w:rPr>
        <w:t> </w:t>
      </w:r>
      <w:r>
        <w:rPr>
          <w:rFonts w:ascii="Symbol" w:hAnsi="Symbol"/>
          <w:spacing w:val="-4"/>
          <w:w w:val="200"/>
          <w:sz w:val="9"/>
        </w:rPr>
        <w:t></w:t>
      </w:r>
      <w:r>
        <w:rPr>
          <w:spacing w:val="-4"/>
          <w:w w:val="200"/>
          <w:sz w:val="9"/>
        </w:rPr>
        <w:t>0</w:t>
      </w:r>
    </w:p>
    <w:p>
      <w:pPr>
        <w:tabs>
          <w:tab w:pos="1136" w:val="left" w:leader="none"/>
        </w:tabs>
        <w:spacing w:before="5"/>
        <w:ind w:left="223" w:right="0" w:firstLine="0"/>
        <w:jc w:val="left"/>
        <w:rPr>
          <w:i/>
          <w:sz w:val="9"/>
        </w:rPr>
      </w:pPr>
      <w:r>
        <w:rPr/>
        <w:br w:type="column"/>
      </w:r>
      <w:r>
        <w:rPr>
          <w:w w:val="200"/>
          <w:sz w:val="9"/>
        </w:rPr>
        <w:t>6</w:t>
      </w:r>
      <w:r>
        <w:rPr>
          <w:i/>
          <w:w w:val="200"/>
          <w:sz w:val="9"/>
        </w:rPr>
        <w:t>i</w:t>
        <w:tab/>
      </w:r>
      <w:r>
        <w:rPr>
          <w:i/>
          <w:spacing w:val="-6"/>
          <w:w w:val="200"/>
          <w:sz w:val="9"/>
        </w:rPr>
        <w:t>t</w:t>
      </w:r>
      <w:r>
        <w:rPr>
          <w:i/>
          <w:spacing w:val="-25"/>
          <w:w w:val="200"/>
          <w:sz w:val="9"/>
        </w:rPr>
        <w:t> </w:t>
      </w:r>
      <w:r>
        <w:rPr>
          <w:rFonts w:ascii="Symbol" w:hAnsi="Symbol"/>
          <w:spacing w:val="-6"/>
          <w:w w:val="200"/>
          <w:sz w:val="9"/>
        </w:rPr>
        <w:t></w:t>
      </w:r>
      <w:r>
        <w:rPr>
          <w:i/>
          <w:spacing w:val="-6"/>
          <w:w w:val="200"/>
          <w:sz w:val="9"/>
        </w:rPr>
        <w:t>i</w:t>
      </w:r>
    </w:p>
    <w:p>
      <w:pPr>
        <w:pStyle w:val="BodyText"/>
        <w:spacing w:before="5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spacing w:before="0"/>
        <w:ind w:left="305" w:right="0" w:firstLine="0"/>
        <w:jc w:val="left"/>
        <w:rPr>
          <w:sz w:val="9"/>
        </w:rPr>
      </w:pPr>
      <w:r>
        <w:rPr>
          <w:i/>
          <w:spacing w:val="-3"/>
          <w:w w:val="195"/>
          <w:sz w:val="9"/>
        </w:rPr>
        <w:t>i</w:t>
      </w:r>
      <w:r>
        <w:rPr>
          <w:i/>
          <w:spacing w:val="-32"/>
          <w:w w:val="195"/>
          <w:sz w:val="9"/>
        </w:rPr>
        <w:t> </w:t>
      </w:r>
      <w:r>
        <w:rPr>
          <w:rFonts w:ascii="Symbol" w:hAnsi="Symbol"/>
          <w:spacing w:val="-2"/>
          <w:w w:val="195"/>
          <w:sz w:val="9"/>
        </w:rPr>
        <w:t></w:t>
      </w:r>
      <w:r>
        <w:rPr>
          <w:spacing w:val="-2"/>
          <w:w w:val="195"/>
          <w:sz w:val="9"/>
        </w:rPr>
        <w:t>0</w:t>
      </w:r>
    </w:p>
    <w:p>
      <w:pPr>
        <w:tabs>
          <w:tab w:pos="674" w:val="left" w:leader="none"/>
        </w:tabs>
        <w:spacing w:before="5"/>
        <w:ind w:left="223" w:right="0" w:firstLine="0"/>
        <w:jc w:val="left"/>
        <w:rPr>
          <w:i/>
          <w:sz w:val="9"/>
        </w:rPr>
      </w:pPr>
      <w:r>
        <w:rPr/>
        <w:br w:type="column"/>
      </w:r>
      <w:r>
        <w:rPr>
          <w:w w:val="200"/>
          <w:sz w:val="9"/>
        </w:rPr>
        <w:t>7</w:t>
      </w:r>
      <w:r>
        <w:rPr>
          <w:i/>
          <w:w w:val="200"/>
          <w:sz w:val="9"/>
        </w:rPr>
        <w:t>i</w:t>
        <w:tab/>
      </w:r>
      <w:r>
        <w:rPr>
          <w:i/>
          <w:spacing w:val="-6"/>
          <w:w w:val="200"/>
          <w:sz w:val="9"/>
        </w:rPr>
        <w:t>t</w:t>
      </w:r>
      <w:r>
        <w:rPr>
          <w:i/>
          <w:spacing w:val="-25"/>
          <w:w w:val="200"/>
          <w:sz w:val="9"/>
        </w:rPr>
        <w:t> </w:t>
      </w:r>
      <w:r>
        <w:rPr>
          <w:rFonts w:ascii="Symbol" w:hAnsi="Symbol"/>
          <w:spacing w:val="-6"/>
          <w:w w:val="200"/>
          <w:sz w:val="9"/>
        </w:rPr>
        <w:t></w:t>
      </w:r>
      <w:r>
        <w:rPr>
          <w:i/>
          <w:spacing w:val="-6"/>
          <w:w w:val="200"/>
          <w:sz w:val="9"/>
        </w:rPr>
        <w:t>i</w:t>
      </w:r>
    </w:p>
    <w:p>
      <w:pPr>
        <w:tabs>
          <w:tab w:pos="770" w:val="left" w:leader="none"/>
          <w:tab w:pos="1273" w:val="left" w:leader="none"/>
        </w:tabs>
        <w:spacing w:before="12"/>
        <w:ind w:left="455" w:right="0" w:firstLine="0"/>
        <w:jc w:val="left"/>
        <w:rPr>
          <w:i/>
          <w:sz w:val="9"/>
        </w:rPr>
      </w:pPr>
      <w:r>
        <w:rPr/>
        <w:br w:type="column"/>
      </w:r>
      <w:r>
        <w:rPr>
          <w:w w:val="200"/>
          <w:sz w:val="9"/>
        </w:rPr>
        <w:t>8</w:t>
        <w:tab/>
      </w:r>
      <w:r>
        <w:rPr>
          <w:i/>
          <w:w w:val="200"/>
          <w:sz w:val="9"/>
        </w:rPr>
        <w:t>i</w:t>
        <w:tab/>
        <w:t>i</w:t>
      </w:r>
    </w:p>
    <w:p>
      <w:pPr>
        <w:spacing w:after="0"/>
        <w:jc w:val="left"/>
        <w:rPr>
          <w:sz w:val="9"/>
        </w:rPr>
        <w:sectPr>
          <w:type w:val="continuous"/>
          <w:pgSz w:w="12240" w:h="15840"/>
          <w:pgMar w:top="1500" w:bottom="1200" w:left="1320" w:right="440"/>
          <w:cols w:num="7" w:equalWidth="0">
            <w:col w:w="1331" w:space="40"/>
            <w:col w:w="1524" w:space="39"/>
            <w:col w:w="564" w:space="40"/>
            <w:col w:w="1358" w:space="40"/>
            <w:col w:w="565" w:space="39"/>
            <w:col w:w="896" w:space="40"/>
            <w:col w:w="4004"/>
          </w:cols>
        </w:sectPr>
      </w:pPr>
    </w:p>
    <w:p>
      <w:pPr>
        <w:pStyle w:val="BodyText"/>
        <w:spacing w:before="9"/>
        <w:rPr>
          <w:i/>
          <w:sz w:val="13"/>
        </w:rPr>
      </w:pPr>
    </w:p>
    <w:p>
      <w:pPr>
        <w:pStyle w:val="Heading2"/>
        <w:spacing w:before="90"/>
      </w:pP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</w:r>
    </w:p>
    <w:p>
      <w:pPr>
        <w:pStyle w:val="BodyText"/>
        <w:spacing w:before="8"/>
        <w:rPr>
          <w:b/>
          <w:sz w:val="13"/>
        </w:rPr>
      </w:pPr>
    </w:p>
    <w:p>
      <w:pPr>
        <w:tabs>
          <w:tab w:pos="4758" w:val="left" w:leader="none"/>
          <w:tab w:pos="6664" w:val="left" w:leader="none"/>
        </w:tabs>
        <w:spacing w:line="45" w:lineRule="exact" w:before="102"/>
        <w:ind w:left="2790" w:right="0" w:firstLine="0"/>
        <w:jc w:val="left"/>
        <w:rPr>
          <w:i/>
          <w:sz w:val="10"/>
        </w:rPr>
      </w:pPr>
      <w:r>
        <w:rPr>
          <w:i/>
          <w:w w:val="165"/>
          <w:sz w:val="10"/>
        </w:rPr>
        <w:t>k</w:t>
        <w:tab/>
        <w:t>k</w:t>
        <w:tab/>
        <w:t>k</w:t>
      </w:r>
    </w:p>
    <w:p>
      <w:pPr>
        <w:tabs>
          <w:tab w:pos="4442" w:val="left" w:leader="none"/>
          <w:tab w:pos="6555" w:val="left" w:leader="none"/>
        </w:tabs>
        <w:spacing w:line="178" w:lineRule="exact" w:before="0"/>
        <w:ind w:left="864" w:right="0" w:firstLine="0"/>
        <w:jc w:val="left"/>
        <w:rPr>
          <w:rFonts w:ascii="Symbol" w:hAnsi="Symbol"/>
          <w:sz w:val="18"/>
        </w:rPr>
      </w:pPr>
      <w:r>
        <w:rPr>
          <w:i/>
          <w:w w:val="155"/>
          <w:sz w:val="18"/>
        </w:rPr>
        <w:t>L</w:t>
      </w:r>
      <w:r>
        <w:rPr>
          <w:i/>
          <w:spacing w:val="-31"/>
          <w:w w:val="155"/>
          <w:sz w:val="18"/>
        </w:rPr>
        <w:t> </w:t>
      </w:r>
      <w:r>
        <w:rPr>
          <w:w w:val="155"/>
          <w:sz w:val="18"/>
        </w:rPr>
        <w:t>n</w:t>
      </w:r>
      <w:r>
        <w:rPr>
          <w:spacing w:val="-32"/>
          <w:w w:val="155"/>
          <w:sz w:val="18"/>
        </w:rPr>
        <w:t> </w:t>
      </w:r>
      <w:r>
        <w:rPr>
          <w:i/>
          <w:w w:val="155"/>
          <w:sz w:val="18"/>
        </w:rPr>
        <w:t>CAB</w:t>
      </w:r>
      <w:r>
        <w:rPr>
          <w:i/>
          <w:spacing w:val="66"/>
          <w:w w:val="155"/>
          <w:sz w:val="18"/>
        </w:rPr>
        <w:t> </w:t>
      </w:r>
      <w:r>
        <w:rPr>
          <w:rFonts w:ascii="Symbol" w:hAnsi="Symbol"/>
          <w:w w:val="155"/>
          <w:sz w:val="18"/>
        </w:rPr>
        <w:t></w:t>
      </w:r>
      <w:r>
        <w:rPr>
          <w:w w:val="155"/>
          <w:sz w:val="18"/>
        </w:rPr>
        <w:t> </w:t>
      </w:r>
      <w:r>
        <w:rPr>
          <w:rFonts w:ascii="Symbol" w:hAnsi="Symbol"/>
          <w:w w:val="155"/>
          <w:sz w:val="21"/>
        </w:rPr>
        <w:t></w:t>
      </w:r>
      <w:r>
        <w:rPr>
          <w:w w:val="155"/>
          <w:sz w:val="21"/>
        </w:rPr>
        <w:t> </w:t>
      </w:r>
      <w:r>
        <w:rPr>
          <w:spacing w:val="6"/>
          <w:w w:val="155"/>
          <w:sz w:val="21"/>
        </w:rPr>
        <w:t> </w:t>
      </w:r>
      <w:r>
        <w:rPr>
          <w:rFonts w:ascii="Symbol" w:hAnsi="Symbol"/>
          <w:w w:val="155"/>
          <w:sz w:val="18"/>
        </w:rPr>
        <w:t></w:t>
      </w:r>
      <w:r>
        <w:rPr>
          <w:spacing w:val="-21"/>
          <w:w w:val="155"/>
          <w:sz w:val="18"/>
        </w:rPr>
        <w:t> </w:t>
      </w:r>
      <w:r>
        <w:rPr>
          <w:rFonts w:ascii="Symbol" w:hAnsi="Symbol"/>
          <w:w w:val="155"/>
          <w:position w:val="-3"/>
          <w:sz w:val="28"/>
        </w:rPr>
        <w:t></w:t>
      </w:r>
      <w:r>
        <w:rPr>
          <w:spacing w:val="-71"/>
          <w:w w:val="155"/>
          <w:position w:val="-3"/>
          <w:sz w:val="28"/>
        </w:rPr>
        <w:t> </w:t>
      </w:r>
      <w:r>
        <w:rPr>
          <w:rFonts w:ascii="Symbol" w:hAnsi="Symbol"/>
          <w:w w:val="155"/>
          <w:sz w:val="21"/>
        </w:rPr>
        <w:t></w:t>
      </w:r>
      <w:r>
        <w:rPr>
          <w:spacing w:val="64"/>
          <w:w w:val="155"/>
          <w:sz w:val="21"/>
        </w:rPr>
        <w:t> </w:t>
      </w:r>
      <w:r>
        <w:rPr>
          <w:i/>
          <w:w w:val="155"/>
          <w:sz w:val="18"/>
        </w:rPr>
        <w:t>LnCAB</w:t>
        <w:tab/>
      </w:r>
      <w:r>
        <w:rPr>
          <w:rFonts w:ascii="Symbol" w:hAnsi="Symbol"/>
          <w:w w:val="155"/>
          <w:sz w:val="18"/>
        </w:rPr>
        <w:t></w:t>
      </w:r>
      <w:r>
        <w:rPr>
          <w:spacing w:val="-21"/>
          <w:w w:val="155"/>
          <w:sz w:val="18"/>
        </w:rPr>
        <w:t> </w:t>
      </w:r>
      <w:r>
        <w:rPr>
          <w:rFonts w:ascii="Symbol" w:hAnsi="Symbol"/>
          <w:w w:val="155"/>
          <w:position w:val="-3"/>
          <w:sz w:val="28"/>
        </w:rPr>
        <w:t></w:t>
      </w:r>
      <w:r>
        <w:rPr>
          <w:spacing w:val="-71"/>
          <w:w w:val="155"/>
          <w:position w:val="-3"/>
          <w:sz w:val="28"/>
        </w:rPr>
        <w:t> </w:t>
      </w:r>
      <w:r>
        <w:rPr>
          <w:rFonts w:ascii="Symbol" w:hAnsi="Symbol"/>
          <w:w w:val="155"/>
          <w:sz w:val="21"/>
        </w:rPr>
        <w:t></w:t>
      </w:r>
      <w:r>
        <w:rPr>
          <w:w w:val="155"/>
          <w:sz w:val="21"/>
        </w:rPr>
        <w:t> </w:t>
      </w:r>
      <w:r>
        <w:rPr>
          <w:spacing w:val="12"/>
          <w:w w:val="155"/>
          <w:sz w:val="21"/>
        </w:rPr>
        <w:t> </w:t>
      </w:r>
      <w:r>
        <w:rPr>
          <w:i/>
          <w:w w:val="155"/>
          <w:sz w:val="18"/>
        </w:rPr>
        <w:t>LnREER</w:t>
        <w:tab/>
      </w:r>
      <w:r>
        <w:rPr>
          <w:rFonts w:ascii="Symbol" w:hAnsi="Symbol"/>
          <w:w w:val="155"/>
          <w:position w:val="-3"/>
          <w:sz w:val="28"/>
        </w:rPr>
        <w:t></w:t>
      </w:r>
      <w:r>
        <w:rPr>
          <w:spacing w:val="-70"/>
          <w:w w:val="155"/>
          <w:position w:val="-3"/>
          <w:sz w:val="28"/>
        </w:rPr>
        <w:t> </w:t>
      </w:r>
      <w:r>
        <w:rPr>
          <w:rFonts w:ascii="Symbol" w:hAnsi="Symbol"/>
          <w:w w:val="155"/>
          <w:sz w:val="21"/>
        </w:rPr>
        <w:t></w:t>
      </w:r>
      <w:r>
        <w:rPr>
          <w:w w:val="155"/>
          <w:sz w:val="21"/>
        </w:rPr>
        <w:t> </w:t>
      </w:r>
      <w:r>
        <w:rPr>
          <w:spacing w:val="6"/>
          <w:w w:val="155"/>
          <w:sz w:val="21"/>
        </w:rPr>
        <w:t> </w:t>
      </w:r>
      <w:r>
        <w:rPr>
          <w:i/>
          <w:w w:val="155"/>
          <w:sz w:val="18"/>
        </w:rPr>
        <w:t>LnGDP</w:t>
      </w:r>
      <w:r>
        <w:rPr>
          <w:i/>
          <w:w w:val="155"/>
          <w:sz w:val="18"/>
          <w:vertAlign w:val="superscript"/>
        </w:rPr>
        <w:t>d</w:t>
      </w:r>
      <w:r>
        <w:rPr>
          <w:i/>
          <w:spacing w:val="41"/>
          <w:w w:val="155"/>
          <w:sz w:val="18"/>
          <w:vertAlign w:val="baseline"/>
        </w:rPr>
        <w:t> </w:t>
      </w:r>
      <w:r>
        <w:rPr>
          <w:rFonts w:ascii="Symbol" w:hAnsi="Symbol"/>
          <w:w w:val="155"/>
          <w:sz w:val="18"/>
          <w:vertAlign w:val="baseline"/>
        </w:rPr>
        <w:t></w:t>
      </w:r>
    </w:p>
    <w:p>
      <w:pPr>
        <w:spacing w:after="0" w:line="178" w:lineRule="exact"/>
        <w:jc w:val="left"/>
        <w:rPr>
          <w:rFonts w:ascii="Symbol" w:hAnsi="Symbol"/>
          <w:sz w:val="18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2315" w:val="left" w:leader="none"/>
          <w:tab w:pos="3179" w:val="left" w:leader="none"/>
          <w:tab w:pos="4156" w:val="left" w:leader="none"/>
        </w:tabs>
        <w:spacing w:line="252" w:lineRule="auto" w:before="7"/>
        <w:ind w:left="2726" w:right="0" w:hanging="956"/>
        <w:jc w:val="left"/>
        <w:rPr>
          <w:sz w:val="10"/>
        </w:rPr>
      </w:pPr>
      <w:r>
        <w:rPr>
          <w:i/>
          <w:w w:val="165"/>
          <w:sz w:val="10"/>
        </w:rPr>
        <w:t>t</w:t>
        <w:tab/>
      </w:r>
      <w:r>
        <w:rPr>
          <w:w w:val="165"/>
          <w:sz w:val="10"/>
        </w:rPr>
        <w:t>0</w:t>
        <w:tab/>
        <w:tab/>
        <w:t>1</w:t>
      </w:r>
      <w:r>
        <w:rPr>
          <w:i/>
          <w:w w:val="165"/>
          <w:sz w:val="10"/>
        </w:rPr>
        <w:t>i</w:t>
        <w:tab/>
      </w:r>
      <w:r>
        <w:rPr>
          <w:i/>
          <w:spacing w:val="-5"/>
          <w:w w:val="165"/>
          <w:sz w:val="10"/>
        </w:rPr>
        <w:t>t </w:t>
      </w:r>
      <w:r>
        <w:rPr>
          <w:rFonts w:ascii="Symbol" w:hAnsi="Symbol"/>
          <w:spacing w:val="-5"/>
          <w:w w:val="165"/>
          <w:sz w:val="10"/>
        </w:rPr>
        <w:t></w:t>
      </w:r>
      <w:r>
        <w:rPr>
          <w:i/>
          <w:spacing w:val="-5"/>
          <w:w w:val="165"/>
          <w:sz w:val="10"/>
        </w:rPr>
        <w:t>i</w:t>
      </w:r>
      <w:r>
        <w:rPr>
          <w:i/>
          <w:spacing w:val="-40"/>
          <w:w w:val="165"/>
          <w:sz w:val="10"/>
        </w:rPr>
        <w:t> </w:t>
      </w:r>
      <w:r>
        <w:rPr>
          <w:i/>
          <w:w w:val="165"/>
          <w:sz w:val="10"/>
        </w:rPr>
        <w:t>i</w:t>
      </w:r>
      <w:r>
        <w:rPr>
          <w:i/>
          <w:spacing w:val="-30"/>
          <w:w w:val="165"/>
          <w:sz w:val="10"/>
        </w:rPr>
        <w:t> </w:t>
      </w:r>
      <w:r>
        <w:rPr>
          <w:rFonts w:ascii="Symbol" w:hAnsi="Symbol"/>
          <w:w w:val="165"/>
          <w:sz w:val="10"/>
        </w:rPr>
        <w:t></w:t>
      </w:r>
      <w:r>
        <w:rPr>
          <w:w w:val="165"/>
          <w:sz w:val="10"/>
        </w:rPr>
        <w:t>1</w:t>
      </w:r>
    </w:p>
    <w:p>
      <w:pPr>
        <w:pStyle w:val="BodyText"/>
        <w:spacing w:before="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279" w:right="0" w:firstLine="0"/>
        <w:jc w:val="left"/>
        <w:rPr>
          <w:sz w:val="10"/>
        </w:rPr>
      </w:pPr>
      <w:r>
        <w:rPr>
          <w:i/>
          <w:spacing w:val="-4"/>
          <w:w w:val="165"/>
          <w:sz w:val="10"/>
        </w:rPr>
        <w:t>i</w:t>
      </w:r>
      <w:r>
        <w:rPr>
          <w:i/>
          <w:spacing w:val="-29"/>
          <w:w w:val="165"/>
          <w:sz w:val="10"/>
        </w:rPr>
        <w:t> </w:t>
      </w:r>
      <w:r>
        <w:rPr>
          <w:rFonts w:ascii="Symbol" w:hAnsi="Symbol"/>
          <w:spacing w:val="-4"/>
          <w:w w:val="165"/>
          <w:sz w:val="10"/>
        </w:rPr>
        <w:t></w:t>
      </w:r>
      <w:r>
        <w:rPr>
          <w:spacing w:val="-4"/>
          <w:w w:val="165"/>
          <w:sz w:val="10"/>
        </w:rPr>
        <w:t>0</w:t>
      </w:r>
    </w:p>
    <w:p>
      <w:pPr>
        <w:tabs>
          <w:tab w:pos="1350" w:val="left" w:leader="none"/>
        </w:tabs>
        <w:spacing w:before="7"/>
        <w:ind w:left="205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65"/>
          <w:sz w:val="10"/>
        </w:rPr>
        <w:t>2</w:t>
      </w:r>
      <w:r>
        <w:rPr>
          <w:i/>
          <w:w w:val="165"/>
          <w:sz w:val="10"/>
        </w:rPr>
        <w:t>i</w:t>
        <w:tab/>
      </w:r>
      <w:r>
        <w:rPr>
          <w:i/>
          <w:spacing w:val="-5"/>
          <w:w w:val="165"/>
          <w:sz w:val="10"/>
        </w:rPr>
        <w:t>t</w:t>
      </w:r>
      <w:r>
        <w:rPr>
          <w:i/>
          <w:spacing w:val="-24"/>
          <w:w w:val="165"/>
          <w:sz w:val="10"/>
        </w:rPr>
        <w:t> </w:t>
      </w:r>
      <w:r>
        <w:rPr>
          <w:rFonts w:ascii="Symbol" w:hAnsi="Symbol"/>
          <w:spacing w:val="-5"/>
          <w:w w:val="165"/>
          <w:sz w:val="10"/>
        </w:rPr>
        <w:t></w:t>
      </w:r>
      <w:r>
        <w:rPr>
          <w:i/>
          <w:spacing w:val="-5"/>
          <w:w w:val="165"/>
          <w:sz w:val="10"/>
        </w:rPr>
        <w:t>i</w:t>
      </w:r>
    </w:p>
    <w:p>
      <w:pPr>
        <w:spacing w:before="14"/>
        <w:ind w:left="510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65"/>
          <w:sz w:val="10"/>
        </w:rPr>
        <w:t>3</w:t>
      </w:r>
      <w:r>
        <w:rPr>
          <w:i/>
          <w:w w:val="165"/>
          <w:sz w:val="10"/>
        </w:rPr>
        <w:t>i</w:t>
      </w:r>
    </w:p>
    <w:p>
      <w:pPr>
        <w:spacing w:before="6"/>
        <w:ind w:left="30" w:right="0" w:firstLine="0"/>
        <w:jc w:val="left"/>
        <w:rPr>
          <w:sz w:val="10"/>
        </w:rPr>
      </w:pPr>
      <w:r>
        <w:rPr>
          <w:i/>
          <w:w w:val="165"/>
          <w:sz w:val="10"/>
        </w:rPr>
        <w:t>i</w:t>
      </w:r>
      <w:r>
        <w:rPr>
          <w:i/>
          <w:spacing w:val="-27"/>
          <w:w w:val="165"/>
          <w:sz w:val="10"/>
        </w:rPr>
        <w:t> </w:t>
      </w:r>
      <w:r>
        <w:rPr>
          <w:rFonts w:ascii="Symbol" w:hAnsi="Symbol"/>
          <w:w w:val="165"/>
          <w:sz w:val="10"/>
        </w:rPr>
        <w:t></w:t>
      </w:r>
      <w:r>
        <w:rPr>
          <w:w w:val="165"/>
          <w:sz w:val="10"/>
        </w:rPr>
        <w:t>0</w:t>
      </w:r>
    </w:p>
    <w:p>
      <w:pPr>
        <w:spacing w:before="65"/>
        <w:ind w:left="838" w:right="0" w:firstLine="0"/>
        <w:jc w:val="left"/>
        <w:rPr>
          <w:i/>
          <w:sz w:val="7"/>
        </w:rPr>
      </w:pPr>
      <w:r>
        <w:rPr/>
        <w:br w:type="column"/>
      </w:r>
      <w:r>
        <w:rPr>
          <w:i/>
          <w:w w:val="170"/>
          <w:sz w:val="7"/>
        </w:rPr>
        <w:t>t</w:t>
      </w:r>
      <w:r>
        <w:rPr>
          <w:i/>
          <w:spacing w:val="-21"/>
          <w:w w:val="170"/>
          <w:sz w:val="7"/>
        </w:rPr>
        <w:t> </w:t>
      </w:r>
      <w:r>
        <w:rPr>
          <w:rFonts w:ascii="Symbol" w:hAnsi="Symbol"/>
          <w:w w:val="170"/>
          <w:sz w:val="7"/>
        </w:rPr>
        <w:t></w:t>
      </w:r>
      <w:r>
        <w:rPr>
          <w:i/>
          <w:w w:val="170"/>
          <w:sz w:val="7"/>
        </w:rPr>
        <w:t>i</w:t>
      </w:r>
      <w:r>
        <w:rPr>
          <w:i/>
          <w:sz w:val="7"/>
        </w:rPr>
        <w:t>   </w:t>
      </w:r>
      <w:r>
        <w:rPr>
          <w:i/>
          <w:spacing w:val="3"/>
          <w:sz w:val="7"/>
        </w:rPr>
        <w:t> </w:t>
      </w:r>
    </w:p>
    <w:p>
      <w:pPr>
        <w:spacing w:after="0"/>
        <w:jc w:val="left"/>
        <w:rPr>
          <w:sz w:val="7"/>
        </w:rPr>
        <w:sectPr>
          <w:type w:val="continuous"/>
          <w:pgSz w:w="12240" w:h="15840"/>
          <w:pgMar w:top="1500" w:bottom="1200" w:left="1320" w:right="440"/>
          <w:cols w:num="5" w:equalWidth="0">
            <w:col w:w="4362" w:space="40"/>
            <w:col w:w="519" w:space="39"/>
            <w:col w:w="1556" w:space="40"/>
            <w:col w:w="641" w:space="39"/>
            <w:col w:w="3244"/>
          </w:cols>
        </w:sectPr>
      </w:pPr>
    </w:p>
    <w:p>
      <w:pPr>
        <w:tabs>
          <w:tab w:pos="3139" w:val="left" w:leader="none"/>
          <w:tab w:pos="5081" w:val="left" w:leader="none"/>
          <w:tab w:pos="6936" w:val="left" w:leader="none"/>
        </w:tabs>
        <w:spacing w:line="45" w:lineRule="exact" w:before="54"/>
        <w:ind w:left="1131" w:right="0" w:firstLine="0"/>
        <w:jc w:val="left"/>
        <w:rPr>
          <w:i/>
          <w:sz w:val="10"/>
        </w:rPr>
      </w:pPr>
      <w:r>
        <w:rPr>
          <w:i/>
          <w:w w:val="165"/>
          <w:sz w:val="10"/>
        </w:rPr>
        <w:t>k</w:t>
        <w:tab/>
        <w:t>k</w:t>
        <w:tab/>
        <w:t>k</w:t>
        <w:tab/>
        <w:t>k</w:t>
      </w:r>
    </w:p>
    <w:p>
      <w:pPr>
        <w:spacing w:after="0" w:line="45" w:lineRule="exact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4805" w:val="left" w:leader="none"/>
          <w:tab w:pos="6620" w:val="left" w:leader="none"/>
        </w:tabs>
        <w:spacing w:line="178" w:lineRule="exact" w:before="0"/>
        <w:ind w:left="855" w:right="0" w:firstLine="0"/>
        <w:jc w:val="left"/>
        <w:rPr>
          <w:i/>
          <w:sz w:val="18"/>
        </w:rPr>
      </w:pPr>
      <w:r>
        <w:rPr>
          <w:rFonts w:ascii="Symbol" w:hAnsi="Symbol"/>
          <w:w w:val="155"/>
          <w:sz w:val="18"/>
        </w:rPr>
        <w:t></w:t>
      </w:r>
      <w:r>
        <w:rPr>
          <w:rFonts w:ascii="Symbol" w:hAnsi="Symbol"/>
          <w:w w:val="155"/>
          <w:position w:val="-3"/>
          <w:sz w:val="28"/>
        </w:rPr>
        <w:t></w:t>
      </w:r>
      <w:r>
        <w:rPr>
          <w:spacing w:val="-71"/>
          <w:w w:val="155"/>
          <w:position w:val="-3"/>
          <w:sz w:val="28"/>
        </w:rPr>
        <w:t> </w:t>
      </w:r>
      <w:r>
        <w:rPr>
          <w:rFonts w:ascii="Symbol" w:hAnsi="Symbol"/>
          <w:w w:val="155"/>
          <w:sz w:val="21"/>
        </w:rPr>
        <w:t></w:t>
      </w:r>
      <w:r>
        <w:rPr>
          <w:w w:val="155"/>
          <w:sz w:val="21"/>
        </w:rPr>
        <w:t> </w:t>
      </w:r>
      <w:r>
        <w:rPr>
          <w:spacing w:val="13"/>
          <w:w w:val="155"/>
          <w:sz w:val="21"/>
        </w:rPr>
        <w:t> </w:t>
      </w:r>
      <w:r>
        <w:rPr>
          <w:i/>
          <w:w w:val="155"/>
          <w:sz w:val="18"/>
        </w:rPr>
        <w:t>LnGDP</w:t>
      </w:r>
      <w:r>
        <w:rPr>
          <w:i/>
          <w:spacing w:val="-27"/>
          <w:w w:val="155"/>
          <w:sz w:val="18"/>
        </w:rPr>
        <w:t> </w:t>
      </w:r>
      <w:r>
        <w:rPr>
          <w:i/>
          <w:w w:val="155"/>
          <w:sz w:val="18"/>
          <w:vertAlign w:val="superscript"/>
        </w:rPr>
        <w:t>f</w:t>
      </w:r>
      <w:r>
        <w:rPr>
          <w:i/>
          <w:w w:val="155"/>
          <w:sz w:val="18"/>
          <w:vertAlign w:val="baseline"/>
        </w:rPr>
        <w:t> </w:t>
      </w:r>
      <w:r>
        <w:rPr>
          <w:i/>
          <w:spacing w:val="6"/>
          <w:w w:val="155"/>
          <w:sz w:val="18"/>
          <w:vertAlign w:val="baseline"/>
        </w:rPr>
        <w:t> </w:t>
      </w:r>
      <w:r>
        <w:rPr>
          <w:rFonts w:ascii="Symbol" w:hAnsi="Symbol"/>
          <w:w w:val="155"/>
          <w:sz w:val="18"/>
          <w:vertAlign w:val="baseline"/>
        </w:rPr>
        <w:t></w:t>
      </w:r>
      <w:r>
        <w:rPr>
          <w:spacing w:val="-22"/>
          <w:w w:val="155"/>
          <w:sz w:val="18"/>
          <w:vertAlign w:val="baseline"/>
        </w:rPr>
        <w:t> </w:t>
      </w:r>
      <w:r>
        <w:rPr>
          <w:rFonts w:ascii="Symbol" w:hAnsi="Symbol"/>
          <w:w w:val="155"/>
          <w:position w:val="-3"/>
          <w:sz w:val="28"/>
          <w:vertAlign w:val="baseline"/>
        </w:rPr>
        <w:t></w:t>
      </w:r>
      <w:r>
        <w:rPr>
          <w:spacing w:val="-70"/>
          <w:w w:val="155"/>
          <w:position w:val="-3"/>
          <w:sz w:val="28"/>
          <w:vertAlign w:val="baseline"/>
        </w:rPr>
        <w:t> </w:t>
      </w:r>
      <w:r>
        <w:rPr>
          <w:rFonts w:ascii="Symbol" w:hAnsi="Symbol"/>
          <w:w w:val="155"/>
          <w:sz w:val="21"/>
          <w:vertAlign w:val="baseline"/>
        </w:rPr>
        <w:t></w:t>
      </w:r>
      <w:r>
        <w:rPr>
          <w:w w:val="155"/>
          <w:sz w:val="21"/>
          <w:vertAlign w:val="baseline"/>
        </w:rPr>
        <w:t> </w:t>
      </w:r>
      <w:r>
        <w:rPr>
          <w:spacing w:val="5"/>
          <w:w w:val="155"/>
          <w:sz w:val="21"/>
          <w:vertAlign w:val="baseline"/>
        </w:rPr>
        <w:t> </w:t>
      </w:r>
      <w:r>
        <w:rPr>
          <w:i/>
          <w:w w:val="155"/>
          <w:sz w:val="18"/>
          <w:vertAlign w:val="baseline"/>
        </w:rPr>
        <w:t>LnWPI</w:t>
        <w:tab/>
      </w:r>
      <w:r>
        <w:rPr>
          <w:rFonts w:ascii="Symbol" w:hAnsi="Symbol"/>
          <w:w w:val="155"/>
          <w:sz w:val="18"/>
          <w:vertAlign w:val="baseline"/>
        </w:rPr>
        <w:t></w:t>
      </w:r>
      <w:r>
        <w:rPr>
          <w:rFonts w:ascii="Symbol" w:hAnsi="Symbol"/>
          <w:w w:val="155"/>
          <w:position w:val="-3"/>
          <w:sz w:val="28"/>
          <w:vertAlign w:val="baseline"/>
        </w:rPr>
        <w:t></w:t>
      </w:r>
      <w:r>
        <w:rPr>
          <w:spacing w:val="-69"/>
          <w:w w:val="155"/>
          <w:position w:val="-3"/>
          <w:sz w:val="28"/>
          <w:vertAlign w:val="baseline"/>
        </w:rPr>
        <w:t> </w:t>
      </w:r>
      <w:r>
        <w:rPr>
          <w:rFonts w:ascii="Symbol" w:hAnsi="Symbol"/>
          <w:w w:val="155"/>
          <w:sz w:val="21"/>
          <w:vertAlign w:val="baseline"/>
        </w:rPr>
        <w:t></w:t>
      </w:r>
      <w:r>
        <w:rPr>
          <w:w w:val="155"/>
          <w:sz w:val="21"/>
          <w:vertAlign w:val="baseline"/>
        </w:rPr>
        <w:t> </w:t>
      </w:r>
      <w:r>
        <w:rPr>
          <w:spacing w:val="12"/>
          <w:w w:val="155"/>
          <w:sz w:val="21"/>
          <w:vertAlign w:val="baseline"/>
        </w:rPr>
        <w:t> </w:t>
      </w:r>
      <w:r>
        <w:rPr>
          <w:i/>
          <w:w w:val="155"/>
          <w:sz w:val="18"/>
          <w:vertAlign w:val="baseline"/>
        </w:rPr>
        <w:t>LnMS</w:t>
        <w:tab/>
      </w:r>
      <w:r>
        <w:rPr>
          <w:rFonts w:ascii="Symbol" w:hAnsi="Symbol"/>
          <w:w w:val="150"/>
          <w:sz w:val="18"/>
          <w:vertAlign w:val="baseline"/>
        </w:rPr>
        <w:t></w:t>
      </w:r>
      <w:r>
        <w:rPr>
          <w:spacing w:val="-21"/>
          <w:w w:val="150"/>
          <w:sz w:val="18"/>
          <w:vertAlign w:val="baseline"/>
        </w:rPr>
        <w:t> </w:t>
      </w:r>
      <w:r>
        <w:rPr>
          <w:rFonts w:ascii="Symbol" w:hAnsi="Symbol"/>
          <w:w w:val="150"/>
          <w:position w:val="-3"/>
          <w:sz w:val="28"/>
          <w:vertAlign w:val="baseline"/>
        </w:rPr>
        <w:t></w:t>
      </w:r>
      <w:r>
        <w:rPr>
          <w:spacing w:val="-66"/>
          <w:w w:val="150"/>
          <w:position w:val="-3"/>
          <w:sz w:val="28"/>
          <w:vertAlign w:val="baseline"/>
        </w:rPr>
        <w:t> </w:t>
      </w:r>
      <w:r>
        <w:rPr>
          <w:rFonts w:ascii="Symbol" w:hAnsi="Symbol"/>
          <w:w w:val="150"/>
          <w:sz w:val="21"/>
          <w:vertAlign w:val="baseline"/>
        </w:rPr>
        <w:t></w:t>
      </w:r>
      <w:r>
        <w:rPr>
          <w:w w:val="150"/>
          <w:sz w:val="21"/>
          <w:vertAlign w:val="baseline"/>
        </w:rPr>
        <w:t> </w:t>
      </w:r>
      <w:r>
        <w:rPr>
          <w:spacing w:val="18"/>
          <w:w w:val="150"/>
          <w:sz w:val="21"/>
          <w:vertAlign w:val="baseline"/>
        </w:rPr>
        <w:t> </w:t>
      </w:r>
      <w:r>
        <w:rPr>
          <w:i/>
          <w:w w:val="150"/>
          <w:sz w:val="18"/>
          <w:vertAlign w:val="baseline"/>
        </w:rPr>
        <w:t>IR</w:t>
      </w:r>
    </w:p>
    <w:p>
      <w:pPr>
        <w:spacing w:line="151" w:lineRule="exact" w:before="26"/>
        <w:ind w:left="229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w w:val="150"/>
          <w:sz w:val="18"/>
        </w:rPr>
        <w:t></w:t>
      </w:r>
      <w:r>
        <w:rPr>
          <w:spacing w:val="-13"/>
          <w:w w:val="150"/>
          <w:sz w:val="18"/>
        </w:rPr>
        <w:t> </w:t>
      </w:r>
      <w:r>
        <w:rPr>
          <w:rFonts w:ascii="Symbol" w:hAnsi="Symbol"/>
          <w:w w:val="150"/>
          <w:sz w:val="21"/>
        </w:rPr>
        <w:t></w:t>
      </w:r>
      <w:r>
        <w:rPr>
          <w:spacing w:val="32"/>
          <w:w w:val="150"/>
          <w:sz w:val="21"/>
        </w:rPr>
        <w:t> </w:t>
      </w:r>
      <w:r>
        <w:rPr>
          <w:i/>
          <w:w w:val="150"/>
          <w:sz w:val="18"/>
        </w:rPr>
        <w:t>D</w:t>
      </w:r>
      <w:r>
        <w:rPr>
          <w:i/>
          <w:spacing w:val="44"/>
          <w:w w:val="150"/>
          <w:sz w:val="18"/>
        </w:rPr>
        <w:t> </w:t>
      </w:r>
      <w:r>
        <w:rPr>
          <w:rFonts w:ascii="Symbol" w:hAnsi="Symbol"/>
          <w:w w:val="150"/>
          <w:sz w:val="18"/>
        </w:rPr>
        <w:t></w:t>
      </w:r>
      <w:r>
        <w:rPr>
          <w:spacing w:val="-30"/>
          <w:w w:val="150"/>
          <w:sz w:val="18"/>
        </w:rPr>
        <w:t> </w:t>
      </w:r>
      <w:r>
        <w:rPr>
          <w:rFonts w:ascii="Symbol" w:hAnsi="Symbol"/>
          <w:w w:val="150"/>
          <w:sz w:val="21"/>
        </w:rPr>
        <w:t></w:t>
      </w:r>
    </w:p>
    <w:p>
      <w:pPr>
        <w:spacing w:after="0" w:line="151" w:lineRule="exact"/>
        <w:jc w:val="left"/>
        <w:rPr>
          <w:rFonts w:ascii="Symbol" w:hAnsi="Symbol"/>
          <w:sz w:val="21"/>
        </w:rPr>
        <w:sectPr>
          <w:type w:val="continuous"/>
          <w:pgSz w:w="12240" w:h="15840"/>
          <w:pgMar w:top="1500" w:bottom="1200" w:left="1320" w:right="440"/>
          <w:cols w:num="2" w:equalWidth="0">
            <w:col w:w="7778" w:space="40"/>
            <w:col w:w="2662"/>
          </w:cols>
        </w:sectPr>
      </w:pPr>
    </w:p>
    <w:p>
      <w:pPr>
        <w:pStyle w:val="BodyText"/>
        <w:rPr>
          <w:rFonts w:ascii="Symbol" w:hAnsi="Symbol"/>
          <w:sz w:val="11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i/>
          <w:w w:val="165"/>
          <w:sz w:val="10"/>
        </w:rPr>
        <w:t>i</w:t>
      </w:r>
      <w:r>
        <w:rPr>
          <w:i/>
          <w:spacing w:val="-27"/>
          <w:w w:val="165"/>
          <w:sz w:val="10"/>
        </w:rPr>
        <w:t> </w:t>
      </w:r>
      <w:r>
        <w:rPr>
          <w:rFonts w:ascii="Symbol" w:hAnsi="Symbol"/>
          <w:w w:val="165"/>
          <w:sz w:val="10"/>
        </w:rPr>
        <w:t></w:t>
      </w:r>
      <w:r>
        <w:rPr>
          <w:w w:val="165"/>
          <w:sz w:val="10"/>
        </w:rPr>
        <w:t>0</w:t>
      </w:r>
    </w:p>
    <w:p>
      <w:pPr>
        <w:tabs>
          <w:tab w:pos="1204" w:val="left" w:leader="none"/>
        </w:tabs>
        <w:spacing w:before="7"/>
        <w:ind w:left="205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65"/>
          <w:sz w:val="10"/>
        </w:rPr>
        <w:t>4</w:t>
      </w:r>
      <w:r>
        <w:rPr>
          <w:i/>
          <w:w w:val="165"/>
          <w:sz w:val="10"/>
        </w:rPr>
        <w:t>i</w:t>
        <w:tab/>
      </w:r>
      <w:r>
        <w:rPr>
          <w:i/>
          <w:spacing w:val="-5"/>
          <w:w w:val="165"/>
          <w:sz w:val="10"/>
        </w:rPr>
        <w:t>t</w:t>
      </w:r>
      <w:r>
        <w:rPr>
          <w:i/>
          <w:spacing w:val="-24"/>
          <w:w w:val="165"/>
          <w:sz w:val="10"/>
        </w:rPr>
        <w:t> </w:t>
      </w:r>
      <w:r>
        <w:rPr>
          <w:rFonts w:ascii="Symbol" w:hAnsi="Symbol"/>
          <w:spacing w:val="-5"/>
          <w:w w:val="165"/>
          <w:sz w:val="10"/>
        </w:rPr>
        <w:t></w:t>
      </w:r>
      <w:r>
        <w:rPr>
          <w:i/>
          <w:spacing w:val="-5"/>
          <w:w w:val="165"/>
          <w:sz w:val="10"/>
        </w:rPr>
        <w:t>i</w:t>
      </w:r>
    </w:p>
    <w:p>
      <w:pPr>
        <w:pStyle w:val="BodyText"/>
        <w:spacing w:before="9"/>
        <w:rPr>
          <w:i/>
          <w:sz w:val="11"/>
        </w:rPr>
      </w:pPr>
      <w:r>
        <w:rPr/>
        <w:br w:type="column"/>
      </w:r>
      <w:r>
        <w:rPr>
          <w:i/>
          <w:sz w:val="11"/>
        </w:rPr>
      </w:r>
    </w:p>
    <w:p>
      <w:pPr>
        <w:spacing w:before="0"/>
        <w:ind w:left="279" w:right="0" w:firstLine="0"/>
        <w:jc w:val="left"/>
        <w:rPr>
          <w:sz w:val="10"/>
        </w:rPr>
      </w:pPr>
      <w:r>
        <w:rPr>
          <w:i/>
          <w:spacing w:val="-4"/>
          <w:w w:val="165"/>
          <w:sz w:val="10"/>
        </w:rPr>
        <w:t>i</w:t>
      </w:r>
      <w:r>
        <w:rPr>
          <w:i/>
          <w:spacing w:val="-29"/>
          <w:w w:val="165"/>
          <w:sz w:val="10"/>
        </w:rPr>
        <w:t> </w:t>
      </w:r>
      <w:r>
        <w:rPr>
          <w:rFonts w:ascii="Symbol" w:hAnsi="Symbol"/>
          <w:spacing w:val="-4"/>
          <w:w w:val="165"/>
          <w:sz w:val="10"/>
        </w:rPr>
        <w:t></w:t>
      </w:r>
      <w:r>
        <w:rPr>
          <w:spacing w:val="-4"/>
          <w:w w:val="165"/>
          <w:sz w:val="10"/>
        </w:rPr>
        <w:t>0</w:t>
      </w:r>
    </w:p>
    <w:p>
      <w:pPr>
        <w:tabs>
          <w:tab w:pos="1179" w:val="left" w:leader="none"/>
        </w:tabs>
        <w:spacing w:before="7"/>
        <w:ind w:left="200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65"/>
          <w:sz w:val="10"/>
        </w:rPr>
        <w:t>5</w:t>
      </w:r>
      <w:r>
        <w:rPr>
          <w:i/>
          <w:w w:val="165"/>
          <w:sz w:val="10"/>
        </w:rPr>
        <w:t>i</w:t>
        <w:tab/>
      </w:r>
      <w:r>
        <w:rPr>
          <w:i/>
          <w:spacing w:val="-5"/>
          <w:w w:val="165"/>
          <w:sz w:val="10"/>
        </w:rPr>
        <w:t>t</w:t>
      </w:r>
      <w:r>
        <w:rPr>
          <w:i/>
          <w:spacing w:val="-24"/>
          <w:w w:val="165"/>
          <w:sz w:val="10"/>
        </w:rPr>
        <w:t> </w:t>
      </w:r>
      <w:r>
        <w:rPr>
          <w:rFonts w:ascii="Symbol" w:hAnsi="Symbol"/>
          <w:spacing w:val="-5"/>
          <w:w w:val="165"/>
          <w:sz w:val="10"/>
        </w:rPr>
        <w:t></w:t>
      </w:r>
      <w:r>
        <w:rPr>
          <w:i/>
          <w:spacing w:val="-5"/>
          <w:w w:val="165"/>
          <w:sz w:val="10"/>
        </w:rPr>
        <w:t>i</w:t>
      </w:r>
    </w:p>
    <w:p>
      <w:pPr>
        <w:pStyle w:val="BodyText"/>
        <w:spacing w:before="9"/>
        <w:rPr>
          <w:i/>
          <w:sz w:val="11"/>
        </w:rPr>
      </w:pPr>
      <w:r>
        <w:rPr/>
        <w:br w:type="column"/>
      </w:r>
      <w:r>
        <w:rPr>
          <w:i/>
          <w:sz w:val="11"/>
        </w:rPr>
      </w:r>
    </w:p>
    <w:p>
      <w:pPr>
        <w:spacing w:before="0"/>
        <w:ind w:left="239" w:right="0" w:firstLine="0"/>
        <w:jc w:val="left"/>
        <w:rPr>
          <w:sz w:val="10"/>
        </w:rPr>
      </w:pPr>
      <w:r>
        <w:rPr>
          <w:i/>
          <w:spacing w:val="-4"/>
          <w:w w:val="165"/>
          <w:sz w:val="10"/>
        </w:rPr>
        <w:t>i</w:t>
      </w:r>
      <w:r>
        <w:rPr>
          <w:i/>
          <w:spacing w:val="-29"/>
          <w:w w:val="165"/>
          <w:sz w:val="10"/>
        </w:rPr>
        <w:t> </w:t>
      </w:r>
      <w:r>
        <w:rPr>
          <w:rFonts w:ascii="Symbol" w:hAnsi="Symbol"/>
          <w:spacing w:val="-4"/>
          <w:w w:val="165"/>
          <w:sz w:val="10"/>
        </w:rPr>
        <w:t></w:t>
      </w:r>
      <w:r>
        <w:rPr>
          <w:spacing w:val="-4"/>
          <w:w w:val="165"/>
          <w:sz w:val="10"/>
        </w:rPr>
        <w:t>0</w:t>
      </w:r>
    </w:p>
    <w:p>
      <w:pPr>
        <w:tabs>
          <w:tab w:pos="1050" w:val="left" w:leader="none"/>
        </w:tabs>
        <w:spacing w:before="7"/>
        <w:ind w:left="203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65"/>
          <w:sz w:val="10"/>
        </w:rPr>
        <w:t>6</w:t>
      </w:r>
      <w:r>
        <w:rPr>
          <w:i/>
          <w:w w:val="165"/>
          <w:sz w:val="10"/>
        </w:rPr>
        <w:t>i</w:t>
        <w:tab/>
      </w:r>
      <w:r>
        <w:rPr>
          <w:i/>
          <w:spacing w:val="-5"/>
          <w:w w:val="165"/>
          <w:sz w:val="10"/>
        </w:rPr>
        <w:t>t</w:t>
      </w:r>
      <w:r>
        <w:rPr>
          <w:i/>
          <w:spacing w:val="-24"/>
          <w:w w:val="165"/>
          <w:sz w:val="10"/>
        </w:rPr>
        <w:t> </w:t>
      </w:r>
      <w:r>
        <w:rPr>
          <w:rFonts w:ascii="Symbol" w:hAnsi="Symbol"/>
          <w:spacing w:val="-5"/>
          <w:w w:val="165"/>
          <w:sz w:val="10"/>
        </w:rPr>
        <w:t></w:t>
      </w:r>
      <w:r>
        <w:rPr>
          <w:i/>
          <w:spacing w:val="-5"/>
          <w:w w:val="165"/>
          <w:sz w:val="10"/>
        </w:rPr>
        <w:t>i</w:t>
      </w:r>
    </w:p>
    <w:p>
      <w:pPr>
        <w:pStyle w:val="BodyText"/>
        <w:spacing w:before="9"/>
        <w:rPr>
          <w:i/>
          <w:sz w:val="11"/>
        </w:rPr>
      </w:pPr>
      <w:r>
        <w:rPr/>
        <w:br w:type="column"/>
      </w:r>
      <w:r>
        <w:rPr>
          <w:i/>
          <w:sz w:val="11"/>
        </w:rPr>
      </w:r>
    </w:p>
    <w:p>
      <w:pPr>
        <w:spacing w:before="0"/>
        <w:ind w:left="279" w:right="0" w:firstLine="0"/>
        <w:jc w:val="left"/>
        <w:rPr>
          <w:sz w:val="10"/>
        </w:rPr>
      </w:pPr>
      <w:r>
        <w:rPr>
          <w:i/>
          <w:spacing w:val="-4"/>
          <w:w w:val="165"/>
          <w:sz w:val="10"/>
        </w:rPr>
        <w:t>i</w:t>
      </w:r>
      <w:r>
        <w:rPr>
          <w:i/>
          <w:spacing w:val="-29"/>
          <w:w w:val="165"/>
          <w:sz w:val="10"/>
        </w:rPr>
        <w:t> </w:t>
      </w:r>
      <w:r>
        <w:rPr>
          <w:rFonts w:ascii="Symbol" w:hAnsi="Symbol"/>
          <w:spacing w:val="-4"/>
          <w:w w:val="165"/>
          <w:sz w:val="10"/>
        </w:rPr>
        <w:t></w:t>
      </w:r>
      <w:r>
        <w:rPr>
          <w:spacing w:val="-4"/>
          <w:w w:val="165"/>
          <w:sz w:val="10"/>
        </w:rPr>
        <w:t>0</w:t>
      </w:r>
    </w:p>
    <w:p>
      <w:pPr>
        <w:tabs>
          <w:tab w:pos="620" w:val="left" w:leader="none"/>
        </w:tabs>
        <w:spacing w:before="7"/>
        <w:ind w:left="203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65"/>
          <w:sz w:val="10"/>
        </w:rPr>
        <w:t>7</w:t>
      </w:r>
      <w:r>
        <w:rPr>
          <w:i/>
          <w:w w:val="165"/>
          <w:sz w:val="10"/>
        </w:rPr>
        <w:t>i</w:t>
        <w:tab/>
      </w:r>
      <w:r>
        <w:rPr>
          <w:i/>
          <w:spacing w:val="-6"/>
          <w:w w:val="165"/>
          <w:sz w:val="10"/>
        </w:rPr>
        <w:t>t</w:t>
      </w:r>
      <w:r>
        <w:rPr>
          <w:i/>
          <w:spacing w:val="-22"/>
          <w:w w:val="165"/>
          <w:sz w:val="10"/>
        </w:rPr>
        <w:t> </w:t>
      </w:r>
      <w:r>
        <w:rPr>
          <w:rFonts w:ascii="Symbol" w:hAnsi="Symbol"/>
          <w:spacing w:val="-5"/>
          <w:w w:val="165"/>
          <w:sz w:val="10"/>
        </w:rPr>
        <w:t></w:t>
      </w:r>
      <w:r>
        <w:rPr>
          <w:i/>
          <w:spacing w:val="-5"/>
          <w:w w:val="165"/>
          <w:sz w:val="10"/>
        </w:rPr>
        <w:t>i</w:t>
      </w:r>
    </w:p>
    <w:p>
      <w:pPr>
        <w:tabs>
          <w:tab w:pos="709" w:val="left" w:leader="none"/>
          <w:tab w:pos="1176" w:val="left" w:leader="none"/>
        </w:tabs>
        <w:spacing w:before="14"/>
        <w:ind w:left="418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65"/>
          <w:sz w:val="10"/>
        </w:rPr>
        <w:t>8</w:t>
        <w:tab/>
      </w:r>
      <w:r>
        <w:rPr>
          <w:i/>
          <w:w w:val="165"/>
          <w:sz w:val="10"/>
        </w:rPr>
        <w:t>i</w:t>
        <w:tab/>
        <w:t>i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9" w:equalWidth="0">
            <w:col w:w="1293" w:space="40"/>
            <w:col w:w="1410" w:space="39"/>
            <w:col w:w="519" w:space="39"/>
            <w:col w:w="1384" w:space="40"/>
            <w:col w:w="479" w:space="40"/>
            <w:col w:w="1256" w:space="40"/>
            <w:col w:w="520" w:space="39"/>
            <w:col w:w="826" w:space="40"/>
            <w:col w:w="2476"/>
          </w:cols>
        </w:sectPr>
      </w:pPr>
    </w:p>
    <w:p>
      <w:pPr>
        <w:pStyle w:val="BodyText"/>
        <w:rPr>
          <w:i/>
          <w:sz w:val="14"/>
        </w:rPr>
      </w:pPr>
    </w:p>
    <w:p>
      <w:pPr>
        <w:pStyle w:val="Heading2"/>
        <w:spacing w:before="90"/>
      </w:pPr>
      <w:r>
        <w:rPr/>
        <w:t>The</w:t>
      </w:r>
      <w:r>
        <w:rPr>
          <w:spacing w:val="-3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Account</w:t>
      </w:r>
      <w:r>
        <w:rPr>
          <w:spacing w:val="-2"/>
        </w:rPr>
        <w:t> </w:t>
      </w:r>
      <w:r>
        <w:rPr/>
        <w:t>Balance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3"/>
        <w:rPr>
          <w:b/>
          <w:sz w:val="8"/>
        </w:rPr>
      </w:pPr>
    </w:p>
    <w:p>
      <w:pPr>
        <w:tabs>
          <w:tab w:pos="4743" w:val="left" w:leader="none"/>
          <w:tab w:pos="6649" w:val="left" w:leader="none"/>
        </w:tabs>
        <w:spacing w:line="44" w:lineRule="exact" w:before="0"/>
        <w:ind w:left="2791" w:right="0" w:firstLine="0"/>
        <w:jc w:val="left"/>
        <w:rPr>
          <w:i/>
          <w:sz w:val="9"/>
        </w:rPr>
      </w:pPr>
      <w:r>
        <w:rPr>
          <w:i/>
          <w:w w:val="190"/>
          <w:sz w:val="9"/>
        </w:rPr>
        <w:t>k</w:t>
        <w:tab/>
        <w:t>k</w:t>
        <w:tab/>
        <w:t>k</w:t>
      </w:r>
    </w:p>
    <w:p>
      <w:pPr>
        <w:tabs>
          <w:tab w:pos="4422" w:val="left" w:leader="none"/>
          <w:tab w:pos="6538" w:val="left" w:leader="none"/>
        </w:tabs>
        <w:spacing w:line="142" w:lineRule="exact" w:before="4"/>
        <w:ind w:left="865" w:right="0" w:firstLine="0"/>
        <w:jc w:val="left"/>
        <w:rPr>
          <w:rFonts w:ascii="Symbol" w:hAnsi="Symbol"/>
          <w:sz w:val="15"/>
        </w:rPr>
      </w:pPr>
      <w:r>
        <w:rPr>
          <w:i/>
          <w:w w:val="185"/>
          <w:sz w:val="15"/>
        </w:rPr>
        <w:t>L</w:t>
      </w:r>
      <w:r>
        <w:rPr>
          <w:i/>
          <w:spacing w:val="-28"/>
          <w:w w:val="185"/>
          <w:sz w:val="15"/>
        </w:rPr>
        <w:t> </w:t>
      </w:r>
      <w:r>
        <w:rPr>
          <w:w w:val="185"/>
          <w:sz w:val="15"/>
        </w:rPr>
        <w:t>n</w:t>
      </w:r>
      <w:r>
        <w:rPr>
          <w:spacing w:val="-10"/>
          <w:w w:val="185"/>
          <w:sz w:val="15"/>
        </w:rPr>
        <w:t> </w:t>
      </w:r>
      <w:r>
        <w:rPr>
          <w:i/>
          <w:w w:val="185"/>
          <w:sz w:val="15"/>
        </w:rPr>
        <w:t>FAB </w:t>
      </w:r>
      <w:r>
        <w:rPr>
          <w:i/>
          <w:spacing w:val="7"/>
          <w:w w:val="185"/>
          <w:sz w:val="15"/>
        </w:rPr>
        <w:t> </w:t>
      </w:r>
      <w:r>
        <w:rPr>
          <w:rFonts w:ascii="Symbol" w:hAnsi="Symbol"/>
          <w:w w:val="185"/>
          <w:sz w:val="15"/>
        </w:rPr>
        <w:t></w:t>
      </w:r>
      <w:r>
        <w:rPr>
          <w:spacing w:val="-6"/>
          <w:w w:val="185"/>
          <w:sz w:val="15"/>
        </w:rPr>
        <w:t> </w:t>
      </w:r>
      <w:r>
        <w:rPr>
          <w:rFonts w:ascii="Symbol" w:hAnsi="Symbol"/>
          <w:w w:val="185"/>
          <w:sz w:val="18"/>
        </w:rPr>
        <w:t></w:t>
      </w:r>
      <w:r>
        <w:rPr>
          <w:spacing w:val="78"/>
          <w:w w:val="185"/>
          <w:sz w:val="18"/>
        </w:rPr>
        <w:t> </w:t>
      </w:r>
      <w:r>
        <w:rPr>
          <w:rFonts w:ascii="Symbol" w:hAnsi="Symbol"/>
          <w:w w:val="185"/>
          <w:sz w:val="15"/>
        </w:rPr>
        <w:t></w:t>
      </w:r>
      <w:r>
        <w:rPr>
          <w:spacing w:val="-16"/>
          <w:w w:val="185"/>
          <w:sz w:val="15"/>
        </w:rPr>
        <w:t> </w:t>
      </w:r>
      <w:r>
        <w:rPr>
          <w:rFonts w:ascii="Symbol" w:hAnsi="Symbol"/>
          <w:w w:val="185"/>
          <w:position w:val="-3"/>
          <w:sz w:val="23"/>
        </w:rPr>
        <w:t></w:t>
      </w:r>
      <w:r>
        <w:rPr>
          <w:spacing w:val="-76"/>
          <w:w w:val="185"/>
          <w:position w:val="-3"/>
          <w:sz w:val="23"/>
        </w:rPr>
        <w:t> </w:t>
      </w:r>
      <w:r>
        <w:rPr>
          <w:rFonts w:ascii="Symbol" w:hAnsi="Symbol"/>
          <w:w w:val="185"/>
          <w:sz w:val="18"/>
        </w:rPr>
        <w:t></w:t>
      </w:r>
      <w:r>
        <w:rPr>
          <w:spacing w:val="52"/>
          <w:w w:val="185"/>
          <w:sz w:val="18"/>
        </w:rPr>
        <w:t> </w:t>
      </w:r>
      <w:r>
        <w:rPr>
          <w:i/>
          <w:w w:val="185"/>
          <w:sz w:val="15"/>
        </w:rPr>
        <w:t>LnFAB</w:t>
        <w:tab/>
      </w:r>
      <w:r>
        <w:rPr>
          <w:rFonts w:ascii="Symbol" w:hAnsi="Symbol"/>
          <w:w w:val="185"/>
          <w:sz w:val="15"/>
        </w:rPr>
        <w:t></w:t>
      </w:r>
      <w:r>
        <w:rPr>
          <w:spacing w:val="-15"/>
          <w:w w:val="185"/>
          <w:sz w:val="15"/>
        </w:rPr>
        <w:t> </w:t>
      </w:r>
      <w:r>
        <w:rPr>
          <w:rFonts w:ascii="Symbol" w:hAnsi="Symbol"/>
          <w:w w:val="185"/>
          <w:position w:val="-3"/>
          <w:sz w:val="23"/>
        </w:rPr>
        <w:t></w:t>
      </w:r>
      <w:r>
        <w:rPr>
          <w:spacing w:val="-76"/>
          <w:w w:val="185"/>
          <w:position w:val="-3"/>
          <w:sz w:val="23"/>
        </w:rPr>
        <w:t> </w:t>
      </w:r>
      <w:r>
        <w:rPr>
          <w:rFonts w:ascii="Symbol" w:hAnsi="Symbol"/>
          <w:w w:val="185"/>
          <w:sz w:val="18"/>
        </w:rPr>
        <w:t></w:t>
      </w:r>
      <w:r>
        <w:rPr>
          <w:w w:val="185"/>
          <w:sz w:val="18"/>
        </w:rPr>
        <w:t> </w:t>
      </w:r>
      <w:r>
        <w:rPr>
          <w:spacing w:val="6"/>
          <w:w w:val="185"/>
          <w:sz w:val="18"/>
        </w:rPr>
        <w:t> </w:t>
      </w:r>
      <w:r>
        <w:rPr>
          <w:i/>
          <w:w w:val="185"/>
          <w:sz w:val="15"/>
        </w:rPr>
        <w:t>LnREER</w:t>
        <w:tab/>
      </w:r>
      <w:r>
        <w:rPr>
          <w:rFonts w:ascii="Symbol" w:hAnsi="Symbol"/>
          <w:w w:val="185"/>
          <w:position w:val="-3"/>
          <w:sz w:val="23"/>
        </w:rPr>
        <w:t></w:t>
      </w:r>
      <w:r>
        <w:rPr>
          <w:spacing w:val="-75"/>
          <w:w w:val="185"/>
          <w:position w:val="-3"/>
          <w:sz w:val="23"/>
        </w:rPr>
        <w:t> </w:t>
      </w:r>
      <w:r>
        <w:rPr>
          <w:rFonts w:ascii="Symbol" w:hAnsi="Symbol"/>
          <w:w w:val="185"/>
          <w:sz w:val="18"/>
        </w:rPr>
        <w:t></w:t>
      </w:r>
      <w:r>
        <w:rPr>
          <w:spacing w:val="81"/>
          <w:w w:val="185"/>
          <w:sz w:val="18"/>
        </w:rPr>
        <w:t> </w:t>
      </w:r>
      <w:r>
        <w:rPr>
          <w:i/>
          <w:w w:val="185"/>
          <w:sz w:val="15"/>
        </w:rPr>
        <w:t>LnGDP</w:t>
      </w:r>
      <w:r>
        <w:rPr>
          <w:i/>
          <w:w w:val="185"/>
          <w:sz w:val="15"/>
          <w:vertAlign w:val="superscript"/>
        </w:rPr>
        <w:t>d</w:t>
      </w:r>
      <w:r>
        <w:rPr>
          <w:i/>
          <w:spacing w:val="50"/>
          <w:w w:val="185"/>
          <w:sz w:val="15"/>
          <w:vertAlign w:val="baseline"/>
        </w:rPr>
        <w:t> </w:t>
      </w:r>
      <w:r>
        <w:rPr>
          <w:rFonts w:ascii="Symbol" w:hAnsi="Symbol"/>
          <w:w w:val="185"/>
          <w:sz w:val="15"/>
          <w:vertAlign w:val="baseline"/>
        </w:rPr>
        <w:t></w:t>
      </w:r>
    </w:p>
    <w:p>
      <w:pPr>
        <w:spacing w:after="0" w:line="142" w:lineRule="exact"/>
        <w:jc w:val="left"/>
        <w:rPr>
          <w:rFonts w:ascii="Symbol" w:hAnsi="Symbol"/>
          <w:sz w:val="15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2310" w:val="left" w:leader="none"/>
          <w:tab w:pos="3159" w:val="left" w:leader="none"/>
          <w:tab w:pos="4133" w:val="left" w:leader="none"/>
        </w:tabs>
        <w:spacing w:line="230" w:lineRule="auto" w:before="3"/>
        <w:ind w:left="2726" w:right="0" w:hanging="942"/>
        <w:jc w:val="left"/>
        <w:rPr>
          <w:sz w:val="9"/>
        </w:rPr>
      </w:pPr>
      <w:r>
        <w:rPr>
          <w:i/>
          <w:w w:val="190"/>
          <w:sz w:val="9"/>
        </w:rPr>
        <w:t>t</w:t>
        <w:tab/>
      </w:r>
      <w:r>
        <w:rPr>
          <w:w w:val="190"/>
          <w:sz w:val="9"/>
        </w:rPr>
        <w:t>0</w:t>
        <w:tab/>
        <w:tab/>
        <w:t>1</w:t>
      </w:r>
      <w:r>
        <w:rPr>
          <w:i/>
          <w:w w:val="190"/>
          <w:sz w:val="9"/>
        </w:rPr>
        <w:t>i</w:t>
        <w:tab/>
      </w:r>
      <w:r>
        <w:rPr>
          <w:i/>
          <w:spacing w:val="-5"/>
          <w:w w:val="185"/>
          <w:sz w:val="9"/>
        </w:rPr>
        <w:t>t</w:t>
      </w:r>
      <w:r>
        <w:rPr>
          <w:i/>
          <w:spacing w:val="-25"/>
          <w:w w:val="185"/>
          <w:sz w:val="9"/>
        </w:rPr>
        <w:t> </w:t>
      </w:r>
      <w:r>
        <w:rPr>
          <w:rFonts w:ascii="Symbol" w:hAnsi="Symbol"/>
          <w:spacing w:val="-4"/>
          <w:w w:val="185"/>
          <w:sz w:val="9"/>
        </w:rPr>
        <w:t></w:t>
      </w:r>
      <w:r>
        <w:rPr>
          <w:i/>
          <w:spacing w:val="-4"/>
          <w:w w:val="185"/>
          <w:sz w:val="9"/>
        </w:rPr>
        <w:t>i</w:t>
      </w:r>
      <w:r>
        <w:rPr>
          <w:i/>
          <w:spacing w:val="-39"/>
          <w:w w:val="185"/>
          <w:sz w:val="9"/>
        </w:rPr>
        <w:t> </w:t>
      </w:r>
      <w:r>
        <w:rPr>
          <w:i/>
          <w:w w:val="190"/>
          <w:sz w:val="9"/>
        </w:rPr>
        <w:t>i</w:t>
      </w:r>
      <w:r>
        <w:rPr>
          <w:i/>
          <w:spacing w:val="-32"/>
          <w:w w:val="190"/>
          <w:sz w:val="9"/>
        </w:rPr>
        <w:t> </w:t>
      </w:r>
      <w:r>
        <w:rPr>
          <w:rFonts w:ascii="Symbol" w:hAnsi="Symbol"/>
          <w:w w:val="190"/>
          <w:sz w:val="9"/>
        </w:rPr>
        <w:t></w:t>
      </w:r>
      <w:r>
        <w:rPr>
          <w:w w:val="190"/>
          <w:sz w:val="9"/>
        </w:rPr>
        <w:t>1</w:t>
      </w:r>
    </w:p>
    <w:p>
      <w:pPr>
        <w:pStyle w:val="BodyText"/>
        <w:spacing w:before="1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283" w:right="0" w:firstLine="0"/>
        <w:jc w:val="left"/>
        <w:rPr>
          <w:sz w:val="9"/>
        </w:rPr>
      </w:pPr>
      <w:r>
        <w:rPr>
          <w:i/>
          <w:spacing w:val="-3"/>
          <w:w w:val="185"/>
          <w:sz w:val="9"/>
        </w:rPr>
        <w:t>i</w:t>
      </w:r>
      <w:r>
        <w:rPr>
          <w:i/>
          <w:spacing w:val="-30"/>
          <w:w w:val="185"/>
          <w:sz w:val="9"/>
        </w:rPr>
        <w:t> </w:t>
      </w:r>
      <w:r>
        <w:rPr>
          <w:rFonts w:ascii="Symbol" w:hAnsi="Symbol"/>
          <w:spacing w:val="-3"/>
          <w:w w:val="185"/>
          <w:sz w:val="9"/>
        </w:rPr>
        <w:t></w:t>
      </w:r>
      <w:r>
        <w:rPr>
          <w:spacing w:val="-3"/>
          <w:w w:val="185"/>
          <w:sz w:val="9"/>
        </w:rPr>
        <w:t>0</w:t>
      </w:r>
    </w:p>
    <w:p>
      <w:pPr>
        <w:tabs>
          <w:tab w:pos="1343" w:val="left" w:leader="none"/>
        </w:tabs>
        <w:spacing w:line="110" w:lineRule="exact" w:before="0"/>
        <w:ind w:left="181" w:right="0" w:firstLine="0"/>
        <w:jc w:val="left"/>
        <w:rPr>
          <w:i/>
          <w:sz w:val="9"/>
        </w:rPr>
      </w:pPr>
      <w:r>
        <w:rPr/>
        <w:br w:type="column"/>
      </w:r>
      <w:r>
        <w:rPr>
          <w:w w:val="190"/>
          <w:sz w:val="9"/>
        </w:rPr>
        <w:t>2</w:t>
      </w:r>
      <w:r>
        <w:rPr>
          <w:i/>
          <w:w w:val="190"/>
          <w:sz w:val="9"/>
        </w:rPr>
        <w:t>i</w:t>
        <w:tab/>
      </w:r>
      <w:r>
        <w:rPr>
          <w:i/>
          <w:spacing w:val="-5"/>
          <w:w w:val="185"/>
          <w:sz w:val="9"/>
        </w:rPr>
        <w:t>t</w:t>
      </w:r>
      <w:r>
        <w:rPr>
          <w:i/>
          <w:spacing w:val="-25"/>
          <w:w w:val="185"/>
          <w:sz w:val="9"/>
        </w:rPr>
        <w:t> </w:t>
      </w:r>
      <w:r>
        <w:rPr>
          <w:rFonts w:ascii="Symbol" w:hAnsi="Symbol"/>
          <w:spacing w:val="-4"/>
          <w:w w:val="185"/>
          <w:sz w:val="9"/>
        </w:rPr>
        <w:t></w:t>
      </w:r>
      <w:r>
        <w:rPr>
          <w:i/>
          <w:spacing w:val="-4"/>
          <w:w w:val="185"/>
          <w:sz w:val="9"/>
        </w:rPr>
        <w:t>i</w:t>
      </w:r>
    </w:p>
    <w:p>
      <w:pPr>
        <w:spacing w:line="102" w:lineRule="exact" w:before="5"/>
        <w:ind w:left="491" w:right="0" w:firstLine="0"/>
        <w:jc w:val="left"/>
        <w:rPr>
          <w:i/>
          <w:sz w:val="9"/>
        </w:rPr>
      </w:pPr>
      <w:r>
        <w:rPr/>
        <w:br w:type="column"/>
      </w:r>
      <w:r>
        <w:rPr>
          <w:spacing w:val="-1"/>
          <w:w w:val="190"/>
          <w:sz w:val="9"/>
        </w:rPr>
        <w:t>3</w:t>
      </w:r>
      <w:r>
        <w:rPr>
          <w:i/>
          <w:spacing w:val="-1"/>
          <w:w w:val="190"/>
          <w:sz w:val="9"/>
        </w:rPr>
        <w:t>i</w:t>
      </w:r>
    </w:p>
    <w:p>
      <w:pPr>
        <w:spacing w:line="108" w:lineRule="exact" w:before="0"/>
        <w:ind w:left="31" w:right="0" w:firstLine="0"/>
        <w:jc w:val="left"/>
        <w:rPr>
          <w:sz w:val="9"/>
        </w:rPr>
      </w:pPr>
      <w:r>
        <w:rPr>
          <w:i/>
          <w:w w:val="185"/>
          <w:sz w:val="9"/>
        </w:rPr>
        <w:t>i</w:t>
      </w:r>
      <w:r>
        <w:rPr>
          <w:i/>
          <w:spacing w:val="-28"/>
          <w:w w:val="185"/>
          <w:sz w:val="9"/>
        </w:rPr>
        <w:t> </w:t>
      </w:r>
      <w:r>
        <w:rPr>
          <w:rFonts w:ascii="Symbol" w:hAnsi="Symbol"/>
          <w:w w:val="185"/>
          <w:sz w:val="9"/>
        </w:rPr>
        <w:t></w:t>
      </w:r>
      <w:r>
        <w:rPr>
          <w:w w:val="185"/>
          <w:sz w:val="9"/>
        </w:rPr>
        <w:t>0</w:t>
      </w:r>
    </w:p>
    <w:p>
      <w:pPr>
        <w:spacing w:before="52"/>
        <w:ind w:left="852" w:right="0" w:firstLine="0"/>
        <w:jc w:val="left"/>
        <w:rPr>
          <w:i/>
          <w:sz w:val="6"/>
        </w:rPr>
      </w:pPr>
      <w:r>
        <w:rPr/>
        <w:br w:type="column"/>
      </w:r>
      <w:r>
        <w:rPr>
          <w:i/>
          <w:spacing w:val="-1"/>
          <w:w w:val="205"/>
          <w:sz w:val="6"/>
        </w:rPr>
        <w:t>t</w:t>
      </w:r>
      <w:r>
        <w:rPr>
          <w:i/>
          <w:spacing w:val="-23"/>
          <w:w w:val="205"/>
          <w:sz w:val="6"/>
        </w:rPr>
        <w:t> </w:t>
      </w:r>
      <w:r>
        <w:rPr>
          <w:rFonts w:ascii="Symbol" w:hAnsi="Symbol"/>
          <w:w w:val="205"/>
          <w:sz w:val="6"/>
        </w:rPr>
        <w:t></w:t>
      </w:r>
      <w:r>
        <w:rPr>
          <w:i/>
          <w:w w:val="205"/>
          <w:sz w:val="6"/>
        </w:rPr>
        <w:t>i</w:t>
      </w:r>
      <w:r>
        <w:rPr>
          <w:i/>
          <w:sz w:val="6"/>
        </w:rPr>
        <w:t>     </w:t>
      </w:r>
    </w:p>
    <w:p>
      <w:pPr>
        <w:spacing w:after="0"/>
        <w:jc w:val="left"/>
        <w:rPr>
          <w:sz w:val="6"/>
        </w:rPr>
        <w:sectPr>
          <w:type w:val="continuous"/>
          <w:pgSz w:w="12240" w:h="15840"/>
          <w:pgMar w:top="1500" w:bottom="1200" w:left="1320" w:right="440"/>
          <w:cols w:num="5" w:equalWidth="0">
            <w:col w:w="4341" w:space="40"/>
            <w:col w:w="527" w:space="39"/>
            <w:col w:w="1552" w:space="40"/>
            <w:col w:w="624" w:space="40"/>
            <w:col w:w="3277"/>
          </w:cols>
        </w:sectPr>
      </w:pPr>
    </w:p>
    <w:p>
      <w:pPr>
        <w:tabs>
          <w:tab w:pos="3145" w:val="left" w:leader="none"/>
          <w:tab w:pos="5089" w:val="left" w:leader="none"/>
          <w:tab w:pos="6943" w:val="left" w:leader="none"/>
        </w:tabs>
        <w:spacing w:line="44" w:lineRule="exact" w:before="42"/>
        <w:ind w:left="1135" w:right="0" w:firstLine="0"/>
        <w:jc w:val="left"/>
        <w:rPr>
          <w:i/>
          <w:sz w:val="9"/>
        </w:rPr>
      </w:pPr>
      <w:r>
        <w:rPr>
          <w:i/>
          <w:w w:val="190"/>
          <w:sz w:val="9"/>
        </w:rPr>
        <w:t>k</w:t>
        <w:tab/>
        <w:t>k</w:t>
        <w:tab/>
        <w:t>k</w:t>
        <w:tab/>
        <w:t>k</w:t>
      </w:r>
    </w:p>
    <w:p>
      <w:pPr>
        <w:spacing w:after="0" w:line="44" w:lineRule="exact"/>
        <w:jc w:val="left"/>
        <w:rPr>
          <w:sz w:val="9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4809" w:val="left" w:leader="none"/>
          <w:tab w:pos="6623" w:val="left" w:leader="none"/>
        </w:tabs>
        <w:spacing w:line="142" w:lineRule="exact" w:before="4"/>
        <w:ind w:left="856" w:right="0" w:firstLine="0"/>
        <w:jc w:val="left"/>
        <w:rPr>
          <w:i/>
          <w:sz w:val="15"/>
        </w:rPr>
      </w:pPr>
      <w:r>
        <w:rPr>
          <w:rFonts w:ascii="Symbol" w:hAnsi="Symbol"/>
          <w:w w:val="185"/>
          <w:sz w:val="15"/>
        </w:rPr>
        <w:t></w:t>
      </w:r>
      <w:r>
        <w:rPr>
          <w:rFonts w:ascii="Symbol" w:hAnsi="Symbol"/>
          <w:w w:val="185"/>
          <w:position w:val="-3"/>
          <w:sz w:val="23"/>
        </w:rPr>
        <w:t></w:t>
      </w:r>
      <w:r>
        <w:rPr>
          <w:spacing w:val="-75"/>
          <w:w w:val="185"/>
          <w:position w:val="-3"/>
          <w:sz w:val="23"/>
        </w:rPr>
        <w:t> </w:t>
      </w:r>
      <w:r>
        <w:rPr>
          <w:rFonts w:ascii="Symbol" w:hAnsi="Symbol"/>
          <w:w w:val="185"/>
          <w:sz w:val="18"/>
        </w:rPr>
        <w:t></w:t>
      </w:r>
      <w:r>
        <w:rPr>
          <w:w w:val="185"/>
          <w:sz w:val="18"/>
        </w:rPr>
        <w:t> </w:t>
      </w:r>
      <w:r>
        <w:rPr>
          <w:spacing w:val="5"/>
          <w:w w:val="185"/>
          <w:sz w:val="18"/>
        </w:rPr>
        <w:t> </w:t>
      </w:r>
      <w:r>
        <w:rPr>
          <w:i/>
          <w:w w:val="185"/>
          <w:sz w:val="15"/>
        </w:rPr>
        <w:t>LnGDP</w:t>
      </w:r>
      <w:r>
        <w:rPr>
          <w:i/>
          <w:spacing w:val="-23"/>
          <w:w w:val="185"/>
          <w:sz w:val="15"/>
        </w:rPr>
        <w:t> </w:t>
      </w:r>
      <w:r>
        <w:rPr>
          <w:i/>
          <w:w w:val="185"/>
          <w:sz w:val="15"/>
          <w:vertAlign w:val="superscript"/>
        </w:rPr>
        <w:t>f</w:t>
      </w:r>
      <w:r>
        <w:rPr>
          <w:i/>
          <w:w w:val="185"/>
          <w:sz w:val="15"/>
          <w:vertAlign w:val="baseline"/>
        </w:rPr>
        <w:t> </w:t>
      </w:r>
      <w:r>
        <w:rPr>
          <w:i/>
          <w:spacing w:val="19"/>
          <w:w w:val="185"/>
          <w:sz w:val="15"/>
          <w:vertAlign w:val="baseline"/>
        </w:rPr>
        <w:t> </w:t>
      </w:r>
      <w:r>
        <w:rPr>
          <w:rFonts w:ascii="Symbol" w:hAnsi="Symbol"/>
          <w:w w:val="185"/>
          <w:sz w:val="15"/>
          <w:vertAlign w:val="baseline"/>
        </w:rPr>
        <w:t></w:t>
      </w:r>
      <w:r>
        <w:rPr>
          <w:spacing w:val="-17"/>
          <w:w w:val="185"/>
          <w:sz w:val="15"/>
          <w:vertAlign w:val="baseline"/>
        </w:rPr>
        <w:t> </w:t>
      </w:r>
      <w:r>
        <w:rPr>
          <w:rFonts w:ascii="Symbol" w:hAnsi="Symbol"/>
          <w:w w:val="185"/>
          <w:position w:val="-3"/>
          <w:sz w:val="23"/>
          <w:vertAlign w:val="baseline"/>
        </w:rPr>
        <w:t></w:t>
      </w:r>
      <w:r>
        <w:rPr>
          <w:spacing w:val="-75"/>
          <w:w w:val="185"/>
          <w:position w:val="-3"/>
          <w:sz w:val="23"/>
          <w:vertAlign w:val="baseline"/>
        </w:rPr>
        <w:t> </w:t>
      </w:r>
      <w:r>
        <w:rPr>
          <w:rFonts w:ascii="Symbol" w:hAnsi="Symbol"/>
          <w:w w:val="185"/>
          <w:sz w:val="18"/>
          <w:vertAlign w:val="baseline"/>
        </w:rPr>
        <w:t></w:t>
      </w:r>
      <w:r>
        <w:rPr>
          <w:spacing w:val="81"/>
          <w:w w:val="185"/>
          <w:sz w:val="18"/>
          <w:vertAlign w:val="baseline"/>
        </w:rPr>
        <w:t> </w:t>
      </w:r>
      <w:r>
        <w:rPr>
          <w:i/>
          <w:w w:val="185"/>
          <w:sz w:val="15"/>
          <w:vertAlign w:val="baseline"/>
        </w:rPr>
        <w:t>LnWPI</w:t>
        <w:tab/>
      </w:r>
      <w:r>
        <w:rPr>
          <w:rFonts w:ascii="Symbol" w:hAnsi="Symbol"/>
          <w:w w:val="185"/>
          <w:sz w:val="15"/>
          <w:vertAlign w:val="baseline"/>
        </w:rPr>
        <w:t></w:t>
      </w:r>
      <w:r>
        <w:rPr>
          <w:rFonts w:ascii="Symbol" w:hAnsi="Symbol"/>
          <w:w w:val="185"/>
          <w:position w:val="-3"/>
          <w:sz w:val="23"/>
          <w:vertAlign w:val="baseline"/>
        </w:rPr>
        <w:t></w:t>
      </w:r>
      <w:r>
        <w:rPr>
          <w:spacing w:val="-74"/>
          <w:w w:val="185"/>
          <w:position w:val="-3"/>
          <w:sz w:val="23"/>
          <w:vertAlign w:val="baseline"/>
        </w:rPr>
        <w:t> </w:t>
      </w:r>
      <w:r>
        <w:rPr>
          <w:rFonts w:ascii="Symbol" w:hAnsi="Symbol"/>
          <w:w w:val="185"/>
          <w:sz w:val="18"/>
          <w:vertAlign w:val="baseline"/>
        </w:rPr>
        <w:t></w:t>
      </w:r>
      <w:r>
        <w:rPr>
          <w:w w:val="185"/>
          <w:sz w:val="18"/>
          <w:vertAlign w:val="baseline"/>
        </w:rPr>
        <w:t> </w:t>
      </w:r>
      <w:r>
        <w:rPr>
          <w:spacing w:val="6"/>
          <w:w w:val="185"/>
          <w:sz w:val="18"/>
          <w:vertAlign w:val="baseline"/>
        </w:rPr>
        <w:t> </w:t>
      </w:r>
      <w:r>
        <w:rPr>
          <w:i/>
          <w:w w:val="185"/>
          <w:sz w:val="15"/>
          <w:vertAlign w:val="baseline"/>
        </w:rPr>
        <w:t>LnMS</w:t>
        <w:tab/>
      </w:r>
      <w:r>
        <w:rPr>
          <w:rFonts w:ascii="Symbol" w:hAnsi="Symbol"/>
          <w:spacing w:val="-2"/>
          <w:w w:val="185"/>
          <w:sz w:val="15"/>
          <w:vertAlign w:val="baseline"/>
        </w:rPr>
        <w:t></w:t>
      </w:r>
      <w:r>
        <w:rPr>
          <w:spacing w:val="-22"/>
          <w:w w:val="185"/>
          <w:sz w:val="15"/>
          <w:vertAlign w:val="baseline"/>
        </w:rPr>
        <w:t> </w:t>
      </w:r>
      <w:r>
        <w:rPr>
          <w:rFonts w:ascii="Symbol" w:hAnsi="Symbol"/>
          <w:spacing w:val="-2"/>
          <w:w w:val="185"/>
          <w:position w:val="-3"/>
          <w:sz w:val="23"/>
          <w:vertAlign w:val="baseline"/>
        </w:rPr>
        <w:t></w:t>
      </w:r>
      <w:r>
        <w:rPr>
          <w:spacing w:val="-77"/>
          <w:w w:val="185"/>
          <w:position w:val="-3"/>
          <w:sz w:val="23"/>
          <w:vertAlign w:val="baseline"/>
        </w:rPr>
        <w:t> </w:t>
      </w:r>
      <w:r>
        <w:rPr>
          <w:rFonts w:ascii="Symbol" w:hAnsi="Symbol"/>
          <w:spacing w:val="-2"/>
          <w:w w:val="185"/>
          <w:sz w:val="18"/>
          <w:vertAlign w:val="baseline"/>
        </w:rPr>
        <w:t></w:t>
      </w:r>
      <w:r>
        <w:rPr>
          <w:spacing w:val="77"/>
          <w:w w:val="185"/>
          <w:sz w:val="18"/>
          <w:vertAlign w:val="baseline"/>
        </w:rPr>
        <w:t> </w:t>
      </w:r>
      <w:r>
        <w:rPr>
          <w:i/>
          <w:spacing w:val="-2"/>
          <w:w w:val="185"/>
          <w:sz w:val="15"/>
          <w:vertAlign w:val="baseline"/>
        </w:rPr>
        <w:t>IR</w:t>
      </w:r>
    </w:p>
    <w:p>
      <w:pPr>
        <w:spacing w:line="132" w:lineRule="exact" w:before="15"/>
        <w:ind w:left="231" w:right="0" w:firstLine="0"/>
        <w:jc w:val="left"/>
        <w:rPr>
          <w:rFonts w:ascii="Symbol" w:hAnsi="Symbol"/>
          <w:sz w:val="18"/>
        </w:rPr>
      </w:pPr>
      <w:r>
        <w:rPr/>
        <w:br w:type="column"/>
      </w:r>
      <w:r>
        <w:rPr>
          <w:rFonts w:ascii="Symbol" w:hAnsi="Symbol"/>
          <w:w w:val="180"/>
          <w:sz w:val="15"/>
        </w:rPr>
        <w:t></w:t>
      </w:r>
      <w:r>
        <w:rPr>
          <w:spacing w:val="-21"/>
          <w:w w:val="180"/>
          <w:sz w:val="15"/>
        </w:rPr>
        <w:t> </w:t>
      </w:r>
      <w:r>
        <w:rPr>
          <w:rFonts w:ascii="Symbol" w:hAnsi="Symbol"/>
          <w:w w:val="180"/>
          <w:sz w:val="18"/>
        </w:rPr>
        <w:t></w:t>
      </w:r>
      <w:r>
        <w:rPr>
          <w:spacing w:val="15"/>
          <w:w w:val="180"/>
          <w:sz w:val="18"/>
        </w:rPr>
        <w:t> </w:t>
      </w:r>
      <w:r>
        <w:rPr>
          <w:i/>
          <w:w w:val="180"/>
          <w:sz w:val="15"/>
        </w:rPr>
        <w:t>D</w:t>
      </w:r>
      <w:r>
        <w:rPr>
          <w:i/>
          <w:spacing w:val="45"/>
          <w:w w:val="180"/>
          <w:sz w:val="15"/>
        </w:rPr>
        <w:t> </w:t>
      </w:r>
      <w:r>
        <w:rPr>
          <w:rFonts w:ascii="Symbol" w:hAnsi="Symbol"/>
          <w:w w:val="180"/>
          <w:sz w:val="15"/>
        </w:rPr>
        <w:t></w:t>
      </w:r>
      <w:r>
        <w:rPr>
          <w:spacing w:val="-29"/>
          <w:w w:val="180"/>
          <w:sz w:val="15"/>
        </w:rPr>
        <w:t> </w:t>
      </w:r>
      <w:r>
        <w:rPr>
          <w:rFonts w:ascii="Symbol" w:hAnsi="Symbol"/>
          <w:w w:val="180"/>
          <w:sz w:val="18"/>
        </w:rPr>
        <w:t></w:t>
      </w:r>
    </w:p>
    <w:p>
      <w:pPr>
        <w:spacing w:after="0" w:line="132" w:lineRule="exact"/>
        <w:jc w:val="left"/>
        <w:rPr>
          <w:rFonts w:ascii="Symbol" w:hAnsi="Symbol"/>
          <w:sz w:val="18"/>
        </w:rPr>
        <w:sectPr>
          <w:type w:val="continuous"/>
          <w:pgSz w:w="12240" w:h="15840"/>
          <w:pgMar w:top="1500" w:bottom="1200" w:left="1320" w:right="440"/>
          <w:cols w:num="2" w:equalWidth="0">
            <w:col w:w="7772" w:space="40"/>
            <w:col w:w="2668"/>
          </w:cols>
        </w:sectPr>
      </w:pPr>
    </w:p>
    <w:p>
      <w:pPr>
        <w:pStyle w:val="BodyText"/>
        <w:spacing w:before="6"/>
        <w:rPr>
          <w:rFonts w:ascii="Symbol" w:hAnsi="Symbol"/>
          <w:sz w:val="8"/>
        </w:rPr>
      </w:pPr>
    </w:p>
    <w:p>
      <w:pPr>
        <w:spacing w:before="0"/>
        <w:ind w:left="0" w:right="0" w:firstLine="0"/>
        <w:jc w:val="right"/>
        <w:rPr>
          <w:sz w:val="9"/>
        </w:rPr>
      </w:pPr>
      <w:r>
        <w:rPr>
          <w:i/>
          <w:w w:val="185"/>
          <w:sz w:val="9"/>
        </w:rPr>
        <w:t>i</w:t>
      </w:r>
      <w:r>
        <w:rPr>
          <w:i/>
          <w:spacing w:val="-28"/>
          <w:w w:val="185"/>
          <w:sz w:val="9"/>
        </w:rPr>
        <w:t> </w:t>
      </w:r>
      <w:r>
        <w:rPr>
          <w:rFonts w:ascii="Symbol" w:hAnsi="Symbol"/>
          <w:w w:val="185"/>
          <w:sz w:val="9"/>
        </w:rPr>
        <w:t></w:t>
      </w:r>
      <w:r>
        <w:rPr>
          <w:w w:val="185"/>
          <w:sz w:val="9"/>
        </w:rPr>
        <w:t>0</w:t>
      </w:r>
    </w:p>
    <w:p>
      <w:pPr>
        <w:tabs>
          <w:tab w:pos="1195" w:val="left" w:leader="none"/>
        </w:tabs>
        <w:spacing w:line="109" w:lineRule="exact" w:before="0"/>
        <w:ind w:left="182" w:right="0" w:firstLine="0"/>
        <w:jc w:val="left"/>
        <w:rPr>
          <w:i/>
          <w:sz w:val="9"/>
        </w:rPr>
      </w:pPr>
      <w:r>
        <w:rPr/>
        <w:br w:type="column"/>
      </w:r>
      <w:r>
        <w:rPr>
          <w:w w:val="190"/>
          <w:sz w:val="9"/>
        </w:rPr>
        <w:t>4</w:t>
      </w:r>
      <w:r>
        <w:rPr>
          <w:i/>
          <w:w w:val="190"/>
          <w:sz w:val="9"/>
        </w:rPr>
        <w:t>i</w:t>
        <w:tab/>
      </w:r>
      <w:r>
        <w:rPr>
          <w:i/>
          <w:spacing w:val="-5"/>
          <w:w w:val="185"/>
          <w:sz w:val="9"/>
        </w:rPr>
        <w:t>t</w:t>
      </w:r>
      <w:r>
        <w:rPr>
          <w:i/>
          <w:spacing w:val="-23"/>
          <w:w w:val="185"/>
          <w:sz w:val="9"/>
        </w:rPr>
        <w:t> </w:t>
      </w:r>
      <w:r>
        <w:rPr>
          <w:rFonts w:ascii="Symbol" w:hAnsi="Symbol"/>
          <w:spacing w:val="-5"/>
          <w:w w:val="185"/>
          <w:sz w:val="9"/>
        </w:rPr>
        <w:t></w:t>
      </w:r>
      <w:r>
        <w:rPr>
          <w:i/>
          <w:spacing w:val="-5"/>
          <w:w w:val="185"/>
          <w:sz w:val="9"/>
        </w:rPr>
        <w:t>i</w:t>
      </w:r>
    </w:p>
    <w:p>
      <w:pPr>
        <w:pStyle w:val="BodyText"/>
        <w:rPr>
          <w:i/>
          <w:sz w:val="9"/>
        </w:rPr>
      </w:pPr>
      <w:r>
        <w:rPr/>
        <w:br w:type="column"/>
      </w:r>
      <w:r>
        <w:rPr>
          <w:i/>
          <w:sz w:val="9"/>
        </w:rPr>
      </w:r>
    </w:p>
    <w:p>
      <w:pPr>
        <w:spacing w:before="1"/>
        <w:ind w:left="283" w:right="0" w:firstLine="0"/>
        <w:jc w:val="left"/>
        <w:rPr>
          <w:sz w:val="9"/>
        </w:rPr>
      </w:pPr>
      <w:r>
        <w:rPr>
          <w:i/>
          <w:spacing w:val="-3"/>
          <w:w w:val="185"/>
          <w:sz w:val="9"/>
        </w:rPr>
        <w:t>i</w:t>
      </w:r>
      <w:r>
        <w:rPr>
          <w:i/>
          <w:spacing w:val="-30"/>
          <w:w w:val="185"/>
          <w:sz w:val="9"/>
        </w:rPr>
        <w:t> </w:t>
      </w:r>
      <w:r>
        <w:rPr>
          <w:rFonts w:ascii="Symbol" w:hAnsi="Symbol"/>
          <w:spacing w:val="-3"/>
          <w:w w:val="185"/>
          <w:sz w:val="9"/>
        </w:rPr>
        <w:t></w:t>
      </w:r>
      <w:r>
        <w:rPr>
          <w:spacing w:val="-3"/>
          <w:w w:val="185"/>
          <w:sz w:val="9"/>
        </w:rPr>
        <w:t>0</w:t>
      </w:r>
    </w:p>
    <w:p>
      <w:pPr>
        <w:tabs>
          <w:tab w:pos="1169" w:val="left" w:leader="none"/>
        </w:tabs>
        <w:spacing w:line="109" w:lineRule="exact" w:before="0"/>
        <w:ind w:left="177" w:right="0" w:firstLine="0"/>
        <w:jc w:val="left"/>
        <w:rPr>
          <w:i/>
          <w:sz w:val="9"/>
        </w:rPr>
      </w:pPr>
      <w:r>
        <w:rPr/>
        <w:br w:type="column"/>
      </w:r>
      <w:r>
        <w:rPr>
          <w:w w:val="190"/>
          <w:sz w:val="9"/>
        </w:rPr>
        <w:t>5</w:t>
      </w:r>
      <w:r>
        <w:rPr>
          <w:i/>
          <w:w w:val="190"/>
          <w:sz w:val="9"/>
        </w:rPr>
        <w:t>i</w:t>
        <w:tab/>
      </w:r>
      <w:r>
        <w:rPr>
          <w:i/>
          <w:spacing w:val="-6"/>
          <w:w w:val="190"/>
          <w:sz w:val="9"/>
        </w:rPr>
        <w:t>t</w:t>
      </w:r>
      <w:r>
        <w:rPr>
          <w:i/>
          <w:spacing w:val="-26"/>
          <w:w w:val="190"/>
          <w:sz w:val="9"/>
        </w:rPr>
        <w:t> </w:t>
      </w:r>
      <w:r>
        <w:rPr>
          <w:rFonts w:ascii="Symbol" w:hAnsi="Symbol"/>
          <w:spacing w:val="-6"/>
          <w:w w:val="190"/>
          <w:sz w:val="9"/>
        </w:rPr>
        <w:t></w:t>
      </w:r>
      <w:r>
        <w:rPr>
          <w:i/>
          <w:spacing w:val="-6"/>
          <w:w w:val="190"/>
          <w:sz w:val="9"/>
        </w:rPr>
        <w:t>i</w:t>
      </w:r>
    </w:p>
    <w:p>
      <w:pPr>
        <w:pStyle w:val="BodyText"/>
        <w:rPr>
          <w:i/>
          <w:sz w:val="9"/>
        </w:rPr>
      </w:pPr>
      <w:r>
        <w:rPr/>
        <w:br w:type="column"/>
      </w:r>
      <w:r>
        <w:rPr>
          <w:i/>
          <w:sz w:val="9"/>
        </w:rPr>
      </w:r>
    </w:p>
    <w:p>
      <w:pPr>
        <w:spacing w:before="1"/>
        <w:ind w:left="243" w:right="0" w:firstLine="0"/>
        <w:jc w:val="left"/>
        <w:rPr>
          <w:sz w:val="9"/>
        </w:rPr>
      </w:pPr>
      <w:r>
        <w:rPr>
          <w:i/>
          <w:spacing w:val="-4"/>
          <w:w w:val="185"/>
          <w:sz w:val="9"/>
        </w:rPr>
        <w:t>i</w:t>
      </w:r>
      <w:r>
        <w:rPr>
          <w:i/>
          <w:spacing w:val="-30"/>
          <w:w w:val="185"/>
          <w:sz w:val="9"/>
        </w:rPr>
        <w:t> </w:t>
      </w:r>
      <w:r>
        <w:rPr>
          <w:rFonts w:ascii="Symbol" w:hAnsi="Symbol"/>
          <w:spacing w:val="-3"/>
          <w:w w:val="185"/>
          <w:sz w:val="9"/>
        </w:rPr>
        <w:t></w:t>
      </w:r>
      <w:r>
        <w:rPr>
          <w:spacing w:val="-3"/>
          <w:w w:val="185"/>
          <w:sz w:val="9"/>
        </w:rPr>
        <w:t>0</w:t>
      </w:r>
    </w:p>
    <w:p>
      <w:pPr>
        <w:tabs>
          <w:tab w:pos="1039" w:val="left" w:leader="none"/>
        </w:tabs>
        <w:spacing w:line="109" w:lineRule="exact" w:before="0"/>
        <w:ind w:left="180" w:right="0" w:firstLine="0"/>
        <w:jc w:val="left"/>
        <w:rPr>
          <w:i/>
          <w:sz w:val="9"/>
        </w:rPr>
      </w:pPr>
      <w:r>
        <w:rPr/>
        <w:br w:type="column"/>
      </w:r>
      <w:r>
        <w:rPr>
          <w:w w:val="190"/>
          <w:sz w:val="9"/>
        </w:rPr>
        <w:t>6</w:t>
      </w:r>
      <w:r>
        <w:rPr>
          <w:i/>
          <w:w w:val="190"/>
          <w:sz w:val="9"/>
        </w:rPr>
        <w:t>i</w:t>
        <w:tab/>
      </w:r>
      <w:r>
        <w:rPr>
          <w:i/>
          <w:spacing w:val="-5"/>
          <w:w w:val="185"/>
          <w:sz w:val="9"/>
        </w:rPr>
        <w:t>t</w:t>
      </w:r>
      <w:r>
        <w:rPr>
          <w:i/>
          <w:spacing w:val="-23"/>
          <w:w w:val="185"/>
          <w:sz w:val="9"/>
        </w:rPr>
        <w:t> </w:t>
      </w:r>
      <w:r>
        <w:rPr>
          <w:rFonts w:ascii="Symbol" w:hAnsi="Symbol"/>
          <w:spacing w:val="-5"/>
          <w:w w:val="185"/>
          <w:sz w:val="9"/>
        </w:rPr>
        <w:t></w:t>
      </w:r>
      <w:r>
        <w:rPr>
          <w:i/>
          <w:spacing w:val="-5"/>
          <w:w w:val="185"/>
          <w:sz w:val="9"/>
        </w:rPr>
        <w:t>i</w:t>
      </w:r>
    </w:p>
    <w:p>
      <w:pPr>
        <w:pStyle w:val="BodyText"/>
        <w:rPr>
          <w:i/>
          <w:sz w:val="9"/>
        </w:rPr>
      </w:pPr>
      <w:r>
        <w:rPr/>
        <w:br w:type="column"/>
      </w:r>
      <w:r>
        <w:rPr>
          <w:i/>
          <w:sz w:val="9"/>
        </w:rPr>
      </w:r>
    </w:p>
    <w:p>
      <w:pPr>
        <w:spacing w:before="1"/>
        <w:ind w:left="284" w:right="0" w:firstLine="0"/>
        <w:jc w:val="left"/>
        <w:rPr>
          <w:sz w:val="9"/>
        </w:rPr>
      </w:pPr>
      <w:r>
        <w:rPr>
          <w:i/>
          <w:spacing w:val="-3"/>
          <w:w w:val="185"/>
          <w:sz w:val="9"/>
        </w:rPr>
        <w:t>i</w:t>
      </w:r>
      <w:r>
        <w:rPr>
          <w:i/>
          <w:spacing w:val="-31"/>
          <w:w w:val="185"/>
          <w:sz w:val="9"/>
        </w:rPr>
        <w:t> </w:t>
      </w:r>
      <w:r>
        <w:rPr>
          <w:rFonts w:ascii="Symbol" w:hAnsi="Symbol"/>
          <w:spacing w:val="-3"/>
          <w:w w:val="185"/>
          <w:sz w:val="9"/>
        </w:rPr>
        <w:t></w:t>
      </w:r>
      <w:r>
        <w:rPr>
          <w:spacing w:val="-3"/>
          <w:w w:val="185"/>
          <w:sz w:val="9"/>
        </w:rPr>
        <w:t>0</w:t>
      </w:r>
    </w:p>
    <w:p>
      <w:pPr>
        <w:tabs>
          <w:tab w:pos="603" w:val="left" w:leader="none"/>
        </w:tabs>
        <w:spacing w:line="109" w:lineRule="exact" w:before="0"/>
        <w:ind w:left="180" w:right="0" w:firstLine="0"/>
        <w:jc w:val="left"/>
        <w:rPr>
          <w:i/>
          <w:sz w:val="9"/>
        </w:rPr>
      </w:pPr>
      <w:r>
        <w:rPr/>
        <w:br w:type="column"/>
      </w:r>
      <w:r>
        <w:rPr>
          <w:w w:val="190"/>
          <w:sz w:val="9"/>
        </w:rPr>
        <w:t>7</w:t>
      </w:r>
      <w:r>
        <w:rPr>
          <w:i/>
          <w:w w:val="190"/>
          <w:sz w:val="9"/>
        </w:rPr>
        <w:t>i</w:t>
        <w:tab/>
      </w:r>
      <w:r>
        <w:rPr>
          <w:i/>
          <w:spacing w:val="-5"/>
          <w:w w:val="185"/>
          <w:sz w:val="9"/>
        </w:rPr>
        <w:t>t</w:t>
      </w:r>
      <w:r>
        <w:rPr>
          <w:i/>
          <w:spacing w:val="-22"/>
          <w:w w:val="185"/>
          <w:sz w:val="9"/>
        </w:rPr>
        <w:t> </w:t>
      </w:r>
      <w:r>
        <w:rPr>
          <w:rFonts w:ascii="Symbol" w:hAnsi="Symbol"/>
          <w:spacing w:val="-5"/>
          <w:w w:val="185"/>
          <w:sz w:val="9"/>
        </w:rPr>
        <w:t></w:t>
      </w:r>
      <w:r>
        <w:rPr>
          <w:i/>
          <w:spacing w:val="-5"/>
          <w:w w:val="185"/>
          <w:sz w:val="9"/>
        </w:rPr>
        <w:t>i</w:t>
      </w:r>
    </w:p>
    <w:p>
      <w:pPr>
        <w:tabs>
          <w:tab w:pos="693" w:val="left" w:leader="none"/>
          <w:tab w:pos="1167" w:val="left" w:leader="none"/>
        </w:tabs>
        <w:spacing w:before="5"/>
        <w:ind w:left="397" w:right="0" w:firstLine="0"/>
        <w:jc w:val="left"/>
        <w:rPr>
          <w:i/>
          <w:sz w:val="9"/>
        </w:rPr>
      </w:pPr>
      <w:r>
        <w:rPr/>
        <w:br w:type="column"/>
      </w:r>
      <w:r>
        <w:rPr>
          <w:w w:val="190"/>
          <w:sz w:val="9"/>
        </w:rPr>
        <w:t>8</w:t>
        <w:tab/>
      </w:r>
      <w:r>
        <w:rPr>
          <w:i/>
          <w:w w:val="190"/>
          <w:sz w:val="9"/>
        </w:rPr>
        <w:t>i</w:t>
        <w:tab/>
        <w:t>i</w:t>
      </w:r>
    </w:p>
    <w:p>
      <w:pPr>
        <w:spacing w:after="0"/>
        <w:jc w:val="left"/>
        <w:rPr>
          <w:sz w:val="9"/>
        </w:rPr>
        <w:sectPr>
          <w:type w:val="continuous"/>
          <w:pgSz w:w="12240" w:h="15840"/>
          <w:pgMar w:top="1500" w:bottom="1200" w:left="1320" w:right="440"/>
          <w:cols w:num="9" w:equalWidth="0">
            <w:col w:w="1300" w:space="40"/>
            <w:col w:w="1403" w:space="39"/>
            <w:col w:w="527" w:space="40"/>
            <w:col w:w="1378" w:space="40"/>
            <w:col w:w="487" w:space="39"/>
            <w:col w:w="1247" w:space="40"/>
            <w:col w:w="528" w:space="40"/>
            <w:col w:w="812" w:space="39"/>
            <w:col w:w="2481"/>
          </w:cols>
        </w:sectPr>
      </w:pPr>
    </w:p>
    <w:p>
      <w:pPr>
        <w:pStyle w:val="BodyText"/>
        <w:spacing w:before="8"/>
        <w:rPr>
          <w:i/>
          <w:sz w:val="13"/>
        </w:rPr>
      </w:pPr>
    </w:p>
    <w:p>
      <w:pPr>
        <w:pStyle w:val="Heading2"/>
        <w:spacing w:before="90"/>
      </w:pPr>
      <w:r>
        <w:rPr/>
        <w:t>The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</w: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before="3"/>
        <w:rPr>
          <w:b/>
          <w:sz w:val="8"/>
        </w:rPr>
      </w:pPr>
    </w:p>
    <w:p>
      <w:pPr>
        <w:tabs>
          <w:tab w:pos="4705" w:val="left" w:leader="none"/>
          <w:tab w:pos="6574" w:val="left" w:leader="none"/>
        </w:tabs>
        <w:spacing w:line="44" w:lineRule="exact" w:before="0"/>
        <w:ind w:left="2772" w:right="0" w:firstLine="0"/>
        <w:jc w:val="left"/>
        <w:rPr>
          <w:i/>
          <w:sz w:val="9"/>
        </w:rPr>
      </w:pPr>
      <w:r>
        <w:rPr>
          <w:i/>
          <w:w w:val="185"/>
          <w:sz w:val="9"/>
        </w:rPr>
        <w:t>k</w:t>
        <w:tab/>
        <w:t>k</w:t>
        <w:tab/>
        <w:t>k</w:t>
      </w:r>
    </w:p>
    <w:p>
      <w:pPr>
        <w:tabs>
          <w:tab w:pos="4387" w:val="left" w:leader="none"/>
          <w:tab w:pos="6464" w:val="left" w:leader="none"/>
        </w:tabs>
        <w:spacing w:line="142" w:lineRule="exact" w:before="4"/>
        <w:ind w:left="864" w:right="0" w:firstLine="0"/>
        <w:jc w:val="left"/>
        <w:rPr>
          <w:rFonts w:ascii="Symbol" w:hAnsi="Symbol"/>
          <w:sz w:val="15"/>
        </w:rPr>
      </w:pPr>
      <w:r>
        <w:rPr>
          <w:i/>
          <w:w w:val="185"/>
          <w:sz w:val="15"/>
        </w:rPr>
        <w:t>L</w:t>
      </w:r>
      <w:r>
        <w:rPr>
          <w:i/>
          <w:spacing w:val="-28"/>
          <w:w w:val="185"/>
          <w:sz w:val="15"/>
        </w:rPr>
        <w:t> </w:t>
      </w:r>
      <w:r>
        <w:rPr>
          <w:w w:val="185"/>
          <w:sz w:val="15"/>
        </w:rPr>
        <w:t>n</w:t>
      </w:r>
      <w:r>
        <w:rPr>
          <w:spacing w:val="-10"/>
          <w:w w:val="185"/>
          <w:sz w:val="15"/>
        </w:rPr>
        <w:t> </w:t>
      </w:r>
      <w:r>
        <w:rPr>
          <w:i/>
          <w:w w:val="185"/>
          <w:sz w:val="15"/>
        </w:rPr>
        <w:t>KAB </w:t>
      </w:r>
      <w:r>
        <w:rPr>
          <w:i/>
          <w:spacing w:val="6"/>
          <w:w w:val="185"/>
          <w:sz w:val="15"/>
        </w:rPr>
        <w:t> </w:t>
      </w:r>
      <w:r>
        <w:rPr>
          <w:rFonts w:ascii="Symbol" w:hAnsi="Symbol"/>
          <w:w w:val="185"/>
          <w:sz w:val="15"/>
        </w:rPr>
        <w:t></w:t>
      </w:r>
      <w:r>
        <w:rPr>
          <w:spacing w:val="-25"/>
          <w:w w:val="185"/>
          <w:sz w:val="15"/>
        </w:rPr>
        <w:t> </w:t>
      </w:r>
      <w:r>
        <w:rPr>
          <w:rFonts w:ascii="Symbol" w:hAnsi="Symbol"/>
          <w:w w:val="185"/>
          <w:sz w:val="18"/>
        </w:rPr>
        <w:t></w:t>
      </w:r>
      <w:r>
        <w:rPr>
          <w:spacing w:val="82"/>
          <w:w w:val="185"/>
          <w:sz w:val="18"/>
        </w:rPr>
        <w:t> </w:t>
      </w:r>
      <w:r>
        <w:rPr>
          <w:rFonts w:ascii="Symbol" w:hAnsi="Symbol"/>
          <w:w w:val="185"/>
          <w:sz w:val="15"/>
        </w:rPr>
        <w:t></w:t>
      </w:r>
      <w:r>
        <w:rPr>
          <w:spacing w:val="-18"/>
          <w:w w:val="185"/>
          <w:sz w:val="15"/>
        </w:rPr>
        <w:t> </w:t>
      </w:r>
      <w:r>
        <w:rPr>
          <w:rFonts w:ascii="Symbol" w:hAnsi="Symbol"/>
          <w:w w:val="185"/>
          <w:position w:val="-3"/>
          <w:sz w:val="23"/>
        </w:rPr>
        <w:t></w:t>
      </w:r>
      <w:r>
        <w:rPr>
          <w:rFonts w:ascii="Symbol" w:hAnsi="Symbol"/>
          <w:w w:val="185"/>
          <w:sz w:val="18"/>
        </w:rPr>
        <w:t></w:t>
      </w:r>
      <w:r>
        <w:rPr>
          <w:spacing w:val="56"/>
          <w:w w:val="185"/>
          <w:sz w:val="18"/>
        </w:rPr>
        <w:t> </w:t>
      </w:r>
      <w:r>
        <w:rPr>
          <w:i/>
          <w:w w:val="185"/>
          <w:sz w:val="15"/>
        </w:rPr>
        <w:t>LnKAB</w:t>
        <w:tab/>
      </w:r>
      <w:r>
        <w:rPr>
          <w:rFonts w:ascii="Symbol" w:hAnsi="Symbol"/>
          <w:w w:val="185"/>
          <w:sz w:val="15"/>
        </w:rPr>
        <w:t></w:t>
      </w:r>
      <w:r>
        <w:rPr>
          <w:spacing w:val="-16"/>
          <w:w w:val="185"/>
          <w:sz w:val="15"/>
        </w:rPr>
        <w:t> </w:t>
      </w:r>
      <w:r>
        <w:rPr>
          <w:rFonts w:ascii="Symbol" w:hAnsi="Symbol"/>
          <w:w w:val="185"/>
          <w:position w:val="-3"/>
          <w:sz w:val="23"/>
        </w:rPr>
        <w:t></w:t>
      </w:r>
      <w:r>
        <w:rPr>
          <w:rFonts w:ascii="Symbol" w:hAnsi="Symbol"/>
          <w:w w:val="185"/>
          <w:sz w:val="18"/>
        </w:rPr>
        <w:t></w:t>
      </w:r>
      <w:r>
        <w:rPr>
          <w:w w:val="185"/>
          <w:sz w:val="18"/>
        </w:rPr>
        <w:t> </w:t>
      </w:r>
      <w:r>
        <w:rPr>
          <w:spacing w:val="11"/>
          <w:w w:val="185"/>
          <w:sz w:val="18"/>
        </w:rPr>
        <w:t> </w:t>
      </w:r>
      <w:r>
        <w:rPr>
          <w:i/>
          <w:w w:val="185"/>
          <w:sz w:val="15"/>
        </w:rPr>
        <w:t>LnREER</w:t>
        <w:tab/>
      </w:r>
      <w:r>
        <w:rPr>
          <w:rFonts w:ascii="Symbol" w:hAnsi="Symbol"/>
          <w:w w:val="185"/>
          <w:position w:val="-3"/>
          <w:sz w:val="23"/>
        </w:rPr>
        <w:t></w:t>
      </w:r>
      <w:r>
        <w:rPr>
          <w:rFonts w:ascii="Symbol" w:hAnsi="Symbol"/>
          <w:w w:val="185"/>
          <w:sz w:val="18"/>
        </w:rPr>
        <w:t></w:t>
      </w:r>
      <w:r>
        <w:rPr>
          <w:w w:val="185"/>
          <w:sz w:val="18"/>
        </w:rPr>
        <w:t> </w:t>
      </w:r>
      <w:r>
        <w:rPr>
          <w:spacing w:val="2"/>
          <w:w w:val="185"/>
          <w:sz w:val="18"/>
        </w:rPr>
        <w:t> </w:t>
      </w:r>
      <w:r>
        <w:rPr>
          <w:i/>
          <w:w w:val="185"/>
          <w:sz w:val="15"/>
        </w:rPr>
        <w:t>LnGDP</w:t>
      </w:r>
      <w:r>
        <w:rPr>
          <w:i/>
          <w:w w:val="185"/>
          <w:sz w:val="15"/>
          <w:vertAlign w:val="superscript"/>
        </w:rPr>
        <w:t>d</w:t>
      </w:r>
      <w:r>
        <w:rPr>
          <w:i/>
          <w:spacing w:val="50"/>
          <w:w w:val="185"/>
          <w:sz w:val="15"/>
          <w:vertAlign w:val="baseline"/>
        </w:rPr>
        <w:t> </w:t>
      </w:r>
      <w:r>
        <w:rPr>
          <w:rFonts w:ascii="Symbol" w:hAnsi="Symbol"/>
          <w:w w:val="185"/>
          <w:sz w:val="15"/>
          <w:vertAlign w:val="baseline"/>
        </w:rPr>
        <w:t></w:t>
      </w:r>
    </w:p>
    <w:p>
      <w:pPr>
        <w:spacing w:after="0" w:line="142" w:lineRule="exact"/>
        <w:jc w:val="left"/>
        <w:rPr>
          <w:rFonts w:ascii="Symbol" w:hAnsi="Symbol"/>
          <w:sz w:val="15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2294" w:val="left" w:leader="none"/>
          <w:tab w:pos="3115" w:val="left" w:leader="none"/>
          <w:tab w:pos="4099" w:val="left" w:leader="none"/>
        </w:tabs>
        <w:spacing w:line="230" w:lineRule="auto" w:before="3"/>
        <w:ind w:left="2708" w:right="0" w:hanging="913"/>
        <w:jc w:val="left"/>
        <w:rPr>
          <w:sz w:val="9"/>
        </w:rPr>
      </w:pPr>
      <w:r>
        <w:rPr>
          <w:i/>
          <w:w w:val="185"/>
          <w:sz w:val="9"/>
        </w:rPr>
        <w:t>t</w:t>
        <w:tab/>
      </w:r>
      <w:r>
        <w:rPr>
          <w:w w:val="185"/>
          <w:sz w:val="9"/>
        </w:rPr>
        <w:t>0</w:t>
        <w:tab/>
        <w:tab/>
        <w:t>1</w:t>
      </w:r>
      <w:r>
        <w:rPr>
          <w:i/>
          <w:w w:val="185"/>
          <w:sz w:val="9"/>
        </w:rPr>
        <w:t>i</w:t>
        <w:tab/>
      </w:r>
      <w:r>
        <w:rPr>
          <w:i/>
          <w:spacing w:val="-5"/>
          <w:w w:val="185"/>
          <w:sz w:val="9"/>
        </w:rPr>
        <w:t>t</w:t>
      </w:r>
      <w:r>
        <w:rPr>
          <w:i/>
          <w:spacing w:val="-25"/>
          <w:w w:val="185"/>
          <w:sz w:val="9"/>
        </w:rPr>
        <w:t> </w:t>
      </w:r>
      <w:r>
        <w:rPr>
          <w:rFonts w:ascii="Symbol" w:hAnsi="Symbol"/>
          <w:spacing w:val="-5"/>
          <w:w w:val="185"/>
          <w:sz w:val="9"/>
        </w:rPr>
        <w:t></w:t>
      </w:r>
      <w:r>
        <w:rPr>
          <w:i/>
          <w:spacing w:val="-5"/>
          <w:w w:val="185"/>
          <w:sz w:val="9"/>
        </w:rPr>
        <w:t>i</w:t>
      </w:r>
      <w:r>
        <w:rPr>
          <w:i/>
          <w:spacing w:val="-39"/>
          <w:w w:val="185"/>
          <w:sz w:val="9"/>
        </w:rPr>
        <w:t> </w:t>
      </w:r>
      <w:r>
        <w:rPr>
          <w:i/>
          <w:w w:val="185"/>
          <w:sz w:val="9"/>
        </w:rPr>
        <w:t>i</w:t>
      </w:r>
      <w:r>
        <w:rPr>
          <w:i/>
          <w:spacing w:val="-31"/>
          <w:w w:val="185"/>
          <w:sz w:val="9"/>
        </w:rPr>
        <w:t> </w:t>
      </w:r>
      <w:r>
        <w:rPr>
          <w:rFonts w:ascii="Symbol" w:hAnsi="Symbol"/>
          <w:w w:val="185"/>
          <w:sz w:val="9"/>
        </w:rPr>
        <w:t></w:t>
      </w:r>
      <w:r>
        <w:rPr>
          <w:w w:val="185"/>
          <w:sz w:val="9"/>
        </w:rPr>
        <w:t>1</w:t>
      </w:r>
    </w:p>
    <w:p>
      <w:pPr>
        <w:pStyle w:val="BodyText"/>
        <w:spacing w:before="1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281" w:right="0" w:firstLine="0"/>
        <w:jc w:val="left"/>
        <w:rPr>
          <w:sz w:val="9"/>
        </w:rPr>
      </w:pPr>
      <w:r>
        <w:rPr>
          <w:i/>
          <w:spacing w:val="-4"/>
          <w:w w:val="185"/>
          <w:sz w:val="9"/>
        </w:rPr>
        <w:t>i</w:t>
      </w:r>
      <w:r>
        <w:rPr>
          <w:i/>
          <w:spacing w:val="-30"/>
          <w:w w:val="185"/>
          <w:sz w:val="9"/>
        </w:rPr>
        <w:t> </w:t>
      </w:r>
      <w:r>
        <w:rPr>
          <w:rFonts w:ascii="Symbol" w:hAnsi="Symbol"/>
          <w:spacing w:val="-4"/>
          <w:w w:val="185"/>
          <w:sz w:val="9"/>
        </w:rPr>
        <w:t></w:t>
      </w:r>
      <w:r>
        <w:rPr>
          <w:spacing w:val="-4"/>
          <w:w w:val="185"/>
          <w:sz w:val="9"/>
        </w:rPr>
        <w:t>0</w:t>
      </w:r>
    </w:p>
    <w:p>
      <w:pPr>
        <w:tabs>
          <w:tab w:pos="1310" w:val="left" w:leader="none"/>
        </w:tabs>
        <w:spacing w:line="110" w:lineRule="exact" w:before="0"/>
        <w:ind w:left="157" w:right="0" w:firstLine="0"/>
        <w:jc w:val="left"/>
        <w:rPr>
          <w:i/>
          <w:sz w:val="9"/>
        </w:rPr>
      </w:pPr>
      <w:r>
        <w:rPr/>
        <w:br w:type="column"/>
      </w:r>
      <w:r>
        <w:rPr>
          <w:w w:val="185"/>
          <w:sz w:val="9"/>
        </w:rPr>
        <w:t>2</w:t>
      </w:r>
      <w:r>
        <w:rPr>
          <w:i/>
          <w:w w:val="185"/>
          <w:sz w:val="9"/>
        </w:rPr>
        <w:t>i</w:t>
        <w:tab/>
      </w:r>
      <w:r>
        <w:rPr>
          <w:i/>
          <w:spacing w:val="-5"/>
          <w:w w:val="185"/>
          <w:sz w:val="9"/>
        </w:rPr>
        <w:t>t</w:t>
      </w:r>
      <w:r>
        <w:rPr>
          <w:i/>
          <w:spacing w:val="-24"/>
          <w:w w:val="185"/>
          <w:sz w:val="9"/>
        </w:rPr>
        <w:t> </w:t>
      </w:r>
      <w:r>
        <w:rPr>
          <w:rFonts w:ascii="Symbol" w:hAnsi="Symbol"/>
          <w:spacing w:val="-5"/>
          <w:w w:val="185"/>
          <w:sz w:val="9"/>
        </w:rPr>
        <w:t></w:t>
      </w:r>
      <w:r>
        <w:rPr>
          <w:i/>
          <w:spacing w:val="-5"/>
          <w:w w:val="185"/>
          <w:sz w:val="9"/>
        </w:rPr>
        <w:t>i</w:t>
      </w:r>
    </w:p>
    <w:p>
      <w:pPr>
        <w:spacing w:line="102" w:lineRule="exact" w:before="5"/>
        <w:ind w:left="465" w:right="0" w:firstLine="0"/>
        <w:jc w:val="left"/>
        <w:rPr>
          <w:i/>
          <w:sz w:val="9"/>
        </w:rPr>
      </w:pPr>
      <w:r>
        <w:rPr/>
        <w:br w:type="column"/>
      </w:r>
      <w:r>
        <w:rPr>
          <w:w w:val="185"/>
          <w:sz w:val="9"/>
        </w:rPr>
        <w:t>3</w:t>
      </w:r>
      <w:r>
        <w:rPr>
          <w:i/>
          <w:w w:val="185"/>
          <w:sz w:val="9"/>
        </w:rPr>
        <w:t>i</w:t>
      </w:r>
    </w:p>
    <w:p>
      <w:pPr>
        <w:spacing w:line="108" w:lineRule="exact" w:before="0"/>
        <w:ind w:left="31" w:right="0" w:firstLine="0"/>
        <w:jc w:val="left"/>
        <w:rPr>
          <w:sz w:val="9"/>
        </w:rPr>
      </w:pPr>
      <w:r>
        <w:rPr>
          <w:i/>
          <w:w w:val="185"/>
          <w:sz w:val="9"/>
        </w:rPr>
        <w:t>i</w:t>
      </w:r>
      <w:r>
        <w:rPr>
          <w:i/>
          <w:spacing w:val="-28"/>
          <w:w w:val="185"/>
          <w:sz w:val="9"/>
        </w:rPr>
        <w:t> </w:t>
      </w:r>
      <w:r>
        <w:rPr>
          <w:rFonts w:ascii="Symbol" w:hAnsi="Symbol"/>
          <w:w w:val="185"/>
          <w:sz w:val="9"/>
        </w:rPr>
        <w:t></w:t>
      </w:r>
      <w:r>
        <w:rPr>
          <w:w w:val="185"/>
          <w:sz w:val="9"/>
        </w:rPr>
        <w:t>0</w:t>
      </w:r>
    </w:p>
    <w:p>
      <w:pPr>
        <w:spacing w:before="52"/>
        <w:ind w:left="845" w:right="0" w:firstLine="0"/>
        <w:jc w:val="left"/>
        <w:rPr>
          <w:i/>
          <w:sz w:val="6"/>
        </w:rPr>
      </w:pPr>
      <w:r>
        <w:rPr/>
        <w:br w:type="column"/>
      </w:r>
      <w:r>
        <w:rPr>
          <w:i/>
          <w:spacing w:val="-1"/>
          <w:w w:val="205"/>
          <w:sz w:val="6"/>
        </w:rPr>
        <w:t>t</w:t>
      </w:r>
      <w:r>
        <w:rPr>
          <w:i/>
          <w:spacing w:val="-22"/>
          <w:w w:val="205"/>
          <w:sz w:val="6"/>
        </w:rPr>
        <w:t> </w:t>
      </w:r>
      <w:r>
        <w:rPr>
          <w:rFonts w:ascii="Symbol" w:hAnsi="Symbol"/>
          <w:spacing w:val="-1"/>
          <w:w w:val="205"/>
          <w:sz w:val="6"/>
        </w:rPr>
        <w:t></w:t>
      </w:r>
      <w:r>
        <w:rPr>
          <w:i/>
          <w:spacing w:val="-1"/>
          <w:w w:val="205"/>
          <w:sz w:val="6"/>
        </w:rPr>
        <w:t>i</w:t>
      </w:r>
      <w:r>
        <w:rPr>
          <w:i/>
          <w:spacing w:val="-1"/>
          <w:sz w:val="6"/>
        </w:rPr>
        <w:t>     </w:t>
      </w:r>
    </w:p>
    <w:p>
      <w:pPr>
        <w:spacing w:after="0"/>
        <w:jc w:val="left"/>
        <w:rPr>
          <w:sz w:val="6"/>
        </w:rPr>
        <w:sectPr>
          <w:type w:val="continuous"/>
          <w:pgSz w:w="12240" w:h="15840"/>
          <w:pgMar w:top="1500" w:bottom="1200" w:left="1320" w:right="440"/>
          <w:cols w:num="5" w:equalWidth="0">
            <w:col w:w="4306" w:space="40"/>
            <w:col w:w="524" w:space="39"/>
            <w:col w:w="1517" w:space="39"/>
            <w:col w:w="596" w:space="40"/>
            <w:col w:w="3379"/>
          </w:cols>
        </w:sectPr>
      </w:pPr>
    </w:p>
    <w:p>
      <w:pPr>
        <w:tabs>
          <w:tab w:pos="3106" w:val="left" w:leader="none"/>
          <w:tab w:pos="5013" w:val="left" w:leader="none"/>
          <w:tab w:pos="6831" w:val="left" w:leader="none"/>
        </w:tabs>
        <w:spacing w:line="44" w:lineRule="exact" w:before="41"/>
        <w:ind w:left="1133" w:right="0" w:firstLine="0"/>
        <w:jc w:val="left"/>
        <w:rPr>
          <w:i/>
          <w:sz w:val="9"/>
        </w:rPr>
      </w:pPr>
      <w:r>
        <w:rPr>
          <w:i/>
          <w:w w:val="185"/>
          <w:sz w:val="9"/>
        </w:rPr>
        <w:t>k</w:t>
        <w:tab/>
        <w:t>k</w:t>
        <w:tab/>
        <w:t>k</w:t>
        <w:tab/>
        <w:t>k</w:t>
      </w:r>
    </w:p>
    <w:p>
      <w:pPr>
        <w:spacing w:after="0" w:line="44" w:lineRule="exact"/>
        <w:jc w:val="left"/>
        <w:rPr>
          <w:sz w:val="9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4734" w:val="left" w:leader="none"/>
          <w:tab w:pos="6512" w:val="left" w:leader="none"/>
        </w:tabs>
        <w:spacing w:line="142" w:lineRule="exact" w:before="5"/>
        <w:ind w:left="855" w:right="0" w:firstLine="0"/>
        <w:jc w:val="left"/>
        <w:rPr>
          <w:i/>
          <w:sz w:val="15"/>
        </w:rPr>
      </w:pPr>
      <w:r>
        <w:rPr>
          <w:rFonts w:ascii="Symbol" w:hAnsi="Symbol"/>
          <w:w w:val="185"/>
          <w:sz w:val="15"/>
        </w:rPr>
        <w:t></w:t>
      </w:r>
      <w:r>
        <w:rPr>
          <w:rFonts w:ascii="Symbol" w:hAnsi="Symbol"/>
          <w:w w:val="185"/>
          <w:position w:val="-3"/>
          <w:sz w:val="23"/>
        </w:rPr>
        <w:t></w:t>
      </w:r>
      <w:r>
        <w:rPr>
          <w:rFonts w:ascii="Symbol" w:hAnsi="Symbol"/>
          <w:w w:val="185"/>
          <w:sz w:val="18"/>
        </w:rPr>
        <w:t></w:t>
      </w:r>
      <w:r>
        <w:rPr>
          <w:w w:val="185"/>
          <w:sz w:val="18"/>
        </w:rPr>
        <w:t> </w:t>
      </w:r>
      <w:r>
        <w:rPr>
          <w:spacing w:val="10"/>
          <w:w w:val="185"/>
          <w:sz w:val="18"/>
        </w:rPr>
        <w:t> </w:t>
      </w:r>
      <w:r>
        <w:rPr>
          <w:i/>
          <w:w w:val="185"/>
          <w:sz w:val="15"/>
        </w:rPr>
        <w:t>LnGDP</w:t>
      </w:r>
      <w:r>
        <w:rPr>
          <w:i/>
          <w:spacing w:val="-24"/>
          <w:w w:val="185"/>
          <w:sz w:val="15"/>
        </w:rPr>
        <w:t> </w:t>
      </w:r>
      <w:r>
        <w:rPr>
          <w:i/>
          <w:w w:val="185"/>
          <w:sz w:val="15"/>
          <w:vertAlign w:val="superscript"/>
        </w:rPr>
        <w:t>f</w:t>
      </w:r>
      <w:r>
        <w:rPr>
          <w:i/>
          <w:w w:val="185"/>
          <w:sz w:val="15"/>
          <w:vertAlign w:val="baseline"/>
        </w:rPr>
        <w:t> </w:t>
      </w:r>
      <w:r>
        <w:rPr>
          <w:i/>
          <w:spacing w:val="19"/>
          <w:w w:val="185"/>
          <w:sz w:val="15"/>
          <w:vertAlign w:val="baseline"/>
        </w:rPr>
        <w:t> </w:t>
      </w:r>
      <w:r>
        <w:rPr>
          <w:rFonts w:ascii="Symbol" w:hAnsi="Symbol"/>
          <w:w w:val="185"/>
          <w:sz w:val="15"/>
          <w:vertAlign w:val="baseline"/>
        </w:rPr>
        <w:t></w:t>
      </w:r>
      <w:r>
        <w:rPr>
          <w:spacing w:val="-16"/>
          <w:w w:val="185"/>
          <w:sz w:val="15"/>
          <w:vertAlign w:val="baseline"/>
        </w:rPr>
        <w:t> </w:t>
      </w:r>
      <w:r>
        <w:rPr>
          <w:rFonts w:ascii="Symbol" w:hAnsi="Symbol"/>
          <w:w w:val="185"/>
          <w:position w:val="-3"/>
          <w:sz w:val="23"/>
          <w:vertAlign w:val="baseline"/>
        </w:rPr>
        <w:t></w:t>
      </w:r>
      <w:r>
        <w:rPr>
          <w:rFonts w:ascii="Symbol" w:hAnsi="Symbol"/>
          <w:w w:val="185"/>
          <w:sz w:val="18"/>
          <w:vertAlign w:val="baseline"/>
        </w:rPr>
        <w:t></w:t>
      </w:r>
      <w:r>
        <w:rPr>
          <w:w w:val="185"/>
          <w:sz w:val="18"/>
          <w:vertAlign w:val="baseline"/>
        </w:rPr>
        <w:t> </w:t>
      </w:r>
      <w:r>
        <w:rPr>
          <w:spacing w:val="2"/>
          <w:w w:val="185"/>
          <w:sz w:val="18"/>
          <w:vertAlign w:val="baseline"/>
        </w:rPr>
        <w:t> </w:t>
      </w:r>
      <w:r>
        <w:rPr>
          <w:i/>
          <w:w w:val="185"/>
          <w:sz w:val="15"/>
          <w:vertAlign w:val="baseline"/>
        </w:rPr>
        <w:t>LnWPI</w:t>
        <w:tab/>
      </w:r>
      <w:r>
        <w:rPr>
          <w:rFonts w:ascii="Symbol" w:hAnsi="Symbol"/>
          <w:w w:val="190"/>
          <w:sz w:val="15"/>
          <w:vertAlign w:val="baseline"/>
        </w:rPr>
        <w:t></w:t>
      </w:r>
      <w:r>
        <w:rPr>
          <w:rFonts w:ascii="Symbol" w:hAnsi="Symbol"/>
          <w:w w:val="190"/>
          <w:position w:val="-3"/>
          <w:sz w:val="23"/>
          <w:vertAlign w:val="baseline"/>
        </w:rPr>
        <w:t></w:t>
      </w:r>
      <w:r>
        <w:rPr>
          <w:rFonts w:ascii="Symbol" w:hAnsi="Symbol"/>
          <w:w w:val="190"/>
          <w:sz w:val="18"/>
          <w:vertAlign w:val="baseline"/>
        </w:rPr>
        <w:t></w:t>
      </w:r>
      <w:r>
        <w:rPr>
          <w:spacing w:val="75"/>
          <w:w w:val="190"/>
          <w:sz w:val="18"/>
          <w:vertAlign w:val="baseline"/>
        </w:rPr>
        <w:t> </w:t>
      </w:r>
      <w:r>
        <w:rPr>
          <w:i/>
          <w:w w:val="190"/>
          <w:sz w:val="15"/>
          <w:vertAlign w:val="baseline"/>
        </w:rPr>
        <w:t>LnMS</w:t>
        <w:tab/>
      </w:r>
      <w:r>
        <w:rPr>
          <w:rFonts w:ascii="Symbol" w:hAnsi="Symbol"/>
          <w:spacing w:val="-1"/>
          <w:w w:val="185"/>
          <w:sz w:val="15"/>
          <w:vertAlign w:val="baseline"/>
        </w:rPr>
        <w:t></w:t>
      </w:r>
      <w:r>
        <w:rPr>
          <w:spacing w:val="-21"/>
          <w:w w:val="185"/>
          <w:sz w:val="15"/>
          <w:vertAlign w:val="baseline"/>
        </w:rPr>
        <w:t> </w:t>
      </w:r>
      <w:r>
        <w:rPr>
          <w:rFonts w:ascii="Symbol" w:hAnsi="Symbol"/>
          <w:spacing w:val="-1"/>
          <w:w w:val="185"/>
          <w:position w:val="-3"/>
          <w:sz w:val="23"/>
          <w:vertAlign w:val="baseline"/>
        </w:rPr>
        <w:t></w:t>
      </w:r>
      <w:r>
        <w:rPr>
          <w:rFonts w:ascii="Symbol" w:hAnsi="Symbol"/>
          <w:spacing w:val="-1"/>
          <w:w w:val="185"/>
          <w:sz w:val="18"/>
          <w:vertAlign w:val="baseline"/>
        </w:rPr>
        <w:t></w:t>
      </w:r>
      <w:r>
        <w:rPr>
          <w:spacing w:val="-1"/>
          <w:w w:val="185"/>
          <w:sz w:val="18"/>
          <w:vertAlign w:val="baseline"/>
        </w:rPr>
        <w:t>  </w:t>
      </w:r>
      <w:r>
        <w:rPr>
          <w:i/>
          <w:spacing w:val="-1"/>
          <w:w w:val="185"/>
          <w:sz w:val="15"/>
          <w:vertAlign w:val="baseline"/>
        </w:rPr>
        <w:t>IR</w:t>
      </w:r>
    </w:p>
    <w:p>
      <w:pPr>
        <w:spacing w:line="132" w:lineRule="exact" w:before="15"/>
        <w:ind w:left="228" w:right="0" w:firstLine="0"/>
        <w:jc w:val="left"/>
        <w:rPr>
          <w:rFonts w:ascii="Symbol" w:hAnsi="Symbol"/>
          <w:sz w:val="18"/>
        </w:rPr>
      </w:pPr>
      <w:r>
        <w:rPr/>
        <w:br w:type="column"/>
      </w:r>
      <w:r>
        <w:rPr>
          <w:rFonts w:ascii="Symbol" w:hAnsi="Symbol"/>
          <w:w w:val="180"/>
          <w:sz w:val="15"/>
        </w:rPr>
        <w:t></w:t>
      </w:r>
      <w:r>
        <w:rPr>
          <w:spacing w:val="-39"/>
          <w:w w:val="180"/>
          <w:sz w:val="15"/>
        </w:rPr>
        <w:t> </w:t>
      </w:r>
      <w:r>
        <w:rPr>
          <w:rFonts w:ascii="Symbol" w:hAnsi="Symbol"/>
          <w:w w:val="180"/>
          <w:sz w:val="18"/>
        </w:rPr>
        <w:t></w:t>
      </w:r>
      <w:r>
        <w:rPr>
          <w:spacing w:val="16"/>
          <w:w w:val="180"/>
          <w:sz w:val="18"/>
        </w:rPr>
        <w:t> </w:t>
      </w:r>
      <w:r>
        <w:rPr>
          <w:i/>
          <w:w w:val="180"/>
          <w:sz w:val="15"/>
        </w:rPr>
        <w:t>D</w:t>
      </w:r>
      <w:r>
        <w:rPr>
          <w:i/>
          <w:spacing w:val="43"/>
          <w:w w:val="180"/>
          <w:sz w:val="15"/>
        </w:rPr>
        <w:t> </w:t>
      </w:r>
      <w:r>
        <w:rPr>
          <w:rFonts w:ascii="Symbol" w:hAnsi="Symbol"/>
          <w:w w:val="180"/>
          <w:sz w:val="15"/>
        </w:rPr>
        <w:t></w:t>
      </w:r>
      <w:r>
        <w:rPr>
          <w:spacing w:val="-30"/>
          <w:w w:val="180"/>
          <w:sz w:val="15"/>
        </w:rPr>
        <w:t> </w:t>
      </w:r>
      <w:r>
        <w:rPr>
          <w:rFonts w:ascii="Symbol" w:hAnsi="Symbol"/>
          <w:w w:val="180"/>
          <w:sz w:val="18"/>
        </w:rPr>
        <w:t></w:t>
      </w:r>
    </w:p>
    <w:p>
      <w:pPr>
        <w:spacing w:after="0" w:line="132" w:lineRule="exact"/>
        <w:jc w:val="left"/>
        <w:rPr>
          <w:rFonts w:ascii="Symbol" w:hAnsi="Symbol"/>
          <w:sz w:val="18"/>
        </w:rPr>
        <w:sectPr>
          <w:type w:val="continuous"/>
          <w:pgSz w:w="12240" w:h="15840"/>
          <w:pgMar w:top="1500" w:bottom="1200" w:left="1320" w:right="440"/>
          <w:cols w:num="2" w:equalWidth="0">
            <w:col w:w="7631" w:space="40"/>
            <w:col w:w="2809"/>
          </w:cols>
        </w:sectPr>
      </w:pPr>
    </w:p>
    <w:p>
      <w:pPr>
        <w:pStyle w:val="BodyText"/>
        <w:spacing w:before="6"/>
        <w:rPr>
          <w:rFonts w:ascii="Symbol" w:hAnsi="Symbol"/>
          <w:sz w:val="8"/>
        </w:rPr>
      </w:pPr>
    </w:p>
    <w:p>
      <w:pPr>
        <w:spacing w:before="1"/>
        <w:ind w:left="0" w:right="0" w:firstLine="0"/>
        <w:jc w:val="right"/>
        <w:rPr>
          <w:sz w:val="9"/>
        </w:rPr>
      </w:pPr>
      <w:r>
        <w:rPr>
          <w:i/>
          <w:w w:val="185"/>
          <w:sz w:val="9"/>
        </w:rPr>
        <w:t>i</w:t>
      </w:r>
      <w:r>
        <w:rPr>
          <w:i/>
          <w:spacing w:val="-28"/>
          <w:w w:val="185"/>
          <w:sz w:val="9"/>
        </w:rPr>
        <w:t> </w:t>
      </w:r>
      <w:r>
        <w:rPr>
          <w:rFonts w:ascii="Symbol" w:hAnsi="Symbol"/>
          <w:w w:val="185"/>
          <w:sz w:val="9"/>
        </w:rPr>
        <w:t></w:t>
      </w:r>
      <w:r>
        <w:rPr>
          <w:w w:val="185"/>
          <w:sz w:val="9"/>
        </w:rPr>
        <w:t>0</w:t>
      </w:r>
    </w:p>
    <w:p>
      <w:pPr>
        <w:tabs>
          <w:tab w:pos="1163" w:val="left" w:leader="none"/>
        </w:tabs>
        <w:spacing w:line="109" w:lineRule="exact" w:before="0"/>
        <w:ind w:left="158" w:right="0" w:firstLine="0"/>
        <w:jc w:val="left"/>
        <w:rPr>
          <w:i/>
          <w:sz w:val="9"/>
        </w:rPr>
      </w:pPr>
      <w:r>
        <w:rPr/>
        <w:br w:type="column"/>
      </w:r>
      <w:r>
        <w:rPr>
          <w:w w:val="185"/>
          <w:sz w:val="9"/>
        </w:rPr>
        <w:t>4</w:t>
      </w:r>
      <w:r>
        <w:rPr>
          <w:i/>
          <w:w w:val="185"/>
          <w:sz w:val="9"/>
        </w:rPr>
        <w:t>i</w:t>
        <w:tab/>
      </w:r>
      <w:r>
        <w:rPr>
          <w:i/>
          <w:spacing w:val="-5"/>
          <w:w w:val="185"/>
          <w:sz w:val="9"/>
        </w:rPr>
        <w:t>t</w:t>
      </w:r>
      <w:r>
        <w:rPr>
          <w:i/>
          <w:spacing w:val="-24"/>
          <w:w w:val="185"/>
          <w:sz w:val="9"/>
        </w:rPr>
        <w:t> </w:t>
      </w:r>
      <w:r>
        <w:rPr>
          <w:rFonts w:ascii="Symbol" w:hAnsi="Symbol"/>
          <w:spacing w:val="-5"/>
          <w:w w:val="185"/>
          <w:sz w:val="9"/>
        </w:rPr>
        <w:t></w:t>
      </w:r>
      <w:r>
        <w:rPr>
          <w:i/>
          <w:spacing w:val="-5"/>
          <w:w w:val="185"/>
          <w:sz w:val="9"/>
        </w:rPr>
        <w:t>i</w:t>
      </w:r>
    </w:p>
    <w:p>
      <w:pPr>
        <w:pStyle w:val="BodyText"/>
        <w:spacing w:before="1"/>
        <w:rPr>
          <w:i/>
          <w:sz w:val="9"/>
        </w:rPr>
      </w:pPr>
      <w:r>
        <w:rPr/>
        <w:br w:type="column"/>
      </w:r>
      <w:r>
        <w:rPr>
          <w:i/>
          <w:sz w:val="9"/>
        </w:rPr>
      </w:r>
    </w:p>
    <w:p>
      <w:pPr>
        <w:spacing w:before="0"/>
        <w:ind w:left="281" w:right="0" w:firstLine="0"/>
        <w:jc w:val="left"/>
        <w:rPr>
          <w:sz w:val="9"/>
        </w:rPr>
      </w:pPr>
      <w:r>
        <w:rPr>
          <w:i/>
          <w:spacing w:val="-4"/>
          <w:w w:val="185"/>
          <w:sz w:val="9"/>
        </w:rPr>
        <w:t>i</w:t>
      </w:r>
      <w:r>
        <w:rPr>
          <w:i/>
          <w:spacing w:val="-30"/>
          <w:w w:val="185"/>
          <w:sz w:val="9"/>
        </w:rPr>
        <w:t> </w:t>
      </w:r>
      <w:r>
        <w:rPr>
          <w:rFonts w:ascii="Symbol" w:hAnsi="Symbol"/>
          <w:spacing w:val="-4"/>
          <w:w w:val="185"/>
          <w:sz w:val="9"/>
        </w:rPr>
        <w:t></w:t>
      </w:r>
      <w:r>
        <w:rPr>
          <w:spacing w:val="-4"/>
          <w:w w:val="185"/>
          <w:sz w:val="9"/>
        </w:rPr>
        <w:t>0</w:t>
      </w:r>
    </w:p>
    <w:p>
      <w:pPr>
        <w:tabs>
          <w:tab w:pos="1137" w:val="left" w:leader="none"/>
        </w:tabs>
        <w:spacing w:line="109" w:lineRule="exact" w:before="0"/>
        <w:ind w:left="153" w:right="0" w:firstLine="0"/>
        <w:jc w:val="left"/>
        <w:rPr>
          <w:i/>
          <w:sz w:val="9"/>
        </w:rPr>
      </w:pPr>
      <w:r>
        <w:rPr/>
        <w:br w:type="column"/>
      </w:r>
      <w:r>
        <w:rPr>
          <w:w w:val="185"/>
          <w:sz w:val="9"/>
        </w:rPr>
        <w:t>5</w:t>
      </w:r>
      <w:r>
        <w:rPr>
          <w:i/>
          <w:w w:val="185"/>
          <w:sz w:val="9"/>
        </w:rPr>
        <w:t>i</w:t>
        <w:tab/>
      </w:r>
      <w:r>
        <w:rPr>
          <w:i/>
          <w:spacing w:val="-5"/>
          <w:w w:val="185"/>
          <w:sz w:val="9"/>
        </w:rPr>
        <w:t>t</w:t>
      </w:r>
      <w:r>
        <w:rPr>
          <w:i/>
          <w:spacing w:val="-24"/>
          <w:w w:val="185"/>
          <w:sz w:val="9"/>
        </w:rPr>
        <w:t> </w:t>
      </w:r>
      <w:r>
        <w:rPr>
          <w:rFonts w:ascii="Symbol" w:hAnsi="Symbol"/>
          <w:spacing w:val="-5"/>
          <w:w w:val="185"/>
          <w:sz w:val="9"/>
        </w:rPr>
        <w:t></w:t>
      </w:r>
      <w:r>
        <w:rPr>
          <w:i/>
          <w:spacing w:val="-5"/>
          <w:w w:val="185"/>
          <w:sz w:val="9"/>
        </w:rPr>
        <w:t>i</w:t>
      </w:r>
    </w:p>
    <w:p>
      <w:pPr>
        <w:pStyle w:val="BodyText"/>
        <w:spacing w:before="1"/>
        <w:rPr>
          <w:i/>
          <w:sz w:val="9"/>
        </w:rPr>
      </w:pPr>
      <w:r>
        <w:rPr/>
        <w:br w:type="column"/>
      </w:r>
      <w:r>
        <w:rPr>
          <w:i/>
          <w:sz w:val="9"/>
        </w:rPr>
      </w:r>
    </w:p>
    <w:p>
      <w:pPr>
        <w:spacing w:before="0"/>
        <w:ind w:left="242" w:right="0" w:firstLine="0"/>
        <w:jc w:val="left"/>
        <w:rPr>
          <w:sz w:val="9"/>
        </w:rPr>
      </w:pPr>
      <w:r>
        <w:rPr>
          <w:i/>
          <w:spacing w:val="-4"/>
          <w:w w:val="185"/>
          <w:sz w:val="9"/>
        </w:rPr>
        <w:t>i</w:t>
      </w:r>
      <w:r>
        <w:rPr>
          <w:i/>
          <w:spacing w:val="-30"/>
          <w:w w:val="185"/>
          <w:sz w:val="9"/>
        </w:rPr>
        <w:t> </w:t>
      </w:r>
      <w:r>
        <w:rPr>
          <w:rFonts w:ascii="Symbol" w:hAnsi="Symbol"/>
          <w:spacing w:val="-4"/>
          <w:w w:val="185"/>
          <w:sz w:val="9"/>
        </w:rPr>
        <w:t></w:t>
      </w:r>
      <w:r>
        <w:rPr>
          <w:spacing w:val="-4"/>
          <w:w w:val="185"/>
          <w:sz w:val="9"/>
        </w:rPr>
        <w:t>0</w:t>
      </w:r>
    </w:p>
    <w:p>
      <w:pPr>
        <w:tabs>
          <w:tab w:pos="1007" w:val="left" w:leader="none"/>
        </w:tabs>
        <w:spacing w:line="109" w:lineRule="exact" w:before="0"/>
        <w:ind w:left="156" w:right="0" w:firstLine="0"/>
        <w:jc w:val="left"/>
        <w:rPr>
          <w:i/>
          <w:sz w:val="9"/>
        </w:rPr>
      </w:pPr>
      <w:r>
        <w:rPr/>
        <w:br w:type="column"/>
      </w:r>
      <w:r>
        <w:rPr>
          <w:w w:val="185"/>
          <w:sz w:val="9"/>
        </w:rPr>
        <w:t>6</w:t>
      </w:r>
      <w:r>
        <w:rPr>
          <w:i/>
          <w:w w:val="185"/>
          <w:sz w:val="9"/>
        </w:rPr>
        <w:t>i</w:t>
        <w:tab/>
      </w:r>
      <w:r>
        <w:rPr>
          <w:i/>
          <w:spacing w:val="-6"/>
          <w:w w:val="185"/>
          <w:sz w:val="9"/>
        </w:rPr>
        <w:t>t</w:t>
      </w:r>
      <w:r>
        <w:rPr>
          <w:i/>
          <w:spacing w:val="-22"/>
          <w:w w:val="185"/>
          <w:sz w:val="9"/>
        </w:rPr>
        <w:t> </w:t>
      </w:r>
      <w:r>
        <w:rPr>
          <w:rFonts w:ascii="Symbol" w:hAnsi="Symbol"/>
          <w:spacing w:val="-6"/>
          <w:w w:val="185"/>
          <w:sz w:val="9"/>
        </w:rPr>
        <w:t></w:t>
      </w:r>
      <w:r>
        <w:rPr>
          <w:i/>
          <w:spacing w:val="-6"/>
          <w:w w:val="185"/>
          <w:sz w:val="9"/>
        </w:rPr>
        <w:t>i</w:t>
      </w:r>
    </w:p>
    <w:p>
      <w:pPr>
        <w:pStyle w:val="BodyText"/>
        <w:spacing w:before="1"/>
        <w:rPr>
          <w:i/>
          <w:sz w:val="9"/>
        </w:rPr>
      </w:pPr>
      <w:r>
        <w:rPr/>
        <w:br w:type="column"/>
      </w:r>
      <w:r>
        <w:rPr>
          <w:i/>
          <w:sz w:val="9"/>
        </w:rPr>
      </w:r>
    </w:p>
    <w:p>
      <w:pPr>
        <w:spacing w:before="0"/>
        <w:ind w:left="283" w:right="0" w:firstLine="0"/>
        <w:jc w:val="left"/>
        <w:rPr>
          <w:sz w:val="9"/>
        </w:rPr>
      </w:pPr>
      <w:r>
        <w:rPr>
          <w:i/>
          <w:spacing w:val="-4"/>
          <w:w w:val="185"/>
          <w:sz w:val="9"/>
        </w:rPr>
        <w:t>i</w:t>
      </w:r>
      <w:r>
        <w:rPr>
          <w:i/>
          <w:spacing w:val="-30"/>
          <w:w w:val="185"/>
          <w:sz w:val="9"/>
        </w:rPr>
        <w:t> </w:t>
      </w:r>
      <w:r>
        <w:rPr>
          <w:rFonts w:ascii="Symbol" w:hAnsi="Symbol"/>
          <w:spacing w:val="-4"/>
          <w:w w:val="185"/>
          <w:sz w:val="9"/>
        </w:rPr>
        <w:t></w:t>
      </w:r>
      <w:r>
        <w:rPr>
          <w:spacing w:val="-4"/>
          <w:w w:val="185"/>
          <w:sz w:val="9"/>
        </w:rPr>
        <w:t>0</w:t>
      </w:r>
    </w:p>
    <w:p>
      <w:pPr>
        <w:tabs>
          <w:tab w:pos="575" w:val="left" w:leader="none"/>
        </w:tabs>
        <w:spacing w:line="109" w:lineRule="exact" w:before="0"/>
        <w:ind w:left="156" w:right="0" w:firstLine="0"/>
        <w:jc w:val="left"/>
        <w:rPr>
          <w:i/>
          <w:sz w:val="9"/>
        </w:rPr>
      </w:pPr>
      <w:r>
        <w:rPr/>
        <w:br w:type="column"/>
      </w:r>
      <w:r>
        <w:rPr>
          <w:w w:val="185"/>
          <w:sz w:val="9"/>
        </w:rPr>
        <w:t>7</w:t>
      </w:r>
      <w:r>
        <w:rPr>
          <w:i/>
          <w:w w:val="185"/>
          <w:sz w:val="9"/>
        </w:rPr>
        <w:t>i</w:t>
        <w:tab/>
      </w:r>
      <w:r>
        <w:rPr>
          <w:i/>
          <w:spacing w:val="-6"/>
          <w:w w:val="185"/>
          <w:sz w:val="9"/>
        </w:rPr>
        <w:t>t</w:t>
      </w:r>
      <w:r>
        <w:rPr>
          <w:i/>
          <w:spacing w:val="-22"/>
          <w:w w:val="185"/>
          <w:sz w:val="9"/>
        </w:rPr>
        <w:t> </w:t>
      </w:r>
      <w:r>
        <w:rPr>
          <w:rFonts w:ascii="Symbol" w:hAnsi="Symbol"/>
          <w:spacing w:val="-6"/>
          <w:w w:val="185"/>
          <w:sz w:val="9"/>
        </w:rPr>
        <w:t></w:t>
      </w:r>
      <w:r>
        <w:rPr>
          <w:i/>
          <w:spacing w:val="-6"/>
          <w:w w:val="185"/>
          <w:sz w:val="9"/>
        </w:rPr>
        <w:t>i</w:t>
      </w:r>
    </w:p>
    <w:p>
      <w:pPr>
        <w:tabs>
          <w:tab w:pos="666" w:val="left" w:leader="none"/>
          <w:tab w:pos="1136" w:val="left" w:leader="none"/>
        </w:tabs>
        <w:spacing w:before="5"/>
        <w:ind w:left="373" w:right="0" w:firstLine="0"/>
        <w:jc w:val="left"/>
        <w:rPr>
          <w:i/>
          <w:sz w:val="9"/>
        </w:rPr>
      </w:pPr>
      <w:r>
        <w:rPr/>
        <w:br w:type="column"/>
      </w:r>
      <w:r>
        <w:rPr>
          <w:w w:val="185"/>
          <w:sz w:val="9"/>
        </w:rPr>
        <w:t>8</w:t>
        <w:tab/>
      </w:r>
      <w:r>
        <w:rPr>
          <w:i/>
          <w:w w:val="185"/>
          <w:sz w:val="9"/>
        </w:rPr>
        <w:t>i</w:t>
        <w:tab/>
        <w:t>i</w:t>
      </w:r>
    </w:p>
    <w:p>
      <w:pPr>
        <w:spacing w:after="0"/>
        <w:jc w:val="left"/>
        <w:rPr>
          <w:sz w:val="9"/>
        </w:rPr>
        <w:sectPr>
          <w:type w:val="continuous"/>
          <w:pgSz w:w="12240" w:h="15840"/>
          <w:pgMar w:top="1500" w:bottom="1200" w:left="1320" w:right="440"/>
          <w:cols w:num="9" w:equalWidth="0">
            <w:col w:w="1297" w:space="40"/>
            <w:col w:w="1370" w:space="39"/>
            <w:col w:w="524" w:space="39"/>
            <w:col w:w="1344" w:space="39"/>
            <w:col w:w="484" w:space="40"/>
            <w:col w:w="1214" w:space="40"/>
            <w:col w:w="525" w:space="39"/>
            <w:col w:w="782" w:space="40"/>
            <w:col w:w="262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8"/>
        </w:rPr>
      </w:pPr>
    </w:p>
    <w:p>
      <w:pPr>
        <w:pStyle w:val="Heading2"/>
        <w:spacing w:before="90"/>
      </w:pPr>
      <w:r>
        <w:rPr/>
        <w:t>Identities</w:t>
      </w:r>
    </w:p>
    <w:p>
      <w:pPr>
        <w:pStyle w:val="BodyText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113"/>
        <w:ind w:left="912" w:right="0" w:firstLine="0"/>
        <w:jc w:val="left"/>
        <w:rPr>
          <w:i/>
          <w:sz w:val="17"/>
        </w:rPr>
      </w:pPr>
      <w:r>
        <w:rPr>
          <w:i/>
          <w:w w:val="325"/>
          <w:sz w:val="17"/>
        </w:rPr>
        <w:t>BoP</w:t>
      </w:r>
    </w:p>
    <w:p>
      <w:pPr>
        <w:spacing w:before="100"/>
        <w:ind w:left="93" w:right="0" w:firstLine="0"/>
        <w:jc w:val="left"/>
        <w:rPr>
          <w:rFonts w:ascii="Symbol" w:hAnsi="Symbol"/>
          <w:sz w:val="17"/>
        </w:rPr>
      </w:pPr>
      <w:r>
        <w:rPr/>
        <w:br w:type="column"/>
      </w:r>
      <w:r>
        <w:rPr>
          <w:rFonts w:ascii="Symbol" w:hAnsi="Symbol"/>
          <w:spacing w:val="-2"/>
          <w:w w:val="325"/>
          <w:sz w:val="17"/>
        </w:rPr>
        <w:t></w:t>
      </w:r>
      <w:r>
        <w:rPr>
          <w:spacing w:val="-31"/>
          <w:w w:val="325"/>
          <w:sz w:val="17"/>
        </w:rPr>
        <w:t> </w:t>
      </w:r>
      <w:r>
        <w:rPr>
          <w:i/>
          <w:spacing w:val="-2"/>
          <w:w w:val="325"/>
          <w:sz w:val="17"/>
        </w:rPr>
        <w:t>CAB</w:t>
      </w:r>
      <w:r>
        <w:rPr>
          <w:i/>
          <w:spacing w:val="-40"/>
          <w:w w:val="325"/>
          <w:sz w:val="17"/>
        </w:rPr>
        <w:t> </w:t>
      </w:r>
      <w:r>
        <w:rPr>
          <w:rFonts w:ascii="Symbol" w:hAnsi="Symbol"/>
          <w:spacing w:val="-1"/>
          <w:w w:val="325"/>
          <w:sz w:val="17"/>
        </w:rPr>
        <w:t></w:t>
      </w:r>
    </w:p>
    <w:p>
      <w:pPr>
        <w:spacing w:before="100"/>
        <w:ind w:left="76" w:right="0" w:firstLine="0"/>
        <w:jc w:val="left"/>
        <w:rPr>
          <w:rFonts w:ascii="Symbol" w:hAnsi="Symbol"/>
          <w:sz w:val="17"/>
        </w:rPr>
      </w:pPr>
      <w:r>
        <w:rPr/>
        <w:br w:type="column"/>
      </w:r>
      <w:r>
        <w:rPr>
          <w:i/>
          <w:spacing w:val="-4"/>
          <w:w w:val="325"/>
          <w:sz w:val="17"/>
        </w:rPr>
        <w:t>FAB</w:t>
      </w:r>
      <w:r>
        <w:rPr>
          <w:i/>
          <w:spacing w:val="-40"/>
          <w:w w:val="325"/>
          <w:sz w:val="17"/>
        </w:rPr>
        <w:t> </w:t>
      </w:r>
      <w:r>
        <w:rPr>
          <w:rFonts w:ascii="Symbol" w:hAnsi="Symbol"/>
          <w:spacing w:val="-3"/>
          <w:w w:val="325"/>
          <w:sz w:val="17"/>
        </w:rPr>
        <w:t></w:t>
      </w:r>
    </w:p>
    <w:p>
      <w:pPr>
        <w:spacing w:line="49" w:lineRule="exact" w:before="69"/>
        <w:ind w:left="0" w:right="27" w:firstLine="0"/>
        <w:jc w:val="right"/>
        <w:rPr>
          <w:i/>
          <w:sz w:val="10"/>
        </w:rPr>
      </w:pPr>
      <w:r>
        <w:rPr>
          <w:i/>
          <w:w w:val="322"/>
          <w:sz w:val="10"/>
        </w:rPr>
        <w:t>n</w:t>
      </w:r>
    </w:p>
    <w:p>
      <w:pPr>
        <w:spacing w:before="113"/>
        <w:ind w:left="77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330"/>
          <w:sz w:val="17"/>
        </w:rPr>
        <w:t>KAB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500" w:bottom="1200" w:left="1320" w:right="440"/>
          <w:cols w:num="4" w:equalWidth="0">
            <w:col w:w="1867" w:space="40"/>
            <w:col w:w="1960" w:space="39"/>
            <w:col w:w="1496" w:space="40"/>
            <w:col w:w="5038"/>
          </w:cols>
        </w:sectPr>
      </w:pPr>
    </w:p>
    <w:p>
      <w:pPr>
        <w:spacing w:before="46"/>
        <w:ind w:left="878" w:right="0" w:firstLine="0"/>
        <w:jc w:val="left"/>
        <w:rPr>
          <w:i/>
          <w:sz w:val="17"/>
        </w:rPr>
      </w:pPr>
      <w:r>
        <w:rPr>
          <w:i/>
          <w:w w:val="330"/>
          <w:sz w:val="17"/>
        </w:rPr>
        <w:t>CAB</w:t>
      </w:r>
      <w:r>
        <w:rPr>
          <w:i/>
          <w:spacing w:val="-25"/>
          <w:w w:val="330"/>
          <w:sz w:val="17"/>
        </w:rPr>
        <w:t> </w:t>
      </w:r>
      <w:r>
        <w:rPr>
          <w:rFonts w:ascii="Symbol" w:hAnsi="Symbol"/>
          <w:w w:val="330"/>
          <w:sz w:val="17"/>
        </w:rPr>
        <w:t></w:t>
      </w:r>
      <w:r>
        <w:rPr>
          <w:spacing w:val="-18"/>
          <w:w w:val="330"/>
          <w:sz w:val="17"/>
        </w:rPr>
        <w:t> </w:t>
      </w:r>
      <w:r>
        <w:rPr>
          <w:i/>
          <w:w w:val="330"/>
          <w:sz w:val="17"/>
        </w:rPr>
        <w:t>EX</w:t>
      </w:r>
    </w:p>
    <w:p>
      <w:pPr>
        <w:pStyle w:val="ListParagraph"/>
        <w:numPr>
          <w:ilvl w:val="0"/>
          <w:numId w:val="19"/>
        </w:numPr>
        <w:tabs>
          <w:tab w:pos="551" w:val="left" w:leader="none"/>
        </w:tabs>
        <w:spacing w:line="240" w:lineRule="auto" w:before="46" w:after="0"/>
        <w:ind w:left="550" w:right="0" w:hanging="415"/>
        <w:jc w:val="left"/>
        <w:rPr>
          <w:i/>
          <w:sz w:val="17"/>
        </w:rPr>
      </w:pPr>
      <w:r>
        <w:rPr>
          <w:i/>
          <w:spacing w:val="-14"/>
          <w:w w:val="327"/>
          <w:sz w:val="17"/>
        </w:rPr>
        <w:br w:type="column"/>
      </w:r>
      <w:r>
        <w:rPr>
          <w:i/>
          <w:spacing w:val="-8"/>
          <w:w w:val="330"/>
          <w:sz w:val="17"/>
        </w:rPr>
        <w:t>IM</w:t>
      </w:r>
    </w:p>
    <w:p>
      <w:pPr>
        <w:pStyle w:val="ListParagraph"/>
        <w:numPr>
          <w:ilvl w:val="0"/>
          <w:numId w:val="20"/>
        </w:numPr>
        <w:tabs>
          <w:tab w:pos="536" w:val="left" w:leader="none"/>
        </w:tabs>
        <w:spacing w:line="289" w:lineRule="exact" w:before="6" w:after="0"/>
        <w:ind w:left="535" w:right="4267" w:hanging="536"/>
        <w:jc w:val="left"/>
        <w:rPr>
          <w:i/>
          <w:sz w:val="10"/>
        </w:rPr>
      </w:pPr>
      <w:r>
        <w:rPr>
          <w:rFonts w:ascii="Symbol" w:hAnsi="Symbol"/>
          <w:w w:val="334"/>
          <w:position w:val="-3"/>
          <w:sz w:val="25"/>
        </w:rPr>
        <w:br w:type="column"/>
      </w:r>
      <w:r>
        <w:rPr>
          <w:rFonts w:ascii="Symbol" w:hAnsi="Symbol"/>
          <w:spacing w:val="-10"/>
          <w:w w:val="330"/>
          <w:position w:val="-3"/>
          <w:sz w:val="25"/>
        </w:rPr>
        <w:t></w:t>
      </w:r>
      <w:r>
        <w:rPr>
          <w:spacing w:val="-122"/>
          <w:w w:val="330"/>
          <w:position w:val="-3"/>
          <w:sz w:val="25"/>
        </w:rPr>
        <w:t> </w:t>
      </w:r>
      <w:r>
        <w:rPr>
          <w:i/>
          <w:spacing w:val="-10"/>
          <w:w w:val="330"/>
          <w:sz w:val="17"/>
        </w:rPr>
        <w:t>R</w:t>
      </w:r>
      <w:r>
        <w:rPr>
          <w:i/>
          <w:spacing w:val="-10"/>
          <w:w w:val="330"/>
          <w:position w:val="-3"/>
          <w:sz w:val="10"/>
        </w:rPr>
        <w:t>i</w:t>
      </w:r>
    </w:p>
    <w:p>
      <w:pPr>
        <w:spacing w:line="105" w:lineRule="exact" w:before="0"/>
        <w:ind w:left="605" w:right="4940" w:firstLine="0"/>
        <w:jc w:val="center"/>
        <w:rPr>
          <w:sz w:val="10"/>
        </w:rPr>
      </w:pPr>
      <w:r>
        <w:rPr>
          <w:i/>
          <w:spacing w:val="-5"/>
          <w:w w:val="320"/>
          <w:sz w:val="10"/>
        </w:rPr>
        <w:t>i</w:t>
      </w:r>
      <w:r>
        <w:rPr>
          <w:i/>
          <w:spacing w:val="-57"/>
          <w:w w:val="320"/>
          <w:sz w:val="10"/>
        </w:rPr>
        <w:t> </w:t>
      </w:r>
      <w:r>
        <w:rPr>
          <w:rFonts w:ascii="Symbol" w:hAnsi="Symbol"/>
          <w:spacing w:val="-5"/>
          <w:w w:val="320"/>
          <w:sz w:val="10"/>
        </w:rPr>
        <w:t></w:t>
      </w:r>
      <w:r>
        <w:rPr>
          <w:spacing w:val="-5"/>
          <w:w w:val="320"/>
          <w:sz w:val="10"/>
        </w:rPr>
        <w:t>1</w:t>
      </w:r>
    </w:p>
    <w:p>
      <w:pPr>
        <w:spacing w:after="0" w:line="105" w:lineRule="exact"/>
        <w:jc w:val="center"/>
        <w:rPr>
          <w:sz w:val="10"/>
        </w:rPr>
        <w:sectPr>
          <w:type w:val="continuous"/>
          <w:pgSz w:w="12240" w:h="15840"/>
          <w:pgMar w:top="1500" w:bottom="1200" w:left="1320" w:right="440"/>
          <w:cols w:num="3" w:equalWidth="0">
            <w:col w:w="3186" w:space="40"/>
            <w:col w:w="1197" w:space="39"/>
            <w:col w:w="6018"/>
          </w:cols>
        </w:sectPr>
      </w:pPr>
    </w:p>
    <w:p>
      <w:pPr>
        <w:spacing w:before="57"/>
        <w:ind w:left="912" w:right="0" w:firstLine="0"/>
        <w:jc w:val="left"/>
        <w:rPr>
          <w:sz w:val="17"/>
        </w:rPr>
      </w:pPr>
      <w:r>
        <w:rPr>
          <w:i/>
          <w:w w:val="320"/>
          <w:sz w:val="17"/>
        </w:rPr>
        <w:t>FAB</w:t>
      </w:r>
      <w:r>
        <w:rPr>
          <w:w w:val="320"/>
          <w:sz w:val="17"/>
          <w:vertAlign w:val="superscript"/>
        </w:rPr>
        <w:t>*</w:t>
      </w:r>
    </w:p>
    <w:p>
      <w:pPr>
        <w:spacing w:before="44"/>
        <w:ind w:left="126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w w:val="330"/>
          <w:sz w:val="17"/>
        </w:rPr>
        <w:t></w:t>
      </w:r>
      <w:r>
        <w:rPr>
          <w:spacing w:val="-35"/>
          <w:w w:val="330"/>
          <w:sz w:val="17"/>
        </w:rPr>
        <w:t> </w:t>
      </w:r>
      <w:r>
        <w:rPr>
          <w:i/>
          <w:w w:val="330"/>
          <w:sz w:val="17"/>
        </w:rPr>
        <w:t>FDI</w:t>
      </w:r>
    </w:p>
    <w:p>
      <w:pPr>
        <w:pStyle w:val="ListParagraph"/>
        <w:numPr>
          <w:ilvl w:val="0"/>
          <w:numId w:val="20"/>
        </w:numPr>
        <w:tabs>
          <w:tab w:pos="534" w:val="left" w:leader="none"/>
        </w:tabs>
        <w:spacing w:line="240" w:lineRule="auto" w:before="44" w:after="0"/>
        <w:ind w:left="533" w:right="0" w:hanging="425"/>
        <w:jc w:val="left"/>
        <w:rPr>
          <w:i/>
          <w:sz w:val="17"/>
        </w:rPr>
      </w:pPr>
      <w:r>
        <w:rPr>
          <w:i/>
          <w:spacing w:val="-14"/>
          <w:w w:val="327"/>
          <w:sz w:val="17"/>
        </w:rPr>
        <w:br w:type="column"/>
      </w:r>
      <w:r>
        <w:rPr>
          <w:i/>
          <w:spacing w:val="-7"/>
          <w:w w:val="330"/>
          <w:sz w:val="17"/>
        </w:rPr>
        <w:t>PI</w:t>
      </w:r>
    </w:p>
    <w:p>
      <w:pPr>
        <w:pStyle w:val="ListParagraph"/>
        <w:numPr>
          <w:ilvl w:val="0"/>
          <w:numId w:val="20"/>
        </w:numPr>
        <w:tabs>
          <w:tab w:pos="515" w:val="left" w:leader="none"/>
        </w:tabs>
        <w:spacing w:line="240" w:lineRule="auto" w:before="44" w:after="0"/>
        <w:ind w:left="514" w:right="0" w:hanging="408"/>
        <w:jc w:val="left"/>
        <w:rPr>
          <w:i/>
          <w:sz w:val="17"/>
        </w:rPr>
      </w:pPr>
      <w:r>
        <w:rPr>
          <w:spacing w:val="-1"/>
          <w:w w:val="327"/>
          <w:sz w:val="17"/>
        </w:rPr>
        <w:br w:type="column"/>
      </w:r>
      <w:r>
        <w:rPr>
          <w:w w:val="325"/>
          <w:sz w:val="17"/>
        </w:rPr>
        <w:t>Re</w:t>
      </w:r>
      <w:r>
        <w:rPr>
          <w:spacing w:val="-55"/>
          <w:w w:val="325"/>
          <w:sz w:val="17"/>
        </w:rPr>
        <w:t> </w:t>
      </w:r>
      <w:r>
        <w:rPr>
          <w:i/>
          <w:w w:val="325"/>
          <w:sz w:val="17"/>
        </w:rPr>
        <w:t>s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2240" w:h="15840"/>
          <w:pgMar w:top="1500" w:bottom="1200" w:left="1320" w:right="440"/>
          <w:cols w:num="4" w:equalWidth="0">
            <w:col w:w="2094" w:space="40"/>
            <w:col w:w="1495" w:space="39"/>
            <w:col w:w="1057" w:space="39"/>
            <w:col w:w="5716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7"/>
        </w:rPr>
      </w:pPr>
    </w:p>
    <w:p>
      <w:pPr>
        <w:pStyle w:val="BodyText"/>
        <w:spacing w:before="90"/>
        <w:ind w:left="811"/>
      </w:pPr>
      <w:r>
        <w:rPr/>
        <w:t>Where</w:t>
      </w: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151" w:lineRule="exact"/>
        <w:ind w:left="941"/>
        <w:rPr>
          <w:sz w:val="15"/>
        </w:rPr>
      </w:pPr>
      <w:r>
        <w:rPr>
          <w:position w:val="-2"/>
          <w:sz w:val="15"/>
        </w:rPr>
        <w:pict>
          <v:shape style="width:3.5pt;height:7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07"/>
                      <w:sz w:val="13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line="323" w:lineRule="exact" w:before="0"/>
        <w:ind w:left="846" w:right="0" w:firstLine="0"/>
        <w:jc w:val="left"/>
        <w:rPr>
          <w:i/>
          <w:sz w:val="13"/>
        </w:rPr>
      </w:pPr>
      <w:r>
        <w:rPr>
          <w:rFonts w:ascii="Symbol" w:hAnsi="Symbol"/>
          <w:spacing w:val="-4"/>
          <w:position w:val="1"/>
          <w:sz w:val="35"/>
        </w:rPr>
        <w:t></w:t>
      </w:r>
      <w:r>
        <w:rPr>
          <w:spacing w:val="-47"/>
          <w:position w:val="1"/>
          <w:sz w:val="35"/>
        </w:rPr>
        <w:t> </w:t>
      </w:r>
      <w:r>
        <w:rPr>
          <w:i/>
          <w:spacing w:val="-4"/>
          <w:position w:val="6"/>
          <w:sz w:val="23"/>
        </w:rPr>
        <w:t>R</w:t>
      </w:r>
      <w:r>
        <w:rPr>
          <w:i/>
          <w:spacing w:val="-4"/>
          <w:sz w:val="13"/>
        </w:rPr>
        <w:t>i</w:t>
      </w:r>
    </w:p>
    <w:p>
      <w:pPr>
        <w:spacing w:line="142" w:lineRule="exact" w:before="0"/>
        <w:ind w:left="885" w:right="0" w:firstLine="0"/>
        <w:jc w:val="left"/>
        <w:rPr>
          <w:sz w:val="13"/>
        </w:rPr>
      </w:pPr>
      <w:r>
        <w:rPr>
          <w:i/>
          <w:w w:val="105"/>
          <w:sz w:val="13"/>
        </w:rPr>
        <w:t>i</w:t>
      </w:r>
      <w:r>
        <w:rPr>
          <w:rFonts w:ascii="Symbol" w:hAnsi="Symbol"/>
          <w:w w:val="105"/>
          <w:sz w:val="13"/>
        </w:rPr>
        <w:t></w:t>
      </w:r>
      <w:r>
        <w:rPr>
          <w:w w:val="105"/>
          <w:sz w:val="13"/>
        </w:rPr>
        <w:t>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55"/>
        <w:ind w:left="96"/>
      </w:pPr>
      <w:r>
        <w:rPr/>
        <w:t>includes</w:t>
      </w:r>
      <w:r>
        <w:rPr>
          <w:spacing w:val="-1"/>
        </w:rPr>
        <w:t> </w:t>
      </w:r>
      <w:r>
        <w:rPr/>
        <w:t>dividends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payments,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transfers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</w:p>
    <w:p>
      <w:pPr>
        <w:spacing w:after="0"/>
        <w:sectPr>
          <w:type w:val="continuous"/>
          <w:pgSz w:w="12240" w:h="15840"/>
          <w:pgMar w:top="1500" w:bottom="1200" w:left="1320" w:right="440"/>
          <w:cols w:num="2" w:equalWidth="0">
            <w:col w:w="1321" w:space="40"/>
            <w:col w:w="9119"/>
          </w:cols>
        </w:sectPr>
      </w:pPr>
    </w:p>
    <w:p>
      <w:pPr>
        <w:pStyle w:val="BodyText"/>
        <w:spacing w:before="106"/>
        <w:ind w:left="811"/>
      </w:pPr>
      <w:r>
        <w:rPr/>
        <w:pict>
          <v:shape style="position:absolute;margin-left:100.940002pt;margin-top:136.219971pt;width:441.1pt;height:573.2pt;mso-position-horizontal-relative:page;mso-position-vertical-relative:page;z-index:-25306624" coordorigin="2019,2724" coordsize="8822,11464" path="m2028,14179l2019,14179,2019,14188,2028,14188,2028,14179xm2028,2734l2019,2734,2019,14179,2028,14179,2028,2734xm10831,2724l2028,2724,2019,2724,2019,2734,2028,2734,10831,2734,10831,2724xm10840,2724l10831,2724,10831,2734,10840,2734,10840,27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0.940002pt;margin-top:136.219971pt;width:441.1pt;height:573.2pt;mso-position-horizontal-relative:page;mso-position-vertical-relative:page;z-index:-25306112" coordorigin="2019,2724" coordsize="8822,11464" path="m2028,14179l2019,14179,2019,14188,2028,14188,2028,14179xm2028,2734l2019,2734,2019,14179,2028,14179,2028,2734xm10831,2724l2028,2724,2019,2724,2019,2734,2028,2734,10831,2734,10831,2724xm10840,2724l10831,2724,10831,2734,10840,2734,10840,27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.420006pt;margin-top:136.705963pt;width:440.6pt;height:572.75pt;mso-position-horizontal-relative:page;mso-position-vertical-relative:page;z-index:-25305600" coordorigin="2028,2734" coordsize="8812,11455" path="m10831,14179l2028,14179,2028,14188,10831,14188,10831,14179xm10840,14179l10831,14179,10831,14188,10840,14188,10840,14179xm10840,2734l10831,2734,10831,14179,10840,14179,10840,2734xe" filled="true" fillcolor="#000000" stroked="false">
            <v:path arrowok="t"/>
            <v:fill type="solid"/>
            <w10:wrap type="none"/>
          </v:shape>
        </w:pict>
      </w:r>
      <w:r>
        <w:rPr/>
        <w:t>remittances.</w:t>
      </w:r>
    </w:p>
    <w:p>
      <w:pPr>
        <w:spacing w:after="0"/>
        <w:sectPr>
          <w:type w:val="continuous"/>
          <w:pgSz w:w="12240" w:h="15840"/>
          <w:pgMar w:top="1500" w:bottom="1200" w:left="1320" w:right="440"/>
        </w:sectPr>
      </w:pPr>
    </w:p>
    <w:p>
      <w:pPr>
        <w:pStyle w:val="Heading2"/>
        <w:spacing w:before="76"/>
        <w:ind w:left="2251" w:right="2195" w:hanging="1440"/>
      </w:pPr>
      <w:r>
        <w:rPr/>
        <w:drawing>
          <wp:anchor distT="0" distB="0" distL="0" distR="0" allowOverlap="1" layoutInCell="1" locked="0" behindDoc="1" simplePos="0" relativeHeight="478011904">
            <wp:simplePos x="0" y="0"/>
            <wp:positionH relativeFrom="page">
              <wp:posOffset>1485138</wp:posOffset>
            </wp:positionH>
            <wp:positionV relativeFrom="paragraph">
              <wp:posOffset>1642149</wp:posOffset>
            </wp:positionV>
            <wp:extent cx="5102225" cy="5044439"/>
            <wp:effectExtent l="0" t="0" r="0" b="0"/>
            <wp:wrapNone/>
            <wp:docPr id="29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0.940002pt;margin-top:45.383114pt;width:444.8pt;height:414.9pt;mso-position-horizontal-relative:page;mso-position-vertical-relative:paragraph;z-index:-25304064" coordorigin="2019,908" coordsize="8896,8298" path="m2028,9196l2019,9196,2019,9205,2028,9205,2028,9196xm10905,908l2028,908,2019,908,2019,917,2019,9196,2028,9196,2028,917,10905,917,10905,908xm10915,908l10905,908,10905,917,10915,917,10915,908xe" filled="true" fillcolor="#000000" stroked="false">
            <v:path arrowok="t"/>
            <v:fill type="solid"/>
            <w10:wrap type="none"/>
          </v:shape>
        </w:pict>
      </w:r>
      <w:r>
        <w:rPr/>
        <w:t>Appendix</w:t>
      </w:r>
      <w:r>
        <w:rPr>
          <w:spacing w:val="-1"/>
        </w:rPr>
        <w:t> </w:t>
      </w:r>
      <w:r>
        <w:rPr/>
        <w:t>2:</w:t>
      </w:r>
      <w:r>
        <w:rPr>
          <w:spacing w:val="53"/>
        </w:rPr>
        <w:t> </w:t>
      </w:r>
      <w:r>
        <w:rPr/>
        <w:t>The</w:t>
      </w:r>
      <w:r>
        <w:rPr>
          <w:spacing w:val="-2"/>
        </w:rPr>
        <w:t> </w:t>
      </w:r>
      <w:r>
        <w:rPr/>
        <w:t>Autoregressive Distributed</w:t>
      </w:r>
      <w:r>
        <w:rPr>
          <w:spacing w:val="-1"/>
        </w:rPr>
        <w:t> </w:t>
      </w:r>
      <w:r>
        <w:rPr/>
        <w:t>Lags</w:t>
      </w:r>
      <w:r>
        <w:rPr>
          <w:spacing w:val="-2"/>
        </w:rPr>
        <w:t> </w:t>
      </w:r>
      <w:r>
        <w:rPr/>
        <w:t>(ARDL) Model</w:t>
      </w:r>
      <w:r>
        <w:rPr>
          <w:spacing w:val="-1"/>
        </w:rPr>
        <w:t> </w:t>
      </w:r>
      <w:r>
        <w:rPr/>
        <w:t>of the</w:t>
      </w:r>
      <w:r>
        <w:rPr>
          <w:spacing w:val="-57"/>
        </w:rPr>
        <w:t> </w:t>
      </w:r>
      <w:r>
        <w:rPr/>
        <w:t>sub-components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ERPT</w:t>
      </w:r>
    </w:p>
    <w:p>
      <w:pPr>
        <w:pStyle w:val="BodyText"/>
        <w:spacing w:before="9"/>
        <w:rPr>
          <w:b/>
          <w:sz w:val="21"/>
        </w:rPr>
      </w:pPr>
      <w:r>
        <w:rPr/>
        <w:pict>
          <v:group style="position:absolute;margin-left:101.419998pt;margin-top:14.502344pt;width:444.35pt;height:414.45pt;mso-position-horizontal-relative:page;mso-position-vertical-relative:paragraph;z-index:-15602176;mso-wrap-distance-left:0;mso-wrap-distance-right:0" coordorigin="2028,290" coordsize="8887,8289">
            <v:shape style="position:absolute;left:2028;top:290;width:8887;height:8289" coordorigin="2028,290" coordsize="8887,8289" path="m10905,8569l2028,8569,2028,8578,10905,8578,10905,8569xm10915,8569l10905,8569,10905,8578,10915,8578,10915,8569xm10915,290l10905,290,10905,8569,10915,8569,10915,290xe" filled="true" fillcolor="#000000" stroked="false">
              <v:path arrowok="t"/>
              <v:fill type="solid"/>
            </v:shape>
            <v:shape style="position:absolute;left:2131;top:299;width:184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Exports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Equation</w:t>
                    </w:r>
                  </w:p>
                </w:txbxContent>
              </v:textbox>
              <w10:wrap type="none"/>
            </v:shape>
            <v:shape style="position:absolute;left:3914;top:824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5671;top:824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7512;top:824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2182;top:923;width:744;height:172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pacing w:val="-1"/>
                        <w:w w:val="185"/>
                        <w:sz w:val="15"/>
                      </w:rPr>
                      <w:t>L</w:t>
                    </w:r>
                    <w:r>
                      <w:rPr>
                        <w:i/>
                        <w:spacing w:val="-32"/>
                        <w:w w:val="185"/>
                        <w:sz w:val="15"/>
                      </w:rPr>
                      <w:t> </w:t>
                    </w:r>
                    <w:r>
                      <w:rPr>
                        <w:w w:val="185"/>
                        <w:sz w:val="15"/>
                      </w:rPr>
                      <w:t>n</w:t>
                    </w:r>
                    <w:r>
                      <w:rPr>
                        <w:spacing w:val="-17"/>
                        <w:w w:val="185"/>
                        <w:sz w:val="15"/>
                      </w:rPr>
                      <w:t> </w:t>
                    </w:r>
                    <w:r>
                      <w:rPr>
                        <w:i/>
                        <w:w w:val="185"/>
                        <w:sz w:val="15"/>
                      </w:rPr>
                      <w:t>EX</w:t>
                    </w:r>
                  </w:p>
                </w:txbxContent>
              </v:textbox>
              <w10:wrap type="none"/>
            </v:shape>
            <v:shape style="position:absolute;left:2928;top:1021;width:65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3073;top:863;width:1241;height:284" type="#_x0000_t202" filled="false" stroked="false">
              <v:textbox inset="0,0,0,0">
                <w:txbxContent>
                  <w:p>
                    <w:pPr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w w:val="170"/>
                        <w:sz w:val="15"/>
                      </w:rPr>
                      <w:t></w:t>
                    </w:r>
                    <w:r>
                      <w:rPr>
                        <w:spacing w:val="-21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</w:t>
                    </w:r>
                    <w:r>
                      <w:rPr>
                        <w:w w:val="170"/>
                        <w:sz w:val="18"/>
                      </w:rPr>
                      <w:t> </w:t>
                    </w:r>
                    <w:r>
                      <w:rPr>
                        <w:spacing w:val="25"/>
                        <w:w w:val="170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5"/>
                      </w:rPr>
                      <w:t></w:t>
                    </w:r>
                    <w:r>
                      <w:rPr>
                        <w:spacing w:val="-13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</w:t>
                    </w:r>
                  </w:p>
                </w:txbxContent>
              </v:textbox>
              <w10:wrap type="none"/>
            </v:shape>
            <v:shape style="position:absolute;left:3456;top:1021;width:101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79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92;top:1021;width:139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1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436;top:863;width:1634;height:284" type="#_x0000_t202" filled="false" stroked="false">
              <v:textbox inset="0,0,0,0">
                <w:txbxContent>
                  <w:p>
                    <w:pPr>
                      <w:tabs>
                        <w:tab w:pos="928" w:val="left" w:leader="none"/>
                      </w:tabs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i/>
                        <w:w w:val="180"/>
                        <w:sz w:val="15"/>
                      </w:rPr>
                      <w:t>LnEX</w:t>
                      <w:tab/>
                    </w:r>
                    <w:r>
                      <w:rPr>
                        <w:rFonts w:ascii="Symbol" w:hAnsi="Symbol"/>
                        <w:w w:val="170"/>
                        <w:sz w:val="15"/>
                      </w:rPr>
                      <w:t></w:t>
                    </w:r>
                    <w:r>
                      <w:rPr>
                        <w:spacing w:val="-1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</w:t>
                    </w:r>
                  </w:p>
                </w:txbxContent>
              </v:textbox>
              <w10:wrap type="none"/>
            </v:shape>
            <v:shape style="position:absolute;left:5089;top:1011;width:218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t</w:t>
                    </w:r>
                    <w:r>
                      <w:rPr>
                        <w:i/>
                        <w:spacing w:val="-21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</w:t>
                    </w: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065;top:1021;width:150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2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221;top:863;width:3060;height:284" type="#_x0000_t202" filled="false" stroked="false">
              <v:textbox inset="0,0,0,0">
                <w:txbxContent>
                  <w:p>
                    <w:pPr>
                      <w:tabs>
                        <w:tab w:pos="1185" w:val="left" w:leader="none"/>
                      </w:tabs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5"/>
                      </w:rPr>
                    </w:pPr>
                    <w:r>
                      <w:rPr>
                        <w:i/>
                        <w:w w:val="180"/>
                        <w:sz w:val="15"/>
                      </w:rPr>
                      <w:t>LnREER</w:t>
                      <w:tab/>
                    </w:r>
                    <w:r>
                      <w:rPr>
                        <w:rFonts w:ascii="Symbol" w:hAnsi="Symbol"/>
                        <w:w w:val="180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80"/>
                        <w:sz w:val="18"/>
                      </w:rPr>
                      <w:t></w:t>
                    </w:r>
                    <w:r>
                      <w:rPr>
                        <w:w w:val="180"/>
                        <w:sz w:val="18"/>
                      </w:rPr>
                      <w:t> </w:t>
                    </w:r>
                    <w:r>
                      <w:rPr>
                        <w:spacing w:val="4"/>
                        <w:w w:val="180"/>
                        <w:sz w:val="18"/>
                      </w:rPr>
                      <w:t> </w:t>
                    </w:r>
                    <w:r>
                      <w:rPr>
                        <w:i/>
                        <w:w w:val="180"/>
                        <w:sz w:val="15"/>
                      </w:rPr>
                      <w:t>LnGDP</w:t>
                    </w:r>
                    <w:r>
                      <w:rPr>
                        <w:i/>
                        <w:w w:val="180"/>
                        <w:sz w:val="15"/>
                        <w:vertAlign w:val="superscript"/>
                      </w:rPr>
                      <w:t>d</w:t>
                    </w:r>
                    <w:r>
                      <w:rPr>
                        <w:i/>
                        <w:spacing w:val="37"/>
                        <w:w w:val="180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180"/>
                        <w:sz w:val="15"/>
                        <w:vertAlign w:val="baseline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7170;top:1011;width:218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80"/>
                        <w:sz w:val="9"/>
                      </w:rPr>
                      <w:t>t</w:t>
                    </w:r>
                    <w:r>
                      <w:rPr>
                        <w:i/>
                        <w:spacing w:val="-23"/>
                        <w:w w:val="180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80"/>
                        <w:sz w:val="9"/>
                      </w:rPr>
                      <w:t>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902;top:1021;width:145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3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876;top:1059;width:228;height:8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i/>
                        <w:sz w:val="6"/>
                      </w:rPr>
                    </w:pPr>
                    <w:r>
                      <w:rPr>
                        <w:i/>
                        <w:spacing w:val="-1"/>
                        <w:w w:val="195"/>
                        <w:sz w:val="6"/>
                      </w:rPr>
                      <w:t>t</w:t>
                    </w:r>
                    <w:r>
                      <w:rPr>
                        <w:i/>
                        <w:spacing w:val="-23"/>
                        <w:w w:val="195"/>
                        <w:sz w:val="6"/>
                      </w:rPr>
                      <w:t> </w:t>
                    </w:r>
                    <w:r>
                      <w:rPr>
                        <w:rFonts w:ascii="Symbol" w:hAnsi="Symbol"/>
                        <w:w w:val="195"/>
                        <w:sz w:val="6"/>
                      </w:rPr>
                      <w:t></w:t>
                    </w:r>
                    <w:r>
                      <w:rPr>
                        <w:i/>
                        <w:w w:val="195"/>
                        <w:sz w:val="6"/>
                      </w:rPr>
                      <w:t>i</w:t>
                    </w:r>
                    <w:r>
                      <w:rPr>
                        <w:i/>
                        <w:sz w:val="6"/>
                      </w:rPr>
                      <w:t>    </w:t>
                    </w:r>
                    <w:r>
                      <w:rPr>
                        <w:i/>
                        <w:spacing w:val="-4"/>
                        <w:sz w:val="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852;top:1118;width:237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spacing w:val="-2"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8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w w:val="175"/>
                        <w:sz w:val="9"/>
                      </w:rPr>
                      <w:t></w:t>
                    </w:r>
                    <w:r>
                      <w:rPr>
                        <w:spacing w:val="-2"/>
                        <w:w w:val="175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95;top:1118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437;top:1118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73;top:1314;width:667;height:365" type="#_x0000_t202" filled="false" stroked="false">
              <v:textbox inset="0,0,0,0">
                <w:txbxContent>
                  <w:p>
                    <w:pPr>
                      <w:spacing w:line="265" w:lineRule="exact" w:before="6"/>
                      <w:ind w:left="0" w:right="18" w:firstLine="0"/>
                      <w:jc w:val="center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w w:val="175"/>
                        <w:sz w:val="15"/>
                      </w:rPr>
                      <w:t></w:t>
                    </w:r>
                    <w:r>
                      <w:rPr>
                        <w:rFonts w:ascii="Symbol" w:hAnsi="Symbol"/>
                        <w:w w:val="175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5"/>
                        <w:sz w:val="18"/>
                      </w:rPr>
                      <w:t></w:t>
                    </w:r>
                  </w:p>
                  <w:p>
                    <w:pPr>
                      <w:spacing w:line="93" w:lineRule="exact" w:before="0"/>
                      <w:ind w:left="0" w:right="51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6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40;top:1275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2992;top:1331;width:1788;height:221" type="#_x0000_t202" filled="false" stroked="false">
              <v:textbox inset="0,0,0,0">
                <w:txbxContent>
                  <w:p>
                    <w:pPr>
                      <w:tabs>
                        <w:tab w:pos="1082" w:val="left" w:leader="none"/>
                        <w:tab w:pos="159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i/>
                        <w:w w:val="180"/>
                        <w:sz w:val="15"/>
                      </w:rPr>
                      <w:t>LnGDP</w:t>
                      <w:tab/>
                    </w:r>
                    <w:r>
                      <w:rPr>
                        <w:rFonts w:ascii="Symbol" w:hAnsi="Symbol"/>
                        <w:w w:val="180"/>
                        <w:sz w:val="15"/>
                      </w:rPr>
                      <w:t></w:t>
                    </w:r>
                    <w:r>
                      <w:rPr>
                        <w:w w:val="180"/>
                        <w:sz w:val="15"/>
                      </w:rPr>
                      <w:tab/>
                    </w:r>
                    <w:r>
                      <w:rPr>
                        <w:rFonts w:ascii="Symbol" w:hAnsi="Symbol"/>
                        <w:w w:val="165"/>
                        <w:sz w:val="18"/>
                      </w:rPr>
                      <w:t></w:t>
                    </w:r>
                  </w:p>
                </w:txbxContent>
              </v:textbox>
              <w10:wrap type="none"/>
            </v:shape>
            <v:shape style="position:absolute;left:3798;top:1314;width:1120;height:284" type="#_x0000_t202" filled="false" stroked="false">
              <v:textbox inset="0,0,0,0">
                <w:txbxContent>
                  <w:p>
                    <w:pPr>
                      <w:tabs>
                        <w:tab w:pos="475" w:val="left" w:leader="none"/>
                      </w:tabs>
                      <w:spacing w:line="278" w:lineRule="exact" w:before="6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t</w:t>
                    </w:r>
                    <w:r>
                      <w:rPr>
                        <w:i/>
                        <w:spacing w:val="-23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</w:t>
                    </w:r>
                    <w:r>
                      <w:rPr>
                        <w:i/>
                        <w:w w:val="175"/>
                        <w:sz w:val="9"/>
                      </w:rPr>
                      <w:t>i</w:t>
                      <w:tab/>
                    </w:r>
                    <w:r>
                      <w:rPr>
                        <w:rFonts w:ascii="Symbol" w:hAnsi="Symbol"/>
                        <w:w w:val="180"/>
                        <w:sz w:val="23"/>
                      </w:rPr>
                      <w:t></w:t>
                    </w:r>
                    <w:r>
                      <w:rPr>
                        <w:spacing w:val="98"/>
                        <w:w w:val="180"/>
                        <w:sz w:val="23"/>
                      </w:rPr>
                      <w:t> </w:t>
                    </w:r>
                    <w:r>
                      <w:rPr>
                        <w:w w:val="180"/>
                        <w:sz w:val="9"/>
                      </w:rPr>
                      <w:t>5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380;top:1275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6257;top:1275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8049;top:1275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3891;top:1363;width:65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835;top:1472;width:151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4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926;top:1314;width:1732;height:284" type="#_x0000_t202" filled="false" stroked="false">
              <v:textbox inset="0,0,0,0">
                <w:txbxContent>
                  <w:p>
                    <w:pPr>
                      <w:tabs>
                        <w:tab w:pos="1065" w:val="left" w:leader="none"/>
                      </w:tabs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i/>
                        <w:w w:val="185"/>
                        <w:sz w:val="15"/>
                      </w:rPr>
                      <w:t>LnWPI</w:t>
                      <w:tab/>
                    </w:r>
                    <w:r>
                      <w:rPr>
                        <w:rFonts w:ascii="Symbol" w:hAnsi="Symbol"/>
                        <w:w w:val="175"/>
                        <w:sz w:val="15"/>
                      </w:rPr>
                      <w:t></w:t>
                    </w:r>
                    <w:r>
                      <w:rPr>
                        <w:rFonts w:ascii="Symbol" w:hAnsi="Symbol"/>
                        <w:w w:val="175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5"/>
                        <w:sz w:val="18"/>
                      </w:rPr>
                      <w:t></w:t>
                    </w:r>
                  </w:p>
                </w:txbxContent>
              </v:textbox>
              <w10:wrap type="none"/>
            </v:shape>
            <v:shape style="position:absolute;left:5714;top:1462;width:218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t</w:t>
                    </w:r>
                    <w:r>
                      <w:rPr>
                        <w:i/>
                        <w:spacing w:val="-20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</w:t>
                    </w: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650;top:1472;width:150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6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808;top:1314;width:3417;height:284" type="#_x0000_t202" filled="false" stroked="false">
              <v:textbox inset="0,0,0,0">
                <w:txbxContent>
                  <w:p>
                    <w:pPr>
                      <w:tabs>
                        <w:tab w:pos="936" w:val="left" w:leader="none"/>
                        <w:tab w:pos="2314" w:val="left" w:leader="none"/>
                      </w:tabs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i/>
                        <w:w w:val="180"/>
                        <w:sz w:val="15"/>
                      </w:rPr>
                      <w:t>LnMS</w:t>
                      <w:tab/>
                    </w:r>
                    <w:r>
                      <w:rPr>
                        <w:rFonts w:ascii="Symbol" w:hAnsi="Symbol"/>
                        <w:w w:val="175"/>
                        <w:sz w:val="15"/>
                      </w:rPr>
                      <w:t></w:t>
                    </w:r>
                    <w:r>
                      <w:rPr>
                        <w:spacing w:val="-19"/>
                        <w:w w:val="175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5"/>
                        <w:sz w:val="18"/>
                      </w:rPr>
                      <w:t></w:t>
                    </w:r>
                    <w:r>
                      <w:rPr>
                        <w:w w:val="175"/>
                        <w:sz w:val="18"/>
                      </w:rPr>
                      <w:t> </w:t>
                    </w:r>
                    <w:r>
                      <w:rPr>
                        <w:spacing w:val="26"/>
                        <w:w w:val="175"/>
                        <w:sz w:val="18"/>
                      </w:rPr>
                      <w:t> </w:t>
                    </w:r>
                    <w:r>
                      <w:rPr>
                        <w:i/>
                        <w:w w:val="175"/>
                        <w:sz w:val="15"/>
                      </w:rPr>
                      <w:t>IR</w:t>
                      <w:tab/>
                    </w:r>
                    <w:r>
                      <w:rPr>
                        <w:rFonts w:ascii="Symbol" w:hAnsi="Symbol"/>
                        <w:w w:val="170"/>
                        <w:sz w:val="15"/>
                      </w:rPr>
                      <w:t></w:t>
                    </w:r>
                    <w:r>
                      <w:rPr>
                        <w:spacing w:val="-36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</w:t>
                    </w:r>
                    <w:r>
                      <w:rPr>
                        <w:spacing w:val="36"/>
                        <w:w w:val="170"/>
                        <w:sz w:val="18"/>
                      </w:rPr>
                      <w:t> </w:t>
                    </w:r>
                    <w:r>
                      <w:rPr>
                        <w:i/>
                        <w:w w:val="170"/>
                        <w:sz w:val="15"/>
                      </w:rPr>
                      <w:t>D</w:t>
                    </w:r>
                    <w:r>
                      <w:rPr>
                        <w:i/>
                        <w:spacing w:val="46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5"/>
                      </w:rPr>
                      <w:t></w:t>
                    </w:r>
                    <w:r>
                      <w:rPr>
                        <w:spacing w:val="-27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</w:t>
                    </w:r>
                  </w:p>
                </w:txbxContent>
              </v:textbox>
              <w10:wrap type="none"/>
            </v:shape>
            <v:shape style="position:absolute;left:7467;top:1462;width:218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80"/>
                        <w:sz w:val="9"/>
                      </w:rPr>
                      <w:t>t</w:t>
                    </w:r>
                    <w:r>
                      <w:rPr>
                        <w:i/>
                        <w:spacing w:val="-23"/>
                        <w:w w:val="180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80"/>
                        <w:sz w:val="9"/>
                      </w:rPr>
                      <w:t>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442;top:1462;width:1842;height:110" type="#_x0000_t202" filled="false" stroked="false">
              <v:textbox inset="0,0,0,0">
                <w:txbxContent>
                  <w:p>
                    <w:pPr>
                      <w:tabs>
                        <w:tab w:pos="402" w:val="left" w:leader="none"/>
                        <w:tab w:pos="1044" w:val="left" w:leader="none"/>
                        <w:tab w:pos="1326" w:val="left" w:leader="none"/>
                        <w:tab w:pos="1776" w:val="left" w:leader="none"/>
                      </w:tabs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7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  <w:tab/>
                    </w:r>
                    <w:r>
                      <w:rPr>
                        <w:i/>
                        <w:w w:val="175"/>
                        <w:sz w:val="9"/>
                      </w:rPr>
                      <w:t>t</w:t>
                    </w:r>
                    <w:r>
                      <w:rPr>
                        <w:i/>
                        <w:spacing w:val="-20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</w:t>
                    </w:r>
                    <w:r>
                      <w:rPr>
                        <w:i/>
                        <w:w w:val="175"/>
                        <w:sz w:val="9"/>
                      </w:rPr>
                      <w:t>i</w:t>
                      <w:tab/>
                    </w:r>
                    <w:r>
                      <w:rPr>
                        <w:w w:val="180"/>
                        <w:sz w:val="9"/>
                      </w:rPr>
                      <w:t>8</w:t>
                      <w:tab/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  <w:tab/>
                      <w:t>i</w:t>
                    </w:r>
                  </w:p>
                </w:txbxContent>
              </v:textbox>
              <w10:wrap type="none"/>
            </v:shape>
            <v:shape style="position:absolute;left:4305;top:1569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182;top:1569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974;top:1569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31;top:1933;width:1875;height:62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Imports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Equation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5671;top:2458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2182;top:2557;width:744;height:172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spacing w:val="-1"/>
                        <w:w w:val="185"/>
                        <w:sz w:val="15"/>
                      </w:rPr>
                      <w:t>L</w:t>
                    </w:r>
                    <w:r>
                      <w:rPr>
                        <w:i/>
                        <w:spacing w:val="-32"/>
                        <w:w w:val="185"/>
                        <w:sz w:val="15"/>
                      </w:rPr>
                      <w:t> </w:t>
                    </w:r>
                    <w:r>
                      <w:rPr>
                        <w:w w:val="185"/>
                        <w:sz w:val="15"/>
                      </w:rPr>
                      <w:t>n</w:t>
                    </w:r>
                    <w:r>
                      <w:rPr>
                        <w:spacing w:val="-17"/>
                        <w:w w:val="185"/>
                        <w:sz w:val="15"/>
                      </w:rPr>
                      <w:t> </w:t>
                    </w:r>
                    <w:r>
                      <w:rPr>
                        <w:i/>
                        <w:w w:val="185"/>
                        <w:sz w:val="15"/>
                      </w:rPr>
                      <w:t>EX</w:t>
                    </w:r>
                  </w:p>
                </w:txbxContent>
              </v:textbox>
              <w10:wrap type="none"/>
            </v:shape>
            <v:shape style="position:absolute;left:2928;top:2655;width:65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3073;top:2497;width:1241;height:284" type="#_x0000_t202" filled="false" stroked="false">
              <v:textbox inset="0,0,0,0">
                <w:txbxContent>
                  <w:p>
                    <w:pPr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w w:val="170"/>
                        <w:sz w:val="15"/>
                      </w:rPr>
                      <w:t></w:t>
                    </w:r>
                    <w:r>
                      <w:rPr>
                        <w:spacing w:val="-21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</w:t>
                    </w:r>
                    <w:r>
                      <w:rPr>
                        <w:w w:val="170"/>
                        <w:sz w:val="18"/>
                      </w:rPr>
                      <w:t> </w:t>
                    </w:r>
                    <w:r>
                      <w:rPr>
                        <w:spacing w:val="25"/>
                        <w:w w:val="170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5"/>
                      </w:rPr>
                      <w:t></w:t>
                    </w:r>
                    <w:r>
                      <w:rPr>
                        <w:spacing w:val="-13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</w:t>
                    </w:r>
                  </w:p>
                </w:txbxContent>
              </v:textbox>
              <w10:wrap type="none"/>
            </v:shape>
            <v:shape style="position:absolute;left:3456;top:2655;width:101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79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92;top:2655;width:139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1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436;top:2497;width:1634;height:284" type="#_x0000_t202" filled="false" stroked="false">
              <v:textbox inset="0,0,0,0">
                <w:txbxContent>
                  <w:p>
                    <w:pPr>
                      <w:tabs>
                        <w:tab w:pos="928" w:val="left" w:leader="none"/>
                      </w:tabs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i/>
                        <w:w w:val="180"/>
                        <w:sz w:val="15"/>
                      </w:rPr>
                      <w:t>LnEX</w:t>
                      <w:tab/>
                    </w:r>
                    <w:r>
                      <w:rPr>
                        <w:rFonts w:ascii="Symbol" w:hAnsi="Symbol"/>
                        <w:w w:val="170"/>
                        <w:sz w:val="15"/>
                      </w:rPr>
                      <w:t></w:t>
                    </w:r>
                    <w:r>
                      <w:rPr>
                        <w:spacing w:val="-1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</w:t>
                    </w:r>
                  </w:p>
                </w:txbxContent>
              </v:textbox>
              <w10:wrap type="none"/>
            </v:shape>
            <v:shape style="position:absolute;left:5089;top:2645;width:218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t</w:t>
                    </w:r>
                    <w:r>
                      <w:rPr>
                        <w:i/>
                        <w:spacing w:val="-21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</w:t>
                    </w: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065;top:2655;width:150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2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221;top:2497;width:3060;height:284" type="#_x0000_t202" filled="false" stroked="false">
              <v:textbox inset="0,0,0,0">
                <w:txbxContent>
                  <w:p>
                    <w:pPr>
                      <w:tabs>
                        <w:tab w:pos="1185" w:val="left" w:leader="none"/>
                      </w:tabs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5"/>
                      </w:rPr>
                    </w:pPr>
                    <w:r>
                      <w:rPr>
                        <w:i/>
                        <w:w w:val="180"/>
                        <w:sz w:val="15"/>
                      </w:rPr>
                      <w:t>LnREER</w:t>
                      <w:tab/>
                    </w:r>
                    <w:r>
                      <w:rPr>
                        <w:rFonts w:ascii="Symbol" w:hAnsi="Symbol"/>
                        <w:w w:val="180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80"/>
                        <w:sz w:val="18"/>
                      </w:rPr>
                      <w:t></w:t>
                    </w:r>
                    <w:r>
                      <w:rPr>
                        <w:w w:val="180"/>
                        <w:sz w:val="18"/>
                      </w:rPr>
                      <w:t> </w:t>
                    </w:r>
                    <w:r>
                      <w:rPr>
                        <w:spacing w:val="4"/>
                        <w:w w:val="180"/>
                        <w:sz w:val="18"/>
                      </w:rPr>
                      <w:t> </w:t>
                    </w:r>
                    <w:r>
                      <w:rPr>
                        <w:i/>
                        <w:w w:val="180"/>
                        <w:sz w:val="15"/>
                      </w:rPr>
                      <w:t>LnGDP</w:t>
                    </w:r>
                    <w:r>
                      <w:rPr>
                        <w:i/>
                        <w:w w:val="180"/>
                        <w:sz w:val="15"/>
                        <w:vertAlign w:val="superscript"/>
                      </w:rPr>
                      <w:t>d</w:t>
                    </w:r>
                    <w:r>
                      <w:rPr>
                        <w:i/>
                        <w:spacing w:val="37"/>
                        <w:w w:val="180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180"/>
                        <w:sz w:val="15"/>
                        <w:vertAlign w:val="baseline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7512;top:2458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7170;top:2645;width:218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80"/>
                        <w:sz w:val="9"/>
                      </w:rPr>
                      <w:t>t</w:t>
                    </w:r>
                    <w:r>
                      <w:rPr>
                        <w:i/>
                        <w:spacing w:val="-23"/>
                        <w:w w:val="180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80"/>
                        <w:sz w:val="9"/>
                      </w:rPr>
                      <w:t>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902;top:2655;width:145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3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876;top:2693;width:228;height:8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i/>
                        <w:sz w:val="6"/>
                      </w:rPr>
                    </w:pPr>
                    <w:r>
                      <w:rPr>
                        <w:i/>
                        <w:spacing w:val="-1"/>
                        <w:w w:val="195"/>
                        <w:sz w:val="6"/>
                      </w:rPr>
                      <w:t>t</w:t>
                    </w:r>
                    <w:r>
                      <w:rPr>
                        <w:i/>
                        <w:spacing w:val="-23"/>
                        <w:w w:val="195"/>
                        <w:sz w:val="6"/>
                      </w:rPr>
                      <w:t> </w:t>
                    </w:r>
                    <w:r>
                      <w:rPr>
                        <w:rFonts w:ascii="Symbol" w:hAnsi="Symbol"/>
                        <w:w w:val="195"/>
                        <w:sz w:val="6"/>
                      </w:rPr>
                      <w:t></w:t>
                    </w:r>
                    <w:r>
                      <w:rPr>
                        <w:i/>
                        <w:w w:val="195"/>
                        <w:sz w:val="6"/>
                      </w:rPr>
                      <w:t>i</w:t>
                    </w:r>
                    <w:r>
                      <w:rPr>
                        <w:i/>
                        <w:sz w:val="6"/>
                      </w:rPr>
                      <w:t>    </w:t>
                    </w:r>
                    <w:r>
                      <w:rPr>
                        <w:i/>
                        <w:spacing w:val="-4"/>
                        <w:sz w:val="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852;top:2752;width:237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spacing w:val="-2"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8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spacing w:val="-2"/>
                        <w:w w:val="175"/>
                        <w:sz w:val="9"/>
                      </w:rPr>
                      <w:t></w:t>
                    </w:r>
                    <w:r>
                      <w:rPr>
                        <w:spacing w:val="-2"/>
                        <w:w w:val="175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95;top:2752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437;top:2752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73;top:2948;width:667;height:365" type="#_x0000_t202" filled="false" stroked="false">
              <v:textbox inset="0,0,0,0">
                <w:txbxContent>
                  <w:p>
                    <w:pPr>
                      <w:spacing w:line="265" w:lineRule="exact" w:before="6"/>
                      <w:ind w:left="0" w:right="18" w:firstLine="0"/>
                      <w:jc w:val="center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w w:val="175"/>
                        <w:sz w:val="15"/>
                      </w:rPr>
                      <w:t></w:t>
                    </w:r>
                    <w:r>
                      <w:rPr>
                        <w:rFonts w:ascii="Symbol" w:hAnsi="Symbol"/>
                        <w:w w:val="175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5"/>
                        <w:sz w:val="18"/>
                      </w:rPr>
                      <w:t></w:t>
                    </w:r>
                  </w:p>
                  <w:p>
                    <w:pPr>
                      <w:spacing w:line="93" w:lineRule="exact" w:before="0"/>
                      <w:ind w:left="0" w:right="51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6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40;top:2909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2835;top:3106;width:151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4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992;top:2965;width:1788;height:221" type="#_x0000_t202" filled="false" stroked="false">
              <v:textbox inset="0,0,0,0">
                <w:txbxContent>
                  <w:p>
                    <w:pPr>
                      <w:tabs>
                        <w:tab w:pos="159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i/>
                        <w:w w:val="175"/>
                        <w:sz w:val="15"/>
                      </w:rPr>
                      <w:t>LnGDP</w:t>
                    </w:r>
                    <w:r>
                      <w:rPr>
                        <w:i/>
                        <w:spacing w:val="-19"/>
                        <w:w w:val="175"/>
                        <w:sz w:val="15"/>
                      </w:rPr>
                      <w:t> </w:t>
                    </w:r>
                    <w:r>
                      <w:rPr>
                        <w:i/>
                        <w:w w:val="175"/>
                        <w:sz w:val="15"/>
                        <w:vertAlign w:val="superscript"/>
                      </w:rPr>
                      <w:t>f</w:t>
                    </w:r>
                    <w:r>
                      <w:rPr>
                        <w:i/>
                        <w:w w:val="17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i/>
                        <w:spacing w:val="29"/>
                        <w:w w:val="17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15"/>
                        <w:vertAlign w:val="baseline"/>
                      </w:rPr>
                      <w:t></w:t>
                    </w:r>
                    <w:r>
                      <w:rPr>
                        <w:w w:val="175"/>
                        <w:sz w:val="15"/>
                        <w:vertAlign w:val="baseline"/>
                      </w:rPr>
                      <w:tab/>
                    </w:r>
                    <w:r>
                      <w:rPr>
                        <w:rFonts w:ascii="Symbol" w:hAnsi="Symbol"/>
                        <w:w w:val="165"/>
                        <w:sz w:val="18"/>
                        <w:vertAlign w:val="baseline"/>
                      </w:rPr>
                      <w:t></w:t>
                    </w:r>
                  </w:p>
                </w:txbxContent>
              </v:textbox>
              <w10:wrap type="none"/>
            </v:shape>
            <v:shape style="position:absolute;left:3798;top:3096;width:218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t</w:t>
                    </w:r>
                    <w:r>
                      <w:rPr>
                        <w:i/>
                        <w:spacing w:val="-21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</w:t>
                    </w: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274;top:2948;width:319;height:28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81"/>
                        <w:sz w:val="23"/>
                      </w:rPr>
                      <w:t></w:t>
                    </w:r>
                  </w:p>
                </w:txbxContent>
              </v:textbox>
              <w10:wrap type="none"/>
            </v:shape>
            <v:shape style="position:absolute;left:4380;top:2909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4770;top:3106;width:148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5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926;top:2948;width:1732;height:284" type="#_x0000_t202" filled="false" stroked="false">
              <v:textbox inset="0,0,0,0">
                <w:txbxContent>
                  <w:p>
                    <w:pPr>
                      <w:tabs>
                        <w:tab w:pos="1065" w:val="left" w:leader="none"/>
                      </w:tabs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i/>
                        <w:w w:val="185"/>
                        <w:sz w:val="15"/>
                      </w:rPr>
                      <w:t>LnWPI</w:t>
                      <w:tab/>
                    </w:r>
                    <w:r>
                      <w:rPr>
                        <w:rFonts w:ascii="Symbol" w:hAnsi="Symbol"/>
                        <w:w w:val="175"/>
                        <w:sz w:val="15"/>
                      </w:rPr>
                      <w:t></w:t>
                    </w:r>
                    <w:r>
                      <w:rPr>
                        <w:rFonts w:ascii="Symbol" w:hAnsi="Symbol"/>
                        <w:w w:val="175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5"/>
                        <w:sz w:val="18"/>
                      </w:rPr>
                      <w:t></w:t>
                    </w:r>
                  </w:p>
                </w:txbxContent>
              </v:textbox>
              <w10:wrap type="none"/>
            </v:shape>
            <v:shape style="position:absolute;left:6257;top:2909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5714;top:3096;width:218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t</w:t>
                    </w:r>
                    <w:r>
                      <w:rPr>
                        <w:i/>
                        <w:spacing w:val="-20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</w:t>
                    </w: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650;top:3106;width:150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6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808;top:2948;width:3417;height:284" type="#_x0000_t202" filled="false" stroked="false">
              <v:textbox inset="0,0,0,0">
                <w:txbxContent>
                  <w:p>
                    <w:pPr>
                      <w:tabs>
                        <w:tab w:pos="936" w:val="left" w:leader="none"/>
                        <w:tab w:pos="2314" w:val="left" w:leader="none"/>
                      </w:tabs>
                      <w:spacing w:line="278" w:lineRule="exact" w:before="6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i/>
                        <w:w w:val="180"/>
                        <w:sz w:val="15"/>
                      </w:rPr>
                      <w:t>LnMS</w:t>
                      <w:tab/>
                    </w:r>
                    <w:r>
                      <w:rPr>
                        <w:rFonts w:ascii="Symbol" w:hAnsi="Symbol"/>
                        <w:w w:val="175"/>
                        <w:sz w:val="15"/>
                      </w:rPr>
                      <w:t></w:t>
                    </w:r>
                    <w:r>
                      <w:rPr>
                        <w:spacing w:val="-19"/>
                        <w:w w:val="175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position w:val="-3"/>
                        <w:sz w:val="23"/>
                      </w:rPr>
                      <w:t></w:t>
                    </w:r>
                    <w:r>
                      <w:rPr>
                        <w:rFonts w:ascii="Symbol" w:hAnsi="Symbol"/>
                        <w:w w:val="175"/>
                        <w:sz w:val="18"/>
                      </w:rPr>
                      <w:t></w:t>
                    </w:r>
                    <w:r>
                      <w:rPr>
                        <w:w w:val="175"/>
                        <w:sz w:val="18"/>
                      </w:rPr>
                      <w:t> </w:t>
                    </w:r>
                    <w:r>
                      <w:rPr>
                        <w:spacing w:val="26"/>
                        <w:w w:val="175"/>
                        <w:sz w:val="18"/>
                      </w:rPr>
                      <w:t> </w:t>
                    </w:r>
                    <w:r>
                      <w:rPr>
                        <w:i/>
                        <w:w w:val="175"/>
                        <w:sz w:val="15"/>
                      </w:rPr>
                      <w:t>IR</w:t>
                      <w:tab/>
                    </w:r>
                    <w:r>
                      <w:rPr>
                        <w:rFonts w:ascii="Symbol" w:hAnsi="Symbol"/>
                        <w:w w:val="170"/>
                        <w:sz w:val="15"/>
                      </w:rPr>
                      <w:t></w:t>
                    </w:r>
                    <w:r>
                      <w:rPr>
                        <w:spacing w:val="-36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</w:t>
                    </w:r>
                    <w:r>
                      <w:rPr>
                        <w:spacing w:val="36"/>
                        <w:w w:val="170"/>
                        <w:sz w:val="18"/>
                      </w:rPr>
                      <w:t> </w:t>
                    </w:r>
                    <w:r>
                      <w:rPr>
                        <w:i/>
                        <w:w w:val="170"/>
                        <w:sz w:val="15"/>
                      </w:rPr>
                      <w:t>D</w:t>
                    </w:r>
                    <w:r>
                      <w:rPr>
                        <w:i/>
                        <w:spacing w:val="46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5"/>
                      </w:rPr>
                      <w:t></w:t>
                    </w:r>
                    <w:r>
                      <w:rPr>
                        <w:spacing w:val="-27"/>
                        <w:w w:val="17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70"/>
                        <w:sz w:val="18"/>
                      </w:rPr>
                      <w:t></w:t>
                    </w:r>
                  </w:p>
                </w:txbxContent>
              </v:textbox>
              <w10:wrap type="none"/>
            </v:shape>
            <v:shape style="position:absolute;left:8049;top:2909;width:92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79"/>
                        <w:sz w:val="9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7467;top:3096;width:218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w w:val="180"/>
                        <w:sz w:val="9"/>
                      </w:rPr>
                      <w:t>t</w:t>
                    </w:r>
                    <w:r>
                      <w:rPr>
                        <w:i/>
                        <w:spacing w:val="-23"/>
                        <w:w w:val="180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80"/>
                        <w:sz w:val="9"/>
                      </w:rPr>
                      <w:t>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442;top:3096;width:1842;height:110" type="#_x0000_t202" filled="false" stroked="false">
              <v:textbox inset="0,0,0,0">
                <w:txbxContent>
                  <w:p>
                    <w:pPr>
                      <w:tabs>
                        <w:tab w:pos="402" w:val="left" w:leader="none"/>
                        <w:tab w:pos="1044" w:val="left" w:leader="none"/>
                        <w:tab w:pos="1326" w:val="left" w:leader="none"/>
                        <w:tab w:pos="1776" w:val="left" w:leader="none"/>
                      </w:tabs>
                      <w:spacing w:line="109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w w:val="180"/>
                        <w:sz w:val="9"/>
                      </w:rPr>
                      <w:t>7</w:t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  <w:tab/>
                    </w:r>
                    <w:r>
                      <w:rPr>
                        <w:i/>
                        <w:w w:val="175"/>
                        <w:sz w:val="9"/>
                      </w:rPr>
                      <w:t>t</w:t>
                    </w:r>
                    <w:r>
                      <w:rPr>
                        <w:i/>
                        <w:spacing w:val="-20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</w:t>
                    </w:r>
                    <w:r>
                      <w:rPr>
                        <w:i/>
                        <w:w w:val="175"/>
                        <w:sz w:val="9"/>
                      </w:rPr>
                      <w:t>i</w:t>
                      <w:tab/>
                    </w:r>
                    <w:r>
                      <w:rPr>
                        <w:w w:val="180"/>
                        <w:sz w:val="9"/>
                      </w:rPr>
                      <w:t>8</w:t>
                      <w:tab/>
                    </w:r>
                    <w:r>
                      <w:rPr>
                        <w:i/>
                        <w:w w:val="180"/>
                        <w:sz w:val="9"/>
                      </w:rPr>
                      <w:t>i</w:t>
                      <w:tab/>
                      <w:t>i</w:t>
                    </w:r>
                  </w:p>
                </w:txbxContent>
              </v:textbox>
              <w10:wrap type="none"/>
            </v:shape>
            <v:shape style="position:absolute;left:4305;top:3203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182;top:3203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974;top:3203;width:252;height:110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i/>
                        <w:w w:val="175"/>
                        <w:sz w:val="9"/>
                      </w:rPr>
                      <w:t>i</w:t>
                    </w:r>
                    <w:r>
                      <w:rPr>
                        <w:i/>
                        <w:spacing w:val="-25"/>
                        <w:w w:val="175"/>
                        <w:sz w:val="9"/>
                      </w:rPr>
                      <w:t> </w:t>
                    </w:r>
                    <w:r>
                      <w:rPr>
                        <w:rFonts w:ascii="Symbol" w:hAnsi="Symbol"/>
                        <w:w w:val="175"/>
                        <w:sz w:val="9"/>
                      </w:rPr>
                      <w:t></w:t>
                    </w:r>
                    <w:r>
                      <w:rPr>
                        <w:w w:val="17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31;top:3568;width:373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Foreign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Direct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Investment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Equation</w:t>
                    </w:r>
                  </w:p>
                </w:txbxContent>
              </v:textbox>
              <w10:wrap type="none"/>
            </v:shape>
            <v:shape style="position:absolute;left:2172;top:4140;width:7008;height:32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32"/>
                        <w:sz w:val="17"/>
                      </w:rPr>
                      <w:t>L</w:t>
                    </w:r>
                    <w:r>
                      <w:rPr>
                        <w:i/>
                        <w:spacing w:val="-12"/>
                        <w:sz w:val="17"/>
                      </w:rPr>
                      <w:t> </w:t>
                    </w:r>
                    <w:r>
                      <w:rPr>
                        <w:w w:val="132"/>
                        <w:sz w:val="17"/>
                      </w:rPr>
                      <w:t>n</w:t>
                    </w:r>
                    <w:r>
                      <w:rPr>
                        <w:sz w:val="17"/>
                      </w:rPr>
                      <w:t> 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F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D</w:t>
                    </w:r>
                    <w:r>
                      <w:rPr>
                        <w:i/>
                        <w:spacing w:val="8"/>
                        <w:w w:val="132"/>
                        <w:sz w:val="17"/>
                      </w:rPr>
                      <w:t>I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t</w:t>
                    </w:r>
                    <w:r>
                      <w:rPr>
                        <w:i/>
                        <w:position w:val="-4"/>
                        <w:sz w:val="10"/>
                      </w:rPr>
                      <w:t>  </w:t>
                    </w:r>
                    <w:r>
                      <w:rPr>
                        <w:i/>
                        <w:spacing w:val="5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w w:val="132"/>
                        <w:sz w:val="17"/>
                      </w:rPr>
                      <w:t>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pacing w:val="-4"/>
                        <w:w w:val="118"/>
                        <w:sz w:val="19"/>
                      </w:rPr>
                      <w:t></w:t>
                    </w:r>
                    <w:r>
                      <w:rPr>
                        <w:w w:val="129"/>
                        <w:position w:val="-4"/>
                        <w:sz w:val="10"/>
                      </w:rPr>
                      <w:t>0</w:t>
                    </w:r>
                    <w:r>
                      <w:rPr>
                        <w:position w:val="-4"/>
                        <w:sz w:val="10"/>
                      </w:rPr>
                      <w:t> </w:t>
                    </w:r>
                    <w:r>
                      <w:rPr>
                        <w:spacing w:val="8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w w:val="132"/>
                        <w:sz w:val="17"/>
                      </w:rPr>
                      <w:t>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pacing w:val="8"/>
                        <w:w w:val="129"/>
                        <w:position w:val="-3"/>
                        <w:sz w:val="26"/>
                      </w:rPr>
                      <w:t></w:t>
                    </w:r>
                    <w:r>
                      <w:rPr>
                        <w:rFonts w:ascii="Symbol" w:hAnsi="Symbol"/>
                        <w:spacing w:val="-16"/>
                        <w:w w:val="118"/>
                        <w:sz w:val="19"/>
                      </w:rPr>
                      <w:t></w:t>
                    </w:r>
                    <w:r>
                      <w:rPr>
                        <w:spacing w:val="-7"/>
                        <w:w w:val="129"/>
                        <w:position w:val="-4"/>
                        <w:sz w:val="10"/>
                      </w:rPr>
                      <w:t>1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spacing w:val="-4"/>
                        <w:position w:val="-4"/>
                        <w:sz w:val="10"/>
                      </w:rPr>
                      <w:t> </w:t>
                    </w:r>
                    <w:r>
                      <w:rPr>
                        <w:i/>
                        <w:w w:val="132"/>
                        <w:sz w:val="17"/>
                      </w:rPr>
                      <w:t>L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n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F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D</w:t>
                    </w:r>
                    <w:r>
                      <w:rPr>
                        <w:i/>
                        <w:spacing w:val="7"/>
                        <w:w w:val="132"/>
                        <w:sz w:val="17"/>
                      </w:rPr>
                      <w:t>I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t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spacing w:val="1"/>
                        <w:w w:val="129"/>
                        <w:position w:val="-4"/>
                        <w:sz w:val="10"/>
                      </w:rPr>
                      <w:t>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position w:val="-4"/>
                        <w:sz w:val="10"/>
                      </w:rPr>
                      <w:t>  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spacing w:val="6"/>
                        <w:w w:val="132"/>
                        <w:sz w:val="17"/>
                      </w:rPr>
                      <w:t></w:t>
                    </w:r>
                    <w:r>
                      <w:rPr>
                        <w:rFonts w:ascii="Symbol" w:hAnsi="Symbol"/>
                        <w:spacing w:val="8"/>
                        <w:w w:val="129"/>
                        <w:position w:val="-3"/>
                        <w:sz w:val="26"/>
                      </w:rPr>
                      <w:t></w:t>
                    </w:r>
                    <w:r>
                      <w:rPr>
                        <w:rFonts w:ascii="Symbol" w:hAnsi="Symbol"/>
                        <w:spacing w:val="-2"/>
                        <w:w w:val="118"/>
                        <w:sz w:val="19"/>
                      </w:rPr>
                      <w:t></w:t>
                    </w:r>
                    <w:r>
                      <w:rPr>
                        <w:spacing w:val="3"/>
                        <w:w w:val="129"/>
                        <w:position w:val="-4"/>
                        <w:sz w:val="10"/>
                      </w:rPr>
                      <w:t>2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spacing w:val="-4"/>
                        <w:position w:val="-4"/>
                        <w:sz w:val="10"/>
                      </w:rPr>
                      <w:t> </w:t>
                    </w:r>
                    <w:r>
                      <w:rPr>
                        <w:i/>
                        <w:w w:val="132"/>
                        <w:sz w:val="17"/>
                      </w:rPr>
                      <w:t>L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n</w:t>
                    </w:r>
                    <w:r>
                      <w:rPr>
                        <w:i/>
                        <w:spacing w:val="-2"/>
                        <w:w w:val="132"/>
                        <w:sz w:val="17"/>
                      </w:rPr>
                      <w:t>N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E</w:t>
                    </w:r>
                    <w:r>
                      <w:rPr>
                        <w:i/>
                        <w:spacing w:val="-13"/>
                        <w:w w:val="132"/>
                        <w:sz w:val="17"/>
                      </w:rPr>
                      <w:t>R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t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spacing w:val="2"/>
                        <w:w w:val="129"/>
                        <w:position w:val="-4"/>
                        <w:sz w:val="10"/>
                      </w:rPr>
                      <w:t>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position w:val="-4"/>
                        <w:sz w:val="10"/>
                      </w:rPr>
                      <w:t>  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w w:val="132"/>
                        <w:sz w:val="17"/>
                      </w:rPr>
                      <w:t>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pacing w:val="8"/>
                        <w:w w:val="129"/>
                        <w:position w:val="-3"/>
                        <w:sz w:val="26"/>
                      </w:rPr>
                      <w:t></w:t>
                    </w:r>
                    <w:r>
                      <w:rPr>
                        <w:rFonts w:ascii="Symbol" w:hAnsi="Symbol"/>
                        <w:spacing w:val="-6"/>
                        <w:w w:val="118"/>
                        <w:sz w:val="19"/>
                      </w:rPr>
                      <w:t></w:t>
                    </w:r>
                    <w:r>
                      <w:rPr>
                        <w:spacing w:val="-1"/>
                        <w:w w:val="129"/>
                        <w:position w:val="-4"/>
                        <w:sz w:val="10"/>
                      </w:rPr>
                      <w:t>3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spacing w:val="-4"/>
                        <w:position w:val="-4"/>
                        <w:sz w:val="10"/>
                      </w:rPr>
                      <w:t> </w:t>
                    </w:r>
                    <w:r>
                      <w:rPr>
                        <w:i/>
                        <w:w w:val="132"/>
                        <w:sz w:val="17"/>
                      </w:rPr>
                      <w:t>L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n</w:t>
                    </w:r>
                    <w:r>
                      <w:rPr>
                        <w:i/>
                        <w:spacing w:val="-2"/>
                        <w:w w:val="132"/>
                        <w:sz w:val="17"/>
                      </w:rPr>
                      <w:t>C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P</w:t>
                    </w:r>
                    <w:r>
                      <w:rPr>
                        <w:i/>
                        <w:spacing w:val="7"/>
                        <w:w w:val="132"/>
                        <w:sz w:val="17"/>
                      </w:rPr>
                      <w:t>I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t</w:t>
                    </w:r>
                    <w:r>
                      <w:rPr>
                        <w:i/>
                        <w:spacing w:val="-11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spacing w:val="1"/>
                        <w:w w:val="129"/>
                        <w:position w:val="-4"/>
                        <w:sz w:val="10"/>
                      </w:rPr>
                      <w:t>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position w:val="-4"/>
                        <w:sz w:val="10"/>
                      </w:rPr>
                      <w:t>  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w w:val="132"/>
                        <w:sz w:val="17"/>
                      </w:rPr>
                      <w:t>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pacing w:val="8"/>
                        <w:w w:val="129"/>
                        <w:position w:val="-3"/>
                        <w:sz w:val="26"/>
                      </w:rPr>
                      <w:t></w:t>
                    </w:r>
                    <w:r>
                      <w:rPr>
                        <w:rFonts w:ascii="Symbol" w:hAnsi="Symbol"/>
                        <w:spacing w:val="-2"/>
                        <w:w w:val="118"/>
                        <w:sz w:val="19"/>
                      </w:rPr>
                      <w:t></w:t>
                    </w:r>
                    <w:r>
                      <w:rPr>
                        <w:spacing w:val="3"/>
                        <w:w w:val="129"/>
                        <w:position w:val="-4"/>
                        <w:sz w:val="10"/>
                      </w:rPr>
                      <w:t>4</w:t>
                    </w:r>
                    <w:r>
                      <w:rPr>
                        <w:i/>
                        <w:spacing w:val="7"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GGD</w:t>
                    </w:r>
                    <w:r>
                      <w:rPr>
                        <w:i/>
                        <w:spacing w:val="-42"/>
                        <w:w w:val="132"/>
                        <w:sz w:val="17"/>
                      </w:rPr>
                      <w:t>P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t</w:t>
                    </w:r>
                    <w:r>
                      <w:rPr>
                        <w:i/>
                        <w:spacing w:val="-11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w w:val="129"/>
                        <w:position w:val="-4"/>
                        <w:sz w:val="10"/>
                      </w:rPr>
                      <w:t>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3616;top:4095;width:78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29"/>
                        <w:sz w:val="10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5048;top:4095;width:78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29"/>
                        <w:sz w:val="10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6567;top:4095;width:78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29"/>
                        <w:sz w:val="10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8035;top:4095;width:78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29"/>
                        <w:sz w:val="10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3566;top:4431;width:195;height:12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w w:val="130"/>
                        <w:sz w:val="10"/>
                      </w:rPr>
                      <w:t>i</w:t>
                    </w:r>
                    <w:r>
                      <w:rPr>
                        <w:rFonts w:ascii="Symbol" w:hAnsi="Symbol"/>
                        <w:w w:val="130"/>
                        <w:sz w:val="10"/>
                      </w:rPr>
                      <w:t></w:t>
                    </w:r>
                    <w:r>
                      <w:rPr>
                        <w:w w:val="13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998;top:4431;width:195;height:12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w w:val="130"/>
                        <w:sz w:val="10"/>
                      </w:rPr>
                      <w:t>i</w:t>
                    </w:r>
                    <w:r>
                      <w:rPr>
                        <w:rFonts w:ascii="Symbol" w:hAnsi="Symbol"/>
                        <w:w w:val="130"/>
                        <w:sz w:val="10"/>
                      </w:rPr>
                      <w:t></w:t>
                    </w:r>
                    <w:r>
                      <w:rPr>
                        <w:w w:val="13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06;top:4431;width:207;height:12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w w:val="130"/>
                        <w:sz w:val="10"/>
                      </w:rPr>
                      <w:t>i</w:t>
                    </w:r>
                    <w:r>
                      <w:rPr>
                        <w:rFonts w:ascii="Symbol" w:hAnsi="Symbol"/>
                        <w:w w:val="130"/>
                        <w:sz w:val="10"/>
                      </w:rPr>
                      <w:t></w:t>
                    </w:r>
                    <w:r>
                      <w:rPr>
                        <w:w w:val="130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974;top:4431;width:207;height:12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w w:val="130"/>
                        <w:sz w:val="10"/>
                      </w:rPr>
                      <w:t>i</w:t>
                    </w:r>
                    <w:r>
                      <w:rPr>
                        <w:rFonts w:ascii="Symbol" w:hAnsi="Symbol"/>
                        <w:w w:val="130"/>
                        <w:sz w:val="10"/>
                      </w:rPr>
                      <w:t></w:t>
                    </w:r>
                    <w:r>
                      <w:rPr>
                        <w:w w:val="130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65;top:4655;width:4961;height:32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rFonts w:ascii="Symbol" w:hAnsi="Symbol"/>
                        <w:spacing w:val="6"/>
                        <w:w w:val="132"/>
                        <w:sz w:val="17"/>
                      </w:rPr>
                      <w:t></w:t>
                    </w:r>
                    <w:r>
                      <w:rPr>
                        <w:rFonts w:ascii="Symbol" w:hAnsi="Symbol"/>
                        <w:spacing w:val="8"/>
                        <w:w w:val="129"/>
                        <w:position w:val="-3"/>
                        <w:sz w:val="26"/>
                      </w:rPr>
                      <w:t></w:t>
                    </w:r>
                    <w:r>
                      <w:rPr>
                        <w:rFonts w:ascii="Symbol" w:hAnsi="Symbol"/>
                        <w:spacing w:val="-7"/>
                        <w:w w:val="118"/>
                        <w:sz w:val="19"/>
                      </w:rPr>
                      <w:t></w:t>
                    </w:r>
                    <w:r>
                      <w:rPr>
                        <w:spacing w:val="2"/>
                        <w:w w:val="129"/>
                        <w:position w:val="-4"/>
                        <w:sz w:val="10"/>
                      </w:rPr>
                      <w:t>5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spacing w:val="-4"/>
                        <w:position w:val="-4"/>
                        <w:sz w:val="10"/>
                      </w:rPr>
                      <w:t> </w:t>
                    </w:r>
                    <w:r>
                      <w:rPr>
                        <w:i/>
                        <w:w w:val="132"/>
                        <w:sz w:val="17"/>
                      </w:rPr>
                      <w:t>L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n</w:t>
                    </w:r>
                    <w:r>
                      <w:rPr>
                        <w:i/>
                        <w:spacing w:val="17"/>
                        <w:w w:val="132"/>
                        <w:sz w:val="17"/>
                      </w:rPr>
                      <w:t>X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t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spacing w:val="2"/>
                        <w:w w:val="129"/>
                        <w:position w:val="-4"/>
                        <w:sz w:val="10"/>
                      </w:rPr>
                      <w:t>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position w:val="-4"/>
                        <w:sz w:val="10"/>
                      </w:rPr>
                      <w:t>  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w w:val="132"/>
                        <w:sz w:val="17"/>
                      </w:rPr>
                      <w:t>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pacing w:val="8"/>
                        <w:w w:val="129"/>
                        <w:position w:val="-3"/>
                        <w:sz w:val="26"/>
                      </w:rPr>
                      <w:t></w:t>
                    </w:r>
                    <w:r>
                      <w:rPr>
                        <w:rFonts w:ascii="Symbol" w:hAnsi="Symbol"/>
                        <w:spacing w:val="-4"/>
                        <w:w w:val="118"/>
                        <w:sz w:val="19"/>
                      </w:rPr>
                      <w:t></w:t>
                    </w:r>
                    <w:r>
                      <w:rPr>
                        <w:spacing w:val="3"/>
                        <w:w w:val="129"/>
                        <w:position w:val="-4"/>
                        <w:sz w:val="10"/>
                      </w:rPr>
                      <w:t>6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spacing w:val="-3"/>
                        <w:position w:val="-4"/>
                        <w:sz w:val="10"/>
                      </w:rPr>
                      <w:t> </w:t>
                    </w:r>
                    <w:r>
                      <w:rPr>
                        <w:i/>
                        <w:w w:val="132"/>
                        <w:sz w:val="17"/>
                      </w:rPr>
                      <w:t>L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n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O</w:t>
                    </w:r>
                    <w:r>
                      <w:rPr>
                        <w:i/>
                        <w:spacing w:val="-2"/>
                        <w:w w:val="132"/>
                        <w:sz w:val="17"/>
                      </w:rPr>
                      <w:t>p</w:t>
                    </w:r>
                    <w:r>
                      <w:rPr>
                        <w:i/>
                        <w:spacing w:val="-4"/>
                        <w:w w:val="132"/>
                        <w:sz w:val="17"/>
                      </w:rPr>
                      <w:t>e</w:t>
                    </w:r>
                    <w:r>
                      <w:rPr>
                        <w:i/>
                        <w:spacing w:val="-11"/>
                        <w:w w:val="132"/>
                        <w:sz w:val="17"/>
                      </w:rPr>
                      <w:t>n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t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spacing w:val="2"/>
                        <w:w w:val="129"/>
                        <w:position w:val="-4"/>
                        <w:sz w:val="10"/>
                      </w:rPr>
                      <w:t>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position w:val="-4"/>
                        <w:sz w:val="10"/>
                      </w:rPr>
                      <w:t>  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spacing w:val="6"/>
                        <w:w w:val="132"/>
                        <w:sz w:val="17"/>
                      </w:rPr>
                      <w:t></w:t>
                    </w:r>
                    <w:r>
                      <w:rPr>
                        <w:rFonts w:ascii="Symbol" w:hAnsi="Symbol"/>
                        <w:spacing w:val="8"/>
                        <w:w w:val="129"/>
                        <w:position w:val="-3"/>
                        <w:sz w:val="26"/>
                      </w:rPr>
                      <w:t></w:t>
                    </w:r>
                    <w:r>
                      <w:rPr>
                        <w:rFonts w:ascii="Symbol" w:hAnsi="Symbol"/>
                        <w:spacing w:val="-4"/>
                        <w:w w:val="118"/>
                        <w:sz w:val="19"/>
                      </w:rPr>
                      <w:t></w:t>
                    </w:r>
                    <w:r>
                      <w:rPr>
                        <w:spacing w:val="6"/>
                        <w:w w:val="129"/>
                        <w:position w:val="-4"/>
                        <w:sz w:val="10"/>
                      </w:rPr>
                      <w:t>7</w:t>
                    </w:r>
                    <w:r>
                      <w:rPr>
                        <w:i/>
                        <w:spacing w:val="1"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w w:val="132"/>
                        <w:sz w:val="17"/>
                      </w:rPr>
                      <w:t>T</w:t>
                    </w:r>
                    <w:r>
                      <w:rPr>
                        <w:i/>
                        <w:spacing w:val="-3"/>
                        <w:w w:val="132"/>
                        <w:sz w:val="17"/>
                      </w:rPr>
                      <w:t>B</w:t>
                    </w:r>
                    <w:r>
                      <w:rPr>
                        <w:i/>
                        <w:spacing w:val="-14"/>
                        <w:w w:val="132"/>
                        <w:sz w:val="17"/>
                      </w:rPr>
                      <w:t>R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t</w:t>
                    </w:r>
                    <w:r>
                      <w:rPr>
                        <w:i/>
                        <w:spacing w:val="-11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spacing w:val="1"/>
                        <w:w w:val="129"/>
                        <w:position w:val="-4"/>
                        <w:sz w:val="10"/>
                      </w:rPr>
                      <w:t>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position w:val="-4"/>
                        <w:sz w:val="10"/>
                      </w:rPr>
                      <w:t>  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w w:val="132"/>
                        <w:sz w:val="17"/>
                      </w:rPr>
                      <w:t>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pacing w:val="-8"/>
                        <w:w w:val="118"/>
                        <w:sz w:val="19"/>
                      </w:rPr>
                      <w:t></w:t>
                    </w:r>
                    <w:r>
                      <w:rPr>
                        <w:spacing w:val="1"/>
                        <w:w w:val="129"/>
                        <w:position w:val="-4"/>
                        <w:sz w:val="10"/>
                      </w:rPr>
                      <w:t>8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spacing w:val="-3"/>
                        <w:position w:val="-4"/>
                        <w:sz w:val="10"/>
                      </w:rPr>
                      <w:t> </w:t>
                    </w:r>
                    <w:r>
                      <w:rPr>
                        <w:i/>
                        <w:spacing w:val="-16"/>
                        <w:w w:val="132"/>
                        <w:sz w:val="17"/>
                      </w:rPr>
                      <w:t>D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  <w:r>
                      <w:rPr>
                        <w:i/>
                        <w:position w:val="-4"/>
                        <w:sz w:val="10"/>
                      </w:rPr>
                      <w:t>  </w:t>
                    </w:r>
                    <w:r>
                      <w:rPr>
                        <w:i/>
                        <w:spacing w:val="-12"/>
                        <w:position w:val="-4"/>
                        <w:sz w:val="10"/>
                      </w:rPr>
                      <w:t> </w:t>
                    </w:r>
                    <w:r>
                      <w:rPr>
                        <w:rFonts w:ascii="Symbol" w:hAnsi="Symbol"/>
                        <w:w w:val="132"/>
                        <w:sz w:val="17"/>
                      </w:rPr>
                      <w:t>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rFonts w:ascii="Symbol" w:hAnsi="Symbol"/>
                        <w:spacing w:val="13"/>
                        <w:w w:val="118"/>
                        <w:sz w:val="19"/>
                      </w:rPr>
                      <w:t></w:t>
                    </w:r>
                    <w:r>
                      <w:rPr>
                        <w:i/>
                        <w:w w:val="129"/>
                        <w:position w:val="-4"/>
                        <w:sz w:val="1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380;top:4610;width:78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29"/>
                        <w:sz w:val="10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3640;top:4610;width:78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29"/>
                        <w:sz w:val="10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5187;top:4610;width:78;height:11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29"/>
                        <w:sz w:val="10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2319;top:4946;width:207;height:12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w w:val="130"/>
                        <w:sz w:val="10"/>
                      </w:rPr>
                      <w:t>i</w:t>
                    </w:r>
                    <w:r>
                      <w:rPr>
                        <w:rFonts w:ascii="Symbol" w:hAnsi="Symbol"/>
                        <w:w w:val="130"/>
                        <w:sz w:val="10"/>
                      </w:rPr>
                      <w:t></w:t>
                    </w:r>
                    <w:r>
                      <w:rPr>
                        <w:w w:val="130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79;top:4946;width:207;height:12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w w:val="130"/>
                        <w:sz w:val="10"/>
                      </w:rPr>
                      <w:t>i</w:t>
                    </w:r>
                    <w:r>
                      <w:rPr>
                        <w:rFonts w:ascii="Symbol" w:hAnsi="Symbol"/>
                        <w:w w:val="130"/>
                        <w:sz w:val="10"/>
                      </w:rPr>
                      <w:t></w:t>
                    </w:r>
                    <w:r>
                      <w:rPr>
                        <w:w w:val="130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26;top:4946;width:207;height:12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i/>
                        <w:w w:val="130"/>
                        <w:sz w:val="10"/>
                      </w:rPr>
                      <w:t>i</w:t>
                    </w:r>
                    <w:r>
                      <w:rPr>
                        <w:rFonts w:ascii="Symbol" w:hAnsi="Symbol"/>
                        <w:w w:val="130"/>
                        <w:sz w:val="10"/>
                      </w:rPr>
                      <w:t></w:t>
                    </w:r>
                    <w:r>
                      <w:rPr>
                        <w:w w:val="130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31;top:5723;width:398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Exchange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Rate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Pass-through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Equation</w:t>
                    </w:r>
                  </w:p>
                </w:txbxContent>
              </v:textbox>
              <w10:wrap type="none"/>
            </v:shape>
            <v:shape style="position:absolute;left:2185;top:6302;width:1816;height:34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i/>
                        <w:w w:val="150"/>
                        <w:sz w:val="19"/>
                      </w:rPr>
                      <w:t>LnP</w:t>
                    </w:r>
                    <w:r>
                      <w:rPr>
                        <w:i/>
                        <w:spacing w:val="35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sz w:val="19"/>
                      </w:rPr>
                      <w:t></w:t>
                    </w:r>
                    <w:r>
                      <w:rPr>
                        <w:spacing w:val="-16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sz w:val="21"/>
                      </w:rPr>
                      <w:t></w:t>
                    </w:r>
                    <w:r>
                      <w:rPr>
                        <w:w w:val="150"/>
                        <w:sz w:val="21"/>
                      </w:rPr>
                      <w:t> </w:t>
                    </w:r>
                    <w:r>
                      <w:rPr>
                        <w:spacing w:val="51"/>
                        <w:w w:val="150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sz w:val="19"/>
                      </w:rPr>
                      <w:t></w:t>
                    </w:r>
                    <w:r>
                      <w:rPr>
                        <w:spacing w:val="-18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w w:val="150"/>
                        <w:position w:val="-3"/>
                        <w:sz w:val="28"/>
                      </w:rPr>
                      <w:t></w:t>
                    </w:r>
                    <w:r>
                      <w:rPr>
                        <w:rFonts w:ascii="Symbol" w:hAnsi="Symbol"/>
                        <w:spacing w:val="10"/>
                        <w:w w:val="150"/>
                        <w:sz w:val="21"/>
                      </w:rPr>
                      <w:t></w:t>
                    </w:r>
                  </w:p>
                </w:txbxContent>
              </v:textbox>
              <w10:wrap type="none"/>
            </v:shape>
            <v:shape style="position:absolute;left:3633;top:6254;width:96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5208;top:6254;width:96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2623;top:6496;width:630;height:122" type="#_x0000_t202" filled="false" stroked="false">
              <v:textbox inset="0,0,0,0">
                <w:txbxContent>
                  <w:p>
                    <w:pPr>
                      <w:tabs>
                        <w:tab w:pos="523" w:val="left" w:leader="none"/>
                      </w:tabs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t</w:t>
                      <w:tab/>
                    </w:r>
                    <w:r>
                      <w:rPr>
                        <w:w w:val="15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98;top:6483;width:823;height:135" type="#_x0000_t202" filled="false" stroked="false">
              <v:textbox inset="0,0,0,0">
                <w:txbxContent>
                  <w:p>
                    <w:pPr>
                      <w:tabs>
                        <w:tab w:pos="591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w w:val="155"/>
                        <w:sz w:val="11"/>
                      </w:rPr>
                      <w:t>1</w:t>
                    </w:r>
                    <w:r>
                      <w:rPr>
                        <w:i/>
                        <w:w w:val="155"/>
                        <w:sz w:val="11"/>
                      </w:rPr>
                      <w:t>i</w:t>
                      <w:tab/>
                      <w:t>t</w:t>
                    </w:r>
                    <w:r>
                      <w:rPr>
                        <w:i/>
                        <w:spacing w:val="-24"/>
                        <w:w w:val="155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5"/>
                        <w:sz w:val="11"/>
                      </w:rPr>
                      <w:t></w:t>
                    </w:r>
                    <w:r>
                      <w:rPr>
                        <w:i/>
                        <w:w w:val="155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153;top:6302;width:1423;height:349" type="#_x0000_t202" filled="false" stroked="false">
              <v:textbox inset="0,0,0,0">
                <w:txbxContent>
                  <w:p>
                    <w:pPr>
                      <w:tabs>
                        <w:tab w:pos="73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i/>
                        <w:w w:val="155"/>
                        <w:sz w:val="19"/>
                      </w:rPr>
                      <w:t>LnP</w:t>
                      <w:tab/>
                    </w:r>
                    <w:r>
                      <w:rPr>
                        <w:rFonts w:ascii="Symbol" w:hAnsi="Symbol"/>
                        <w:w w:val="150"/>
                        <w:sz w:val="19"/>
                      </w:rPr>
                      <w:t></w:t>
                    </w:r>
                    <w:r>
                      <w:rPr>
                        <w:spacing w:val="-11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w w:val="150"/>
                        <w:position w:val="-3"/>
                        <w:sz w:val="28"/>
                      </w:rPr>
                      <w:t></w:t>
                    </w:r>
                    <w:r>
                      <w:rPr>
                        <w:rFonts w:ascii="Symbol" w:hAnsi="Symbol"/>
                        <w:spacing w:val="10"/>
                        <w:w w:val="150"/>
                        <w:sz w:val="21"/>
                      </w:rPr>
                      <w:t></w:t>
                    </w:r>
                  </w:p>
                </w:txbxContent>
              </v:textbox>
              <w10:wrap type="none"/>
            </v:shape>
            <v:shape style="position:absolute;left:5591;top:6496;width:159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w w:val="155"/>
                        <w:sz w:val="11"/>
                      </w:rPr>
                      <w:t>2</w:t>
                    </w:r>
                    <w:r>
                      <w:rPr>
                        <w:i/>
                        <w:w w:val="155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759;top:6375;width:690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w w:val="155"/>
                        <w:sz w:val="19"/>
                      </w:rPr>
                      <w:t>LnER</w:t>
                    </w:r>
                  </w:p>
                </w:txbxContent>
              </v:textbox>
              <w10:wrap type="none"/>
            </v:shape>
            <v:shape style="position:absolute;left:6411;top:6483;width:230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t</w:t>
                    </w:r>
                    <w:r>
                      <w:rPr>
                        <w:i/>
                        <w:spacing w:val="-24"/>
                        <w:w w:val="155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5"/>
                        <w:sz w:val="11"/>
                      </w:rPr>
                      <w:t></w:t>
                    </w:r>
                    <w:r>
                      <w:rPr>
                        <w:i/>
                        <w:w w:val="155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704;top:6302;width:2167;height:34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1"/>
                      </w:numPr>
                      <w:tabs>
                        <w:tab w:pos="213" w:val="left" w:leader="none"/>
                      </w:tabs>
                      <w:spacing w:before="1"/>
                      <w:ind w:left="212" w:right="0" w:hanging="213"/>
                      <w:jc w:val="left"/>
                      <w:rPr>
                        <w:rFonts w:ascii="Symbol" w:hAnsi="Symbol"/>
                        <w:sz w:val="19"/>
                      </w:rPr>
                    </w:pPr>
                    <w:r>
                      <w:rPr>
                        <w:rFonts w:ascii="Symbol" w:hAnsi="Symbol"/>
                        <w:spacing w:val="10"/>
                        <w:w w:val="155"/>
                        <w:position w:val="-3"/>
                        <w:sz w:val="28"/>
                      </w:rPr>
                      <w:t></w:t>
                    </w:r>
                    <w:r>
                      <w:rPr>
                        <w:rFonts w:ascii="Symbol" w:hAnsi="Symbol"/>
                        <w:spacing w:val="10"/>
                        <w:w w:val="155"/>
                        <w:sz w:val="21"/>
                      </w:rPr>
                      <w:t></w:t>
                    </w:r>
                    <w:r>
                      <w:rPr>
                        <w:spacing w:val="10"/>
                        <w:w w:val="155"/>
                        <w:sz w:val="21"/>
                      </w:rPr>
                      <w:t> </w:t>
                    </w:r>
                    <w:r>
                      <w:rPr>
                        <w:spacing w:val="16"/>
                        <w:w w:val="155"/>
                        <w:sz w:val="21"/>
                      </w:rPr>
                      <w:t> </w:t>
                    </w:r>
                    <w:r>
                      <w:rPr>
                        <w:i/>
                        <w:w w:val="155"/>
                        <w:sz w:val="19"/>
                      </w:rPr>
                      <w:t>LnGDP</w:t>
                    </w:r>
                    <w:r>
                      <w:rPr>
                        <w:i/>
                        <w:w w:val="155"/>
                        <w:sz w:val="19"/>
                        <w:vertAlign w:val="superscript"/>
                      </w:rPr>
                      <w:t>d</w:t>
                    </w:r>
                    <w:r>
                      <w:rPr>
                        <w:i/>
                        <w:spacing w:val="33"/>
                        <w:w w:val="155"/>
                        <w:sz w:val="19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155"/>
                        <w:sz w:val="19"/>
                        <w:vertAlign w:val="baseline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7028;top:6254;width:96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7406;top:6496;width:153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w w:val="155"/>
                        <w:sz w:val="11"/>
                      </w:rPr>
                      <w:t>3</w:t>
                    </w:r>
                    <w:r>
                      <w:rPr>
                        <w:i/>
                        <w:w w:val="155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442;top:6542;width:241;height:98" type="#_x0000_t202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i/>
                        <w:sz w:val="8"/>
                      </w:rPr>
                    </w:pPr>
                    <w:r>
                      <w:rPr>
                        <w:i/>
                        <w:spacing w:val="-1"/>
                        <w:w w:val="155"/>
                        <w:sz w:val="8"/>
                      </w:rPr>
                      <w:t>t</w:t>
                    </w:r>
                    <w:r>
                      <w:rPr>
                        <w:i/>
                        <w:spacing w:val="-23"/>
                        <w:w w:val="155"/>
                        <w:sz w:val="8"/>
                      </w:rPr>
                      <w:t> </w:t>
                    </w:r>
                    <w:r>
                      <w:rPr>
                        <w:rFonts w:ascii="Symbol" w:hAnsi="Symbol"/>
                        <w:w w:val="155"/>
                        <w:sz w:val="8"/>
                      </w:rPr>
                      <w:t></w:t>
                    </w:r>
                    <w:r>
                      <w:rPr>
                        <w:i/>
                        <w:w w:val="155"/>
                        <w:sz w:val="8"/>
                      </w:rPr>
                      <w:t>i</w:t>
                    </w:r>
                    <w:r>
                      <w:rPr>
                        <w:i/>
                        <w:sz w:val="8"/>
                      </w:rPr>
                      <w:t>   </w:t>
                    </w:r>
                    <w:r>
                      <w:rPr>
                        <w:i/>
                        <w:spacing w:val="-5"/>
                        <w:sz w:val="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68;top:6615;width:25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i/>
                        <w:spacing w:val="-4"/>
                        <w:w w:val="155"/>
                        <w:sz w:val="11"/>
                      </w:rPr>
                      <w:t>i</w:t>
                    </w:r>
                    <w:r>
                      <w:rPr>
                        <w:i/>
                        <w:spacing w:val="-30"/>
                        <w:w w:val="155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spacing w:val="-3"/>
                        <w:w w:val="155"/>
                        <w:sz w:val="11"/>
                      </w:rPr>
                      <w:t></w:t>
                    </w:r>
                    <w:r>
                      <w:rPr>
                        <w:spacing w:val="-3"/>
                        <w:w w:val="155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28;top:6615;width:266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i</w:t>
                    </w:r>
                    <w:r>
                      <w:rPr>
                        <w:i/>
                        <w:spacing w:val="-28"/>
                        <w:w w:val="155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5"/>
                        <w:sz w:val="11"/>
                      </w:rPr>
                      <w:t></w:t>
                    </w:r>
                    <w:r>
                      <w:rPr>
                        <w:w w:val="15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949;top:6615;width:266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i</w:t>
                    </w:r>
                    <w:r>
                      <w:rPr>
                        <w:i/>
                        <w:spacing w:val="-28"/>
                        <w:w w:val="155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5"/>
                        <w:sz w:val="11"/>
                      </w:rPr>
                      <w:t></w:t>
                    </w:r>
                    <w:r>
                      <w:rPr>
                        <w:w w:val="15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76;top:6856;width:5037;height:34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rFonts w:ascii="Symbol" w:hAnsi="Symbol"/>
                        <w:spacing w:val="9"/>
                        <w:w w:val="150"/>
                        <w:sz w:val="19"/>
                      </w:rPr>
                      <w:t></w:t>
                    </w:r>
                    <w:r>
                      <w:rPr>
                        <w:rFonts w:ascii="Symbol" w:hAnsi="Symbol"/>
                        <w:spacing w:val="9"/>
                        <w:w w:val="150"/>
                        <w:position w:val="-3"/>
                        <w:sz w:val="28"/>
                      </w:rPr>
                      <w:t></w:t>
                    </w:r>
                    <w:r>
                      <w:rPr>
                        <w:rFonts w:ascii="Symbol" w:hAnsi="Symbol"/>
                        <w:spacing w:val="9"/>
                        <w:w w:val="150"/>
                        <w:sz w:val="21"/>
                      </w:rPr>
                      <w:t></w:t>
                    </w:r>
                    <w:r>
                      <w:rPr>
                        <w:spacing w:val="-37"/>
                        <w:w w:val="150"/>
                        <w:sz w:val="21"/>
                      </w:rPr>
                      <w:t> </w:t>
                    </w:r>
                    <w:r>
                      <w:rPr>
                        <w:w w:val="150"/>
                        <w:position w:val="-4"/>
                        <w:sz w:val="11"/>
                      </w:rPr>
                      <w:t>4</w:t>
                    </w:r>
                    <w:r>
                      <w:rPr>
                        <w:i/>
                        <w:w w:val="150"/>
                        <w:position w:val="-4"/>
                        <w:sz w:val="11"/>
                      </w:rPr>
                      <w:t>i</w:t>
                    </w:r>
                    <w:r>
                      <w:rPr>
                        <w:i/>
                        <w:spacing w:val="-8"/>
                        <w:w w:val="150"/>
                        <w:position w:val="-4"/>
                        <w:sz w:val="11"/>
                      </w:rPr>
                      <w:t> </w:t>
                    </w:r>
                    <w:r>
                      <w:rPr>
                        <w:i/>
                        <w:w w:val="150"/>
                        <w:sz w:val="19"/>
                      </w:rPr>
                      <w:t>LnWPI</w:t>
                    </w:r>
                    <w:r>
                      <w:rPr>
                        <w:i/>
                        <w:w w:val="150"/>
                        <w:position w:val="-4"/>
                        <w:sz w:val="11"/>
                      </w:rPr>
                      <w:t>t</w:t>
                    </w:r>
                    <w:r>
                      <w:rPr>
                        <w:i/>
                        <w:spacing w:val="-20"/>
                        <w:w w:val="150"/>
                        <w:position w:val="-4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position w:val="-4"/>
                        <w:sz w:val="11"/>
                      </w:rPr>
                      <w:t></w:t>
                    </w:r>
                    <w:r>
                      <w:rPr>
                        <w:i/>
                        <w:w w:val="150"/>
                        <w:position w:val="-4"/>
                        <w:sz w:val="11"/>
                      </w:rPr>
                      <w:t>i </w:t>
                    </w:r>
                    <w:r>
                      <w:rPr>
                        <w:i/>
                        <w:spacing w:val="15"/>
                        <w:w w:val="150"/>
                        <w:position w:val="-4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sz w:val="19"/>
                      </w:rPr>
                      <w:t></w:t>
                    </w:r>
                    <w:r>
                      <w:rPr>
                        <w:spacing w:val="-12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w w:val="150"/>
                        <w:position w:val="-3"/>
                        <w:sz w:val="28"/>
                      </w:rPr>
                      <w:t></w:t>
                    </w:r>
                    <w:r>
                      <w:rPr>
                        <w:rFonts w:ascii="Symbol" w:hAnsi="Symbol"/>
                        <w:spacing w:val="10"/>
                        <w:w w:val="150"/>
                        <w:sz w:val="21"/>
                      </w:rPr>
                      <w:t></w:t>
                    </w:r>
                    <w:r>
                      <w:rPr>
                        <w:spacing w:val="-43"/>
                        <w:w w:val="150"/>
                        <w:sz w:val="21"/>
                      </w:rPr>
                      <w:t> </w:t>
                    </w:r>
                    <w:r>
                      <w:rPr>
                        <w:w w:val="150"/>
                        <w:position w:val="-4"/>
                        <w:sz w:val="11"/>
                      </w:rPr>
                      <w:t>5</w:t>
                    </w:r>
                    <w:r>
                      <w:rPr>
                        <w:i/>
                        <w:w w:val="150"/>
                        <w:position w:val="-4"/>
                        <w:sz w:val="11"/>
                      </w:rPr>
                      <w:t>i</w:t>
                    </w:r>
                    <w:r>
                      <w:rPr>
                        <w:i/>
                        <w:spacing w:val="-6"/>
                        <w:w w:val="150"/>
                        <w:position w:val="-4"/>
                        <w:sz w:val="11"/>
                      </w:rPr>
                      <w:t> </w:t>
                    </w:r>
                    <w:r>
                      <w:rPr>
                        <w:i/>
                        <w:w w:val="150"/>
                        <w:sz w:val="19"/>
                      </w:rPr>
                      <w:t>LnMS</w:t>
                    </w:r>
                    <w:r>
                      <w:rPr>
                        <w:i/>
                        <w:w w:val="150"/>
                        <w:position w:val="-4"/>
                        <w:sz w:val="11"/>
                      </w:rPr>
                      <w:t>t</w:t>
                    </w:r>
                    <w:r>
                      <w:rPr>
                        <w:i/>
                        <w:spacing w:val="-19"/>
                        <w:w w:val="150"/>
                        <w:position w:val="-4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position w:val="-4"/>
                        <w:sz w:val="11"/>
                      </w:rPr>
                      <w:t></w:t>
                    </w:r>
                    <w:r>
                      <w:rPr>
                        <w:i/>
                        <w:w w:val="150"/>
                        <w:position w:val="-4"/>
                        <w:sz w:val="11"/>
                      </w:rPr>
                      <w:t>i </w:t>
                    </w:r>
                    <w:r>
                      <w:rPr>
                        <w:i/>
                        <w:spacing w:val="16"/>
                        <w:w w:val="150"/>
                        <w:position w:val="-4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sz w:val="19"/>
                      </w:rPr>
                      <w:t></w:t>
                    </w:r>
                    <w:r>
                      <w:rPr>
                        <w:spacing w:val="-26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sz w:val="21"/>
                      </w:rPr>
                      <w:t></w:t>
                    </w:r>
                    <w:r>
                      <w:rPr>
                        <w:spacing w:val="-39"/>
                        <w:w w:val="150"/>
                        <w:sz w:val="21"/>
                      </w:rPr>
                      <w:t> </w:t>
                    </w:r>
                    <w:r>
                      <w:rPr>
                        <w:w w:val="150"/>
                        <w:position w:val="-4"/>
                        <w:sz w:val="11"/>
                      </w:rPr>
                      <w:t>7</w:t>
                    </w:r>
                    <w:r>
                      <w:rPr>
                        <w:spacing w:val="-11"/>
                        <w:w w:val="150"/>
                        <w:position w:val="-4"/>
                        <w:sz w:val="11"/>
                      </w:rPr>
                      <w:t> </w:t>
                    </w:r>
                    <w:r>
                      <w:rPr>
                        <w:i/>
                        <w:w w:val="150"/>
                        <w:sz w:val="19"/>
                      </w:rPr>
                      <w:t>D</w:t>
                    </w:r>
                    <w:r>
                      <w:rPr>
                        <w:i/>
                        <w:w w:val="150"/>
                        <w:position w:val="-4"/>
                        <w:sz w:val="11"/>
                      </w:rPr>
                      <w:t>i </w:t>
                    </w:r>
                    <w:r>
                      <w:rPr>
                        <w:i/>
                        <w:spacing w:val="17"/>
                        <w:w w:val="150"/>
                        <w:position w:val="-4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sz w:val="19"/>
                      </w:rPr>
                      <w:t></w:t>
                    </w:r>
                    <w:r>
                      <w:rPr>
                        <w:spacing w:val="-26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w w:val="150"/>
                        <w:sz w:val="21"/>
                      </w:rPr>
                      <w:t></w:t>
                    </w:r>
                    <w:r>
                      <w:rPr>
                        <w:i/>
                        <w:w w:val="150"/>
                        <w:position w:val="-4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459;top:6807;width:96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4467;top:6807;width:96;height:122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2379;top:7169;width:26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i</w:t>
                    </w:r>
                    <w:r>
                      <w:rPr>
                        <w:i/>
                        <w:spacing w:val="-28"/>
                        <w:w w:val="155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5"/>
                        <w:sz w:val="11"/>
                      </w:rPr>
                      <w:t></w:t>
                    </w:r>
                    <w:r>
                      <w:rPr>
                        <w:w w:val="15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86;top:7169;width:26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i/>
                        <w:w w:val="155"/>
                        <w:sz w:val="11"/>
                      </w:rPr>
                      <w:t>i</w:t>
                    </w:r>
                    <w:r>
                      <w:rPr>
                        <w:i/>
                        <w:spacing w:val="-28"/>
                        <w:w w:val="155"/>
                        <w:sz w:val="11"/>
                      </w:rPr>
                      <w:t> </w:t>
                    </w:r>
                    <w:r>
                      <w:rPr>
                        <w:rFonts w:ascii="Symbol" w:hAnsi="Symbol"/>
                        <w:w w:val="155"/>
                        <w:sz w:val="11"/>
                      </w:rPr>
                      <w:t></w:t>
                    </w:r>
                    <w:r>
                      <w:rPr>
                        <w:w w:val="15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before="76"/>
        <w:ind w:left="2251" w:right="993" w:hanging="1440"/>
        <w:jc w:val="left"/>
        <w:rPr>
          <w:b/>
          <w:sz w:val="24"/>
        </w:rPr>
      </w:pPr>
      <w:r>
        <w:rPr>
          <w:b/>
          <w:sz w:val="24"/>
        </w:rPr>
        <w:t>Appendix 3: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Error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Correction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Representations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ARDL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 of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Balance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Payments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2"/>
        <w:spacing w:before="0"/>
      </w:pPr>
      <w:r>
        <w:rPr/>
        <w:pict>
          <v:shape style="position:absolute;margin-left:100.940002pt;margin-top:-.436905pt;width:442.55pt;height:422.45pt;mso-position-horizontal-relative:page;mso-position-vertical-relative:paragraph;z-index:-25303040" coordorigin="2019,-9" coordsize="8851,8449" path="m2028,8431l2019,8431,2019,8440,2028,8440,2028,8431xm10859,-9l2028,-9,2019,-9,2019,1,2019,8431,2028,8431,2028,1,10859,1,10859,-9xm10869,-9l10860,-9,10860,1,10869,1,10869,-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.420006pt;margin-top:.043095pt;width:442.05pt;height:422pt;mso-position-horizontal-relative:page;mso-position-vertical-relative:paragraph;z-index:-25302528" coordorigin="2028,1" coordsize="8841,8440" path="m10859,8431l2028,8431,2028,8440,10859,8440,10859,8431xm10869,8431l10860,8431,10860,8440,10869,8440,10869,8431xm10869,1l10860,1,10860,8431,10869,8431,10869,1xe" filled="true" fillcolor="#000000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-2"/>
        </w:rPr>
        <w:t> </w:t>
      </w:r>
      <w:r>
        <w:rPr/>
        <w:t>Overall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Payments</w:t>
      </w:r>
      <w:r>
        <w:rPr>
          <w:spacing w:val="-1"/>
        </w:rPr>
        <w:t> </w:t>
      </w:r>
      <w:r>
        <w:rPr/>
        <w:t>Equations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4"/>
        <w:rPr>
          <w:b/>
          <w:sz w:val="8"/>
        </w:rPr>
      </w:pPr>
    </w:p>
    <w:p>
      <w:pPr>
        <w:tabs>
          <w:tab w:pos="3847" w:val="left" w:leader="none"/>
          <w:tab w:pos="5371" w:val="left" w:leader="none"/>
          <w:tab w:pos="6911" w:val="left" w:leader="none"/>
        </w:tabs>
        <w:spacing w:line="48" w:lineRule="exact" w:before="0"/>
        <w:ind w:left="2339" w:right="0" w:firstLine="0"/>
        <w:jc w:val="left"/>
        <w:rPr>
          <w:i/>
          <w:sz w:val="10"/>
        </w:rPr>
      </w:pPr>
      <w:r>
        <w:rPr>
          <w:i/>
          <w:w w:val="125"/>
          <w:sz w:val="10"/>
        </w:rPr>
        <w:t>k</w:t>
        <w:tab/>
        <w:t>k</w:t>
        <w:tab/>
        <w:t>k</w:t>
        <w:tab/>
        <w:t>k</w:t>
      </w:r>
    </w:p>
    <w:p>
      <w:pPr>
        <w:spacing w:after="0" w:line="48" w:lineRule="exact"/>
        <w:jc w:val="left"/>
        <w:rPr>
          <w:sz w:val="10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line="165" w:lineRule="exact" w:before="2"/>
        <w:ind w:left="843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20"/>
          <w:sz w:val="17"/>
        </w:rPr>
        <w:t></w:t>
      </w:r>
      <w:r>
        <w:rPr>
          <w:i/>
          <w:w w:val="120"/>
          <w:sz w:val="17"/>
        </w:rPr>
        <w:t>L</w:t>
      </w:r>
      <w:r>
        <w:rPr>
          <w:i/>
          <w:spacing w:val="-20"/>
          <w:w w:val="120"/>
          <w:sz w:val="17"/>
        </w:rPr>
        <w:t> </w:t>
      </w:r>
      <w:r>
        <w:rPr>
          <w:w w:val="120"/>
          <w:sz w:val="17"/>
        </w:rPr>
        <w:t>n</w:t>
      </w:r>
      <w:r>
        <w:rPr>
          <w:spacing w:val="-7"/>
          <w:w w:val="120"/>
          <w:sz w:val="17"/>
        </w:rPr>
        <w:t> </w:t>
      </w:r>
      <w:r>
        <w:rPr>
          <w:i/>
          <w:w w:val="120"/>
          <w:sz w:val="17"/>
        </w:rPr>
        <w:t>BoP</w:t>
      </w:r>
      <w:r>
        <w:rPr>
          <w:i/>
          <w:spacing w:val="28"/>
          <w:w w:val="120"/>
          <w:sz w:val="17"/>
        </w:rPr>
        <w:t> </w:t>
      </w:r>
      <w:r>
        <w:rPr>
          <w:rFonts w:ascii="Symbol" w:hAnsi="Symbol"/>
          <w:w w:val="120"/>
          <w:sz w:val="17"/>
        </w:rPr>
        <w:t></w:t>
      </w:r>
      <w:r>
        <w:rPr>
          <w:spacing w:val="-17"/>
          <w:w w:val="120"/>
          <w:sz w:val="17"/>
        </w:rPr>
        <w:t> </w:t>
      </w:r>
      <w:r>
        <w:rPr>
          <w:rFonts w:ascii="Symbol" w:hAnsi="Symbol"/>
          <w:w w:val="120"/>
          <w:sz w:val="19"/>
        </w:rPr>
        <w:t></w:t>
      </w:r>
      <w:r>
        <w:rPr>
          <w:w w:val="120"/>
          <w:sz w:val="19"/>
        </w:rPr>
        <w:t> </w:t>
      </w:r>
      <w:r>
        <w:rPr>
          <w:spacing w:val="23"/>
          <w:w w:val="120"/>
          <w:sz w:val="19"/>
        </w:rPr>
        <w:t> </w:t>
      </w:r>
      <w:r>
        <w:rPr>
          <w:rFonts w:ascii="Symbol" w:hAnsi="Symbol"/>
          <w:w w:val="120"/>
          <w:sz w:val="17"/>
        </w:rPr>
        <w:t></w:t>
      </w:r>
      <w:r>
        <w:rPr>
          <w:spacing w:val="-12"/>
          <w:w w:val="120"/>
          <w:sz w:val="17"/>
        </w:rPr>
        <w:t> </w:t>
      </w:r>
      <w:r>
        <w:rPr>
          <w:rFonts w:ascii="Symbol" w:hAnsi="Symbol"/>
          <w:w w:val="120"/>
          <w:position w:val="-3"/>
          <w:sz w:val="26"/>
        </w:rPr>
        <w:t></w:t>
      </w:r>
      <w:r>
        <w:rPr>
          <w:rFonts w:ascii="Symbol" w:hAnsi="Symbol"/>
          <w:w w:val="120"/>
          <w:sz w:val="19"/>
        </w:rPr>
        <w:t></w:t>
      </w:r>
      <w:r>
        <w:rPr>
          <w:spacing w:val="54"/>
          <w:w w:val="120"/>
          <w:sz w:val="19"/>
        </w:rPr>
        <w:t> </w:t>
      </w:r>
      <w:r>
        <w:rPr>
          <w:rFonts w:ascii="Symbol" w:hAnsi="Symbol"/>
          <w:w w:val="120"/>
          <w:sz w:val="17"/>
        </w:rPr>
        <w:t></w:t>
      </w:r>
      <w:r>
        <w:rPr>
          <w:i/>
          <w:w w:val="120"/>
          <w:sz w:val="17"/>
        </w:rPr>
        <w:t>LnBoP  </w:t>
      </w:r>
      <w:r>
        <w:rPr>
          <w:i/>
          <w:spacing w:val="35"/>
          <w:w w:val="120"/>
          <w:sz w:val="17"/>
        </w:rPr>
        <w:t> </w:t>
      </w:r>
      <w:r>
        <w:rPr>
          <w:rFonts w:ascii="Symbol" w:hAnsi="Symbol"/>
          <w:w w:val="120"/>
          <w:sz w:val="17"/>
        </w:rPr>
        <w:t></w:t>
      </w:r>
      <w:r>
        <w:rPr>
          <w:spacing w:val="-12"/>
          <w:w w:val="120"/>
          <w:sz w:val="17"/>
        </w:rPr>
        <w:t> </w:t>
      </w:r>
      <w:r>
        <w:rPr>
          <w:rFonts w:ascii="Symbol" w:hAnsi="Symbol"/>
          <w:w w:val="120"/>
          <w:position w:val="-3"/>
          <w:sz w:val="26"/>
        </w:rPr>
        <w:t></w:t>
      </w:r>
      <w:r>
        <w:rPr>
          <w:rFonts w:ascii="Symbol" w:hAnsi="Symbol"/>
          <w:w w:val="120"/>
          <w:sz w:val="19"/>
        </w:rPr>
        <w:t></w:t>
      </w:r>
      <w:r>
        <w:rPr>
          <w:w w:val="120"/>
          <w:sz w:val="19"/>
        </w:rPr>
        <w:t> </w:t>
      </w:r>
      <w:r>
        <w:rPr>
          <w:spacing w:val="22"/>
          <w:w w:val="120"/>
          <w:sz w:val="19"/>
        </w:rPr>
        <w:t> </w:t>
      </w:r>
      <w:r>
        <w:rPr>
          <w:rFonts w:ascii="Symbol" w:hAnsi="Symbol"/>
          <w:w w:val="120"/>
          <w:sz w:val="17"/>
        </w:rPr>
        <w:t></w:t>
      </w:r>
      <w:r>
        <w:rPr>
          <w:i/>
          <w:w w:val="120"/>
          <w:sz w:val="17"/>
        </w:rPr>
        <w:t>LnREER  </w:t>
      </w:r>
      <w:r>
        <w:rPr>
          <w:i/>
          <w:spacing w:val="31"/>
          <w:w w:val="120"/>
          <w:sz w:val="17"/>
        </w:rPr>
        <w:t> </w:t>
      </w:r>
      <w:r>
        <w:rPr>
          <w:rFonts w:ascii="Symbol" w:hAnsi="Symbol"/>
          <w:w w:val="120"/>
          <w:position w:val="-3"/>
          <w:sz w:val="26"/>
        </w:rPr>
        <w:t></w:t>
      </w:r>
      <w:r>
        <w:rPr>
          <w:rFonts w:ascii="Symbol" w:hAnsi="Symbol"/>
          <w:w w:val="120"/>
          <w:sz w:val="19"/>
        </w:rPr>
        <w:t></w:t>
      </w:r>
      <w:r>
        <w:rPr>
          <w:w w:val="120"/>
          <w:sz w:val="19"/>
        </w:rPr>
        <w:t> </w:t>
      </w:r>
      <w:r>
        <w:rPr>
          <w:spacing w:val="13"/>
          <w:w w:val="120"/>
          <w:sz w:val="19"/>
        </w:rPr>
        <w:t> </w:t>
      </w:r>
      <w:r>
        <w:rPr>
          <w:rFonts w:ascii="Symbol" w:hAnsi="Symbol"/>
          <w:w w:val="120"/>
          <w:sz w:val="17"/>
        </w:rPr>
        <w:t></w:t>
      </w:r>
      <w:r>
        <w:rPr>
          <w:i/>
          <w:w w:val="120"/>
          <w:sz w:val="17"/>
        </w:rPr>
        <w:t>LnGDP</w:t>
      </w:r>
      <w:r>
        <w:rPr>
          <w:i/>
          <w:w w:val="120"/>
          <w:sz w:val="17"/>
          <w:vertAlign w:val="superscript"/>
        </w:rPr>
        <w:t>d</w:t>
      </w:r>
      <w:r>
        <w:rPr>
          <w:i/>
          <w:spacing w:val="32"/>
          <w:w w:val="120"/>
          <w:sz w:val="17"/>
          <w:vertAlign w:val="baseline"/>
        </w:rPr>
        <w:t> </w:t>
      </w:r>
      <w:r>
        <w:rPr>
          <w:rFonts w:ascii="Symbol" w:hAnsi="Symbol"/>
          <w:w w:val="120"/>
          <w:sz w:val="17"/>
          <w:vertAlign w:val="baseline"/>
        </w:rPr>
        <w:t></w:t>
      </w:r>
      <w:r>
        <w:rPr>
          <w:rFonts w:ascii="Symbol" w:hAnsi="Symbol"/>
          <w:w w:val="120"/>
          <w:position w:val="-3"/>
          <w:sz w:val="26"/>
          <w:vertAlign w:val="baseline"/>
        </w:rPr>
        <w:t></w:t>
      </w:r>
      <w:r>
        <w:rPr>
          <w:rFonts w:ascii="Symbol" w:hAnsi="Symbol"/>
          <w:w w:val="120"/>
          <w:sz w:val="19"/>
          <w:vertAlign w:val="baseline"/>
        </w:rPr>
        <w:t></w:t>
      </w:r>
    </w:p>
    <w:p>
      <w:pPr>
        <w:spacing w:line="115" w:lineRule="exact" w:before="52"/>
        <w:ind w:left="83" w:right="0" w:firstLine="0"/>
        <w:jc w:val="left"/>
        <w:rPr>
          <w:rFonts w:ascii="Symbol" w:hAnsi="Symbol"/>
          <w:sz w:val="17"/>
        </w:rPr>
      </w:pPr>
      <w:r>
        <w:rPr/>
        <w:br w:type="column"/>
      </w:r>
      <w:r>
        <w:rPr>
          <w:rFonts w:ascii="Symbol" w:hAnsi="Symbol"/>
          <w:spacing w:val="-3"/>
          <w:w w:val="125"/>
          <w:sz w:val="17"/>
        </w:rPr>
        <w:t></w:t>
      </w:r>
      <w:r>
        <w:rPr>
          <w:i/>
          <w:spacing w:val="-3"/>
          <w:w w:val="125"/>
          <w:sz w:val="17"/>
        </w:rPr>
        <w:t>LnGDP</w:t>
      </w:r>
      <w:r>
        <w:rPr>
          <w:i/>
          <w:spacing w:val="-18"/>
          <w:w w:val="125"/>
          <w:sz w:val="17"/>
        </w:rPr>
        <w:t> </w:t>
      </w:r>
      <w:r>
        <w:rPr>
          <w:i/>
          <w:spacing w:val="-2"/>
          <w:w w:val="125"/>
          <w:sz w:val="17"/>
          <w:vertAlign w:val="superscript"/>
        </w:rPr>
        <w:t>f</w:t>
      </w:r>
      <w:r>
        <w:rPr>
          <w:i/>
          <w:spacing w:val="53"/>
          <w:w w:val="125"/>
          <w:sz w:val="17"/>
          <w:vertAlign w:val="baseline"/>
        </w:rPr>
        <w:t> </w:t>
      </w:r>
      <w:r>
        <w:rPr>
          <w:rFonts w:ascii="Symbol" w:hAnsi="Symbol"/>
          <w:spacing w:val="-2"/>
          <w:w w:val="125"/>
          <w:sz w:val="17"/>
          <w:vertAlign w:val="baseline"/>
        </w:rPr>
        <w:t></w:t>
      </w:r>
    </w:p>
    <w:p>
      <w:pPr>
        <w:spacing w:after="0" w:line="115" w:lineRule="exact"/>
        <w:jc w:val="left"/>
        <w:rPr>
          <w:rFonts w:ascii="Symbol" w:hAnsi="Symbol"/>
          <w:sz w:val="17"/>
        </w:rPr>
        <w:sectPr>
          <w:type w:val="continuous"/>
          <w:pgSz w:w="12240" w:h="15840"/>
          <w:pgMar w:top="1500" w:bottom="1200" w:left="1320" w:right="440"/>
          <w:cols w:num="2" w:equalWidth="0">
            <w:col w:w="7200" w:space="40"/>
            <w:col w:w="3240"/>
          </w:cols>
        </w:sectPr>
      </w:pPr>
    </w:p>
    <w:p>
      <w:pPr>
        <w:tabs>
          <w:tab w:pos="1990" w:val="left" w:leader="none"/>
          <w:tab w:pos="2627" w:val="left" w:leader="none"/>
          <w:tab w:pos="3404" w:val="left" w:leader="none"/>
        </w:tabs>
        <w:spacing w:before="1"/>
        <w:ind w:left="2293" w:right="0" w:hanging="704"/>
        <w:jc w:val="left"/>
        <w:rPr>
          <w:sz w:val="10"/>
        </w:rPr>
      </w:pPr>
      <w:r>
        <w:rPr>
          <w:i/>
          <w:w w:val="125"/>
          <w:sz w:val="10"/>
        </w:rPr>
        <w:t>t</w:t>
        <w:tab/>
      </w:r>
      <w:r>
        <w:rPr>
          <w:w w:val="125"/>
          <w:sz w:val="10"/>
        </w:rPr>
        <w:t>0</w:t>
        <w:tab/>
        <w:tab/>
        <w:t>1</w:t>
      </w:r>
      <w:r>
        <w:rPr>
          <w:i/>
          <w:w w:val="125"/>
          <w:sz w:val="10"/>
        </w:rPr>
        <w:t>i</w:t>
        <w:tab/>
      </w:r>
      <w:r>
        <w:rPr>
          <w:i/>
          <w:spacing w:val="-5"/>
          <w:w w:val="120"/>
          <w:sz w:val="10"/>
        </w:rPr>
        <w:t>t </w:t>
      </w:r>
      <w:r>
        <w:rPr>
          <w:rFonts w:ascii="Symbol" w:hAnsi="Symbol"/>
          <w:spacing w:val="-5"/>
          <w:w w:val="120"/>
          <w:sz w:val="10"/>
        </w:rPr>
        <w:t></w:t>
      </w:r>
      <w:r>
        <w:rPr>
          <w:i/>
          <w:spacing w:val="-5"/>
          <w:w w:val="120"/>
          <w:sz w:val="10"/>
        </w:rPr>
        <w:t>i</w:t>
      </w:r>
      <w:r>
        <w:rPr>
          <w:i/>
          <w:spacing w:val="-27"/>
          <w:w w:val="120"/>
          <w:sz w:val="10"/>
        </w:rPr>
        <w:t> </w:t>
      </w:r>
      <w:r>
        <w:rPr>
          <w:i/>
          <w:w w:val="125"/>
          <w:sz w:val="10"/>
        </w:rPr>
        <w:t>i</w:t>
      </w:r>
      <w:r>
        <w:rPr>
          <w:rFonts w:ascii="Symbol" w:hAnsi="Symbol"/>
          <w:w w:val="125"/>
          <w:sz w:val="10"/>
        </w:rPr>
        <w:t></w:t>
      </w:r>
      <w:r>
        <w:rPr>
          <w:w w:val="125"/>
          <w:sz w:val="10"/>
        </w:rPr>
        <w:t>1</w:t>
      </w:r>
    </w:p>
    <w:p>
      <w:pPr>
        <w:pStyle w:val="BodyText"/>
        <w:spacing w:before="6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194" w:right="0" w:firstLine="0"/>
        <w:jc w:val="left"/>
        <w:rPr>
          <w:sz w:val="10"/>
        </w:rPr>
      </w:pPr>
      <w:r>
        <w:rPr>
          <w:i/>
          <w:w w:val="120"/>
          <w:sz w:val="10"/>
        </w:rPr>
        <w:t>i</w:t>
      </w:r>
      <w:r>
        <w:rPr>
          <w:rFonts w:ascii="Symbol" w:hAnsi="Symbol"/>
          <w:w w:val="120"/>
          <w:sz w:val="10"/>
        </w:rPr>
        <w:t></w:t>
      </w:r>
      <w:r>
        <w:rPr>
          <w:w w:val="120"/>
          <w:sz w:val="10"/>
        </w:rPr>
        <w:t>0</w:t>
      </w:r>
    </w:p>
    <w:p>
      <w:pPr>
        <w:tabs>
          <w:tab w:pos="1104" w:val="left" w:leader="none"/>
        </w:tabs>
        <w:spacing w:before="1"/>
        <w:ind w:left="141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25"/>
          <w:sz w:val="10"/>
        </w:rPr>
        <w:t>2</w:t>
      </w:r>
      <w:r>
        <w:rPr>
          <w:i/>
          <w:w w:val="125"/>
          <w:sz w:val="10"/>
        </w:rPr>
        <w:t>i</w:t>
        <w:tab/>
      </w:r>
      <w:r>
        <w:rPr>
          <w:i/>
          <w:spacing w:val="-5"/>
          <w:w w:val="120"/>
          <w:sz w:val="10"/>
        </w:rPr>
        <w:t>t</w:t>
      </w:r>
      <w:r>
        <w:rPr>
          <w:i/>
          <w:spacing w:val="-16"/>
          <w:w w:val="120"/>
          <w:sz w:val="10"/>
        </w:rPr>
        <w:t> </w:t>
      </w:r>
      <w:r>
        <w:rPr>
          <w:rFonts w:ascii="Symbol" w:hAnsi="Symbol"/>
          <w:spacing w:val="-5"/>
          <w:w w:val="120"/>
          <w:sz w:val="10"/>
        </w:rPr>
        <w:t></w:t>
      </w:r>
      <w:r>
        <w:rPr>
          <w:i/>
          <w:spacing w:val="-5"/>
          <w:w w:val="120"/>
          <w:sz w:val="10"/>
        </w:rPr>
        <w:t>i</w:t>
      </w:r>
    </w:p>
    <w:p>
      <w:pPr>
        <w:spacing w:line="114" w:lineRule="exact" w:before="8"/>
        <w:ind w:left="365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20"/>
          <w:sz w:val="10"/>
        </w:rPr>
        <w:t>3</w:t>
      </w:r>
      <w:r>
        <w:rPr>
          <w:i/>
          <w:w w:val="120"/>
          <w:sz w:val="10"/>
        </w:rPr>
        <w:t>i</w:t>
      </w:r>
    </w:p>
    <w:p>
      <w:pPr>
        <w:spacing w:line="122" w:lineRule="exact" w:before="0"/>
        <w:ind w:left="11" w:right="0" w:firstLine="0"/>
        <w:jc w:val="left"/>
        <w:rPr>
          <w:sz w:val="10"/>
        </w:rPr>
      </w:pPr>
      <w:r>
        <w:rPr>
          <w:i/>
          <w:w w:val="125"/>
          <w:sz w:val="10"/>
        </w:rPr>
        <w:t>i</w:t>
      </w:r>
      <w:r>
        <w:rPr>
          <w:rFonts w:ascii="Symbol" w:hAnsi="Symbol"/>
          <w:w w:val="125"/>
          <w:sz w:val="10"/>
        </w:rPr>
        <w:t></w:t>
      </w:r>
      <w:r>
        <w:rPr>
          <w:w w:val="125"/>
          <w:sz w:val="10"/>
        </w:rPr>
        <w:t>0</w:t>
      </w:r>
    </w:p>
    <w:p>
      <w:pPr>
        <w:spacing w:before="57"/>
        <w:ind w:left="0" w:right="0" w:firstLine="0"/>
        <w:jc w:val="right"/>
        <w:rPr>
          <w:i/>
          <w:sz w:val="7"/>
        </w:rPr>
      </w:pPr>
      <w:r>
        <w:rPr/>
        <w:br w:type="column"/>
      </w:r>
      <w:r>
        <w:rPr>
          <w:i/>
          <w:w w:val="130"/>
          <w:sz w:val="7"/>
        </w:rPr>
        <w:t>t</w:t>
      </w:r>
      <w:r>
        <w:rPr>
          <w:rFonts w:ascii="Symbol" w:hAnsi="Symbol"/>
          <w:w w:val="130"/>
          <w:sz w:val="7"/>
        </w:rPr>
        <w:t></w:t>
      </w:r>
      <w:r>
        <w:rPr>
          <w:i/>
          <w:w w:val="130"/>
          <w:sz w:val="7"/>
        </w:rPr>
        <w:t>i</w:t>
      </w:r>
      <w:r>
        <w:rPr>
          <w:i/>
          <w:sz w:val="7"/>
        </w:rPr>
        <w:t>  </w:t>
      </w:r>
      <w:r>
        <w:rPr>
          <w:i/>
          <w:spacing w:val="1"/>
          <w:sz w:val="7"/>
        </w:rPr>
        <w:t> </w:t>
      </w:r>
    </w:p>
    <w:p>
      <w:pPr>
        <w:pStyle w:val="BodyText"/>
        <w:spacing w:before="6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spacing w:before="0"/>
        <w:ind w:left="124" w:right="0" w:firstLine="0"/>
        <w:jc w:val="left"/>
        <w:rPr>
          <w:sz w:val="10"/>
        </w:rPr>
      </w:pPr>
      <w:r>
        <w:rPr>
          <w:i/>
          <w:w w:val="120"/>
          <w:sz w:val="10"/>
        </w:rPr>
        <w:t>i</w:t>
      </w:r>
      <w:r>
        <w:rPr>
          <w:rFonts w:ascii="Symbol" w:hAnsi="Symbol"/>
          <w:w w:val="120"/>
          <w:sz w:val="10"/>
        </w:rPr>
        <w:t></w:t>
      </w:r>
      <w:r>
        <w:rPr>
          <w:w w:val="120"/>
          <w:sz w:val="10"/>
        </w:rPr>
        <w:t>0</w:t>
      </w:r>
    </w:p>
    <w:p>
      <w:pPr>
        <w:tabs>
          <w:tab w:pos="996" w:val="left" w:leader="none"/>
        </w:tabs>
        <w:spacing w:before="1"/>
        <w:ind w:left="141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25"/>
          <w:sz w:val="10"/>
        </w:rPr>
        <w:t>4</w:t>
      </w:r>
      <w:r>
        <w:rPr>
          <w:i/>
          <w:w w:val="125"/>
          <w:sz w:val="10"/>
        </w:rPr>
        <w:t>i</w:t>
        <w:tab/>
      </w:r>
      <w:r>
        <w:rPr>
          <w:i/>
          <w:w w:val="120"/>
          <w:sz w:val="10"/>
        </w:rPr>
        <w:t>t</w:t>
      </w:r>
      <w:r>
        <w:rPr>
          <w:i/>
          <w:spacing w:val="-13"/>
          <w:w w:val="120"/>
          <w:sz w:val="10"/>
        </w:rPr>
        <w:t> </w:t>
      </w:r>
      <w:r>
        <w:rPr>
          <w:rFonts w:ascii="Symbol" w:hAnsi="Symbol"/>
          <w:w w:val="120"/>
          <w:sz w:val="10"/>
        </w:rPr>
        <w:t></w:t>
      </w:r>
      <w:r>
        <w:rPr>
          <w:i/>
          <w:w w:val="120"/>
          <w:sz w:val="10"/>
        </w:rPr>
        <w:t>i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7" w:equalWidth="0">
            <w:col w:w="3556" w:space="40"/>
            <w:col w:w="372" w:space="39"/>
            <w:col w:w="1256" w:space="39"/>
            <w:col w:w="462" w:space="40"/>
            <w:col w:w="885" w:space="40"/>
            <w:col w:w="302" w:space="39"/>
            <w:col w:w="3410"/>
          </w:cols>
        </w:sectPr>
      </w:pPr>
    </w:p>
    <w:p>
      <w:pPr>
        <w:tabs>
          <w:tab w:pos="2532" w:val="left" w:leader="none"/>
        </w:tabs>
        <w:spacing w:line="48" w:lineRule="exact" w:before="48"/>
        <w:ind w:left="1046" w:right="0" w:firstLine="0"/>
        <w:jc w:val="left"/>
        <w:rPr>
          <w:i/>
          <w:sz w:val="10"/>
        </w:rPr>
      </w:pPr>
      <w:r>
        <w:rPr>
          <w:i/>
          <w:w w:val="125"/>
          <w:sz w:val="10"/>
        </w:rPr>
        <w:t>k</w:t>
        <w:tab/>
        <w:t>k</w:t>
      </w:r>
    </w:p>
    <w:p>
      <w:pPr>
        <w:spacing w:after="0" w:line="48" w:lineRule="exact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2299" w:val="left" w:leader="none"/>
        </w:tabs>
        <w:spacing w:line="165" w:lineRule="exact" w:before="2"/>
        <w:ind w:left="843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25"/>
          <w:sz w:val="17"/>
        </w:rPr>
        <w:t></w:t>
      </w:r>
      <w:r>
        <w:rPr>
          <w:rFonts w:ascii="Symbol" w:hAnsi="Symbol"/>
          <w:w w:val="125"/>
          <w:position w:val="-3"/>
          <w:sz w:val="26"/>
        </w:rPr>
        <w:t></w:t>
      </w:r>
      <w:r>
        <w:rPr>
          <w:rFonts w:ascii="Symbol" w:hAnsi="Symbol"/>
          <w:w w:val="125"/>
          <w:sz w:val="19"/>
        </w:rPr>
        <w:t></w:t>
      </w:r>
      <w:r>
        <w:rPr>
          <w:spacing w:val="55"/>
          <w:w w:val="125"/>
          <w:sz w:val="19"/>
        </w:rPr>
        <w:t> </w:t>
      </w:r>
      <w:r>
        <w:rPr>
          <w:rFonts w:ascii="Symbol" w:hAnsi="Symbol"/>
          <w:w w:val="125"/>
          <w:sz w:val="17"/>
        </w:rPr>
        <w:t></w:t>
      </w:r>
      <w:r>
        <w:rPr>
          <w:i/>
          <w:w w:val="125"/>
          <w:sz w:val="17"/>
        </w:rPr>
        <w:t>LnMS</w:t>
        <w:tab/>
      </w:r>
      <w:r>
        <w:rPr>
          <w:rFonts w:ascii="Symbol" w:hAnsi="Symbol"/>
          <w:spacing w:val="-4"/>
          <w:w w:val="120"/>
          <w:sz w:val="17"/>
        </w:rPr>
        <w:t></w:t>
      </w:r>
      <w:r>
        <w:rPr>
          <w:spacing w:val="-14"/>
          <w:w w:val="120"/>
          <w:sz w:val="17"/>
        </w:rPr>
        <w:t> </w:t>
      </w:r>
      <w:r>
        <w:rPr>
          <w:rFonts w:ascii="Symbol" w:hAnsi="Symbol"/>
          <w:spacing w:val="-4"/>
          <w:w w:val="120"/>
          <w:position w:val="-3"/>
          <w:sz w:val="26"/>
        </w:rPr>
        <w:t></w:t>
      </w:r>
      <w:r>
        <w:rPr>
          <w:rFonts w:ascii="Symbol" w:hAnsi="Symbol"/>
          <w:spacing w:val="-4"/>
          <w:w w:val="120"/>
          <w:sz w:val="19"/>
        </w:rPr>
        <w:t></w:t>
      </w:r>
    </w:p>
    <w:p>
      <w:pPr>
        <w:spacing w:line="115" w:lineRule="exact" w:before="52"/>
        <w:ind w:left="84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pacing w:val="-2"/>
          <w:w w:val="125"/>
          <w:sz w:val="17"/>
        </w:rPr>
        <w:t></w:t>
      </w:r>
      <w:r>
        <w:rPr>
          <w:i/>
          <w:spacing w:val="-2"/>
          <w:w w:val="125"/>
          <w:sz w:val="17"/>
        </w:rPr>
        <w:t>IR</w:t>
      </w:r>
    </w:p>
    <w:p>
      <w:pPr>
        <w:spacing w:line="135" w:lineRule="exact" w:before="32"/>
        <w:ind w:left="157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pacing w:val="-1"/>
          <w:w w:val="120"/>
          <w:sz w:val="17"/>
        </w:rPr>
        <w:t></w:t>
      </w:r>
      <w:r>
        <w:rPr>
          <w:spacing w:val="-31"/>
          <w:w w:val="120"/>
          <w:sz w:val="17"/>
        </w:rPr>
        <w:t> </w:t>
      </w:r>
      <w:r>
        <w:rPr>
          <w:rFonts w:ascii="Symbol" w:hAnsi="Symbol"/>
          <w:spacing w:val="-1"/>
          <w:w w:val="120"/>
          <w:sz w:val="19"/>
        </w:rPr>
        <w:t></w:t>
      </w:r>
      <w:r>
        <w:rPr>
          <w:spacing w:val="24"/>
          <w:w w:val="120"/>
          <w:sz w:val="19"/>
        </w:rPr>
        <w:t> </w:t>
      </w:r>
      <w:r>
        <w:rPr>
          <w:i/>
          <w:w w:val="120"/>
          <w:sz w:val="17"/>
        </w:rPr>
        <w:t>D</w:t>
      </w:r>
      <w:r>
        <w:rPr>
          <w:i/>
          <w:spacing w:val="28"/>
          <w:w w:val="120"/>
          <w:sz w:val="17"/>
        </w:rPr>
        <w:t> </w:t>
      </w:r>
      <w:r>
        <w:rPr>
          <w:rFonts w:ascii="Symbol" w:hAnsi="Symbol"/>
          <w:w w:val="120"/>
          <w:sz w:val="17"/>
        </w:rPr>
        <w:t></w:t>
      </w:r>
      <w:r>
        <w:rPr>
          <w:spacing w:val="-17"/>
          <w:w w:val="120"/>
          <w:sz w:val="17"/>
        </w:rPr>
        <w:t> </w:t>
      </w:r>
      <w:r>
        <w:rPr>
          <w:rFonts w:ascii="Symbol" w:hAnsi="Symbol"/>
          <w:w w:val="120"/>
          <w:sz w:val="19"/>
        </w:rPr>
        <w:t></w:t>
      </w:r>
      <w:r>
        <w:rPr>
          <w:spacing w:val="-8"/>
          <w:w w:val="120"/>
          <w:sz w:val="19"/>
        </w:rPr>
        <w:t> </w:t>
      </w:r>
      <w:r>
        <w:rPr>
          <w:i/>
          <w:w w:val="120"/>
          <w:sz w:val="17"/>
        </w:rPr>
        <w:t>LnBoP</w:t>
      </w:r>
    </w:p>
    <w:p>
      <w:pPr>
        <w:pStyle w:val="ListParagraph"/>
        <w:numPr>
          <w:ilvl w:val="0"/>
          <w:numId w:val="20"/>
        </w:numPr>
        <w:tabs>
          <w:tab w:pos="288" w:val="left" w:leader="none"/>
        </w:tabs>
        <w:spacing w:line="135" w:lineRule="exact" w:before="32" w:after="0"/>
        <w:ind w:left="287" w:right="0" w:hanging="152"/>
        <w:jc w:val="left"/>
        <w:rPr>
          <w:i/>
          <w:sz w:val="17"/>
        </w:rPr>
      </w:pPr>
      <w:r>
        <w:rPr>
          <w:rFonts w:ascii="Symbol" w:hAnsi="Symbol"/>
          <w:w w:val="111"/>
          <w:sz w:val="19"/>
        </w:rPr>
        <w:br w:type="column"/>
      </w:r>
      <w:r>
        <w:rPr>
          <w:rFonts w:ascii="Symbol" w:hAnsi="Symbol"/>
          <w:w w:val="120"/>
          <w:sz w:val="19"/>
        </w:rPr>
        <w:t></w:t>
      </w:r>
      <w:r>
        <w:rPr>
          <w:spacing w:val="9"/>
          <w:w w:val="120"/>
          <w:sz w:val="19"/>
        </w:rPr>
        <w:t> </w:t>
      </w:r>
      <w:r>
        <w:rPr>
          <w:i/>
          <w:w w:val="120"/>
          <w:sz w:val="17"/>
        </w:rPr>
        <w:t>LnREER</w:t>
      </w:r>
    </w:p>
    <w:p>
      <w:pPr>
        <w:pStyle w:val="ListParagraph"/>
        <w:numPr>
          <w:ilvl w:val="0"/>
          <w:numId w:val="20"/>
        </w:numPr>
        <w:tabs>
          <w:tab w:pos="315" w:val="left" w:leader="none"/>
        </w:tabs>
        <w:spacing w:line="135" w:lineRule="exact" w:before="32" w:after="0"/>
        <w:ind w:left="314" w:right="0" w:hanging="152"/>
        <w:jc w:val="left"/>
        <w:rPr>
          <w:rFonts w:ascii="Symbol" w:hAnsi="Symbol"/>
          <w:sz w:val="19"/>
        </w:rPr>
      </w:pPr>
      <w:r>
        <w:rPr>
          <w:rFonts w:ascii="Symbol" w:hAnsi="Symbol"/>
          <w:w w:val="111"/>
          <w:sz w:val="19"/>
        </w:rPr>
        <w:br w:type="column"/>
      </w:r>
      <w:r>
        <w:rPr>
          <w:rFonts w:ascii="Symbol" w:hAnsi="Symbol"/>
          <w:w w:val="120"/>
          <w:sz w:val="19"/>
        </w:rPr>
        <w:t></w:t>
      </w:r>
      <w:r>
        <w:rPr>
          <w:spacing w:val="8"/>
          <w:w w:val="120"/>
          <w:sz w:val="19"/>
        </w:rPr>
        <w:t> </w:t>
      </w:r>
      <w:r>
        <w:rPr>
          <w:i/>
          <w:w w:val="120"/>
          <w:sz w:val="17"/>
        </w:rPr>
        <w:t>LnGDP</w:t>
      </w:r>
      <w:r>
        <w:rPr>
          <w:i/>
          <w:w w:val="120"/>
          <w:sz w:val="17"/>
          <w:vertAlign w:val="superscript"/>
        </w:rPr>
        <w:t>d</w:t>
      </w:r>
      <w:r>
        <w:rPr>
          <w:i/>
          <w:spacing w:val="32"/>
          <w:w w:val="120"/>
          <w:sz w:val="17"/>
          <w:vertAlign w:val="baseline"/>
        </w:rPr>
        <w:t> </w:t>
      </w:r>
      <w:r>
        <w:rPr>
          <w:rFonts w:ascii="Symbol" w:hAnsi="Symbol"/>
          <w:w w:val="120"/>
          <w:sz w:val="17"/>
          <w:vertAlign w:val="baseline"/>
        </w:rPr>
        <w:t></w:t>
      </w:r>
      <w:r>
        <w:rPr>
          <w:spacing w:val="-16"/>
          <w:w w:val="120"/>
          <w:sz w:val="17"/>
          <w:vertAlign w:val="baseline"/>
        </w:rPr>
        <w:t> </w:t>
      </w:r>
      <w:r>
        <w:rPr>
          <w:rFonts w:ascii="Symbol" w:hAnsi="Symbol"/>
          <w:w w:val="120"/>
          <w:sz w:val="19"/>
          <w:vertAlign w:val="baseline"/>
        </w:rPr>
        <w:t></w:t>
      </w:r>
      <w:r>
        <w:rPr>
          <w:spacing w:val="16"/>
          <w:w w:val="120"/>
          <w:sz w:val="19"/>
          <w:vertAlign w:val="baseline"/>
        </w:rPr>
        <w:t> </w:t>
      </w:r>
      <w:r>
        <w:rPr>
          <w:i/>
          <w:w w:val="120"/>
          <w:sz w:val="17"/>
          <w:vertAlign w:val="baseline"/>
        </w:rPr>
        <w:t>LnGDP</w:t>
      </w:r>
      <w:r>
        <w:rPr>
          <w:i/>
          <w:spacing w:val="-14"/>
          <w:w w:val="120"/>
          <w:sz w:val="17"/>
          <w:vertAlign w:val="baseline"/>
        </w:rPr>
        <w:t> </w:t>
      </w:r>
      <w:r>
        <w:rPr>
          <w:i/>
          <w:w w:val="120"/>
          <w:sz w:val="17"/>
          <w:vertAlign w:val="superscript"/>
        </w:rPr>
        <w:t>f</w:t>
      </w:r>
      <w:r>
        <w:rPr>
          <w:i/>
          <w:spacing w:val="37"/>
          <w:w w:val="120"/>
          <w:sz w:val="17"/>
          <w:vertAlign w:val="baseline"/>
        </w:rPr>
        <w:t> </w:t>
      </w:r>
      <w:r>
        <w:rPr>
          <w:rFonts w:ascii="Symbol" w:hAnsi="Symbol"/>
          <w:w w:val="120"/>
          <w:sz w:val="17"/>
          <w:vertAlign w:val="baseline"/>
        </w:rPr>
        <w:t></w:t>
      </w:r>
      <w:r>
        <w:rPr>
          <w:spacing w:val="-22"/>
          <w:w w:val="120"/>
          <w:sz w:val="17"/>
          <w:vertAlign w:val="baseline"/>
        </w:rPr>
        <w:t> </w:t>
      </w:r>
      <w:r>
        <w:rPr>
          <w:rFonts w:ascii="Symbol" w:hAnsi="Symbol"/>
          <w:w w:val="120"/>
          <w:sz w:val="19"/>
          <w:vertAlign w:val="baseline"/>
        </w:rPr>
        <w:t></w:t>
      </w:r>
    </w:p>
    <w:p>
      <w:pPr>
        <w:spacing w:after="0" w:line="135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top="1500" w:bottom="1200" w:left="1320" w:right="440"/>
          <w:cols w:num="5" w:equalWidth="0">
            <w:col w:w="2823" w:space="40"/>
            <w:col w:w="412" w:space="39"/>
            <w:col w:w="1646" w:space="39"/>
            <w:col w:w="1210" w:space="39"/>
            <w:col w:w="4232"/>
          </w:cols>
        </w:sectPr>
      </w:pPr>
    </w:p>
    <w:p>
      <w:pPr>
        <w:pStyle w:val="BodyText"/>
        <w:spacing w:before="11"/>
        <w:rPr>
          <w:rFonts w:ascii="Symbol" w:hAnsi="Symbol"/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i/>
          <w:w w:val="125"/>
          <w:sz w:val="10"/>
        </w:rPr>
        <w:t>i</w:t>
      </w:r>
      <w:r>
        <w:rPr>
          <w:rFonts w:ascii="Symbol" w:hAnsi="Symbol"/>
          <w:w w:val="125"/>
          <w:sz w:val="10"/>
        </w:rPr>
        <w:t></w:t>
      </w:r>
      <w:r>
        <w:rPr>
          <w:w w:val="125"/>
          <w:sz w:val="10"/>
        </w:rPr>
        <w:t>0</w:t>
      </w:r>
    </w:p>
    <w:p>
      <w:pPr>
        <w:tabs>
          <w:tab w:pos="884" w:val="left" w:leader="none"/>
        </w:tabs>
        <w:spacing w:before="1"/>
        <w:ind w:left="139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25"/>
          <w:sz w:val="10"/>
        </w:rPr>
        <w:t>6</w:t>
      </w:r>
      <w:r>
        <w:rPr>
          <w:i/>
          <w:w w:val="125"/>
          <w:sz w:val="10"/>
        </w:rPr>
        <w:t>i</w:t>
        <w:tab/>
      </w:r>
      <w:r>
        <w:rPr>
          <w:i/>
          <w:spacing w:val="-5"/>
          <w:w w:val="120"/>
          <w:sz w:val="10"/>
        </w:rPr>
        <w:t>t</w:t>
      </w:r>
      <w:r>
        <w:rPr>
          <w:i/>
          <w:spacing w:val="-17"/>
          <w:w w:val="120"/>
          <w:sz w:val="10"/>
        </w:rPr>
        <w:t> </w:t>
      </w:r>
      <w:r>
        <w:rPr>
          <w:rFonts w:ascii="Symbol" w:hAnsi="Symbol"/>
          <w:spacing w:val="-5"/>
          <w:w w:val="120"/>
          <w:sz w:val="10"/>
        </w:rPr>
        <w:t></w:t>
      </w:r>
      <w:r>
        <w:rPr>
          <w:i/>
          <w:spacing w:val="-5"/>
          <w:w w:val="120"/>
          <w:sz w:val="10"/>
        </w:rPr>
        <w:t>i</w:t>
      </w:r>
    </w:p>
    <w:p>
      <w:pPr>
        <w:pStyle w:val="BodyText"/>
        <w:spacing w:before="6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spacing w:before="0"/>
        <w:ind w:left="194" w:right="0" w:firstLine="0"/>
        <w:jc w:val="left"/>
        <w:rPr>
          <w:sz w:val="10"/>
        </w:rPr>
      </w:pPr>
      <w:r>
        <w:rPr>
          <w:i/>
          <w:w w:val="120"/>
          <w:sz w:val="10"/>
        </w:rPr>
        <w:t>i</w:t>
      </w:r>
      <w:r>
        <w:rPr>
          <w:rFonts w:ascii="Symbol" w:hAnsi="Symbol"/>
          <w:w w:val="120"/>
          <w:sz w:val="10"/>
        </w:rPr>
        <w:t></w:t>
      </w:r>
      <w:r>
        <w:rPr>
          <w:w w:val="120"/>
          <w:sz w:val="10"/>
        </w:rPr>
        <w:t>0</w:t>
      </w:r>
    </w:p>
    <w:p>
      <w:pPr>
        <w:tabs>
          <w:tab w:pos="568" w:val="left" w:leader="none"/>
        </w:tabs>
        <w:spacing w:before="1"/>
        <w:ind w:left="139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25"/>
          <w:sz w:val="10"/>
        </w:rPr>
        <w:t>7</w:t>
      </w:r>
      <w:r>
        <w:rPr>
          <w:i/>
          <w:w w:val="125"/>
          <w:sz w:val="10"/>
        </w:rPr>
        <w:t>i</w:t>
        <w:tab/>
      </w:r>
      <w:r>
        <w:rPr>
          <w:i/>
          <w:spacing w:val="-5"/>
          <w:w w:val="120"/>
          <w:sz w:val="10"/>
        </w:rPr>
        <w:t>t</w:t>
      </w:r>
      <w:r>
        <w:rPr>
          <w:i/>
          <w:spacing w:val="-17"/>
          <w:w w:val="120"/>
          <w:sz w:val="10"/>
        </w:rPr>
        <w:t> </w:t>
      </w:r>
      <w:r>
        <w:rPr>
          <w:rFonts w:ascii="Symbol" w:hAnsi="Symbol"/>
          <w:spacing w:val="-5"/>
          <w:w w:val="120"/>
          <w:sz w:val="10"/>
        </w:rPr>
        <w:t></w:t>
      </w:r>
      <w:r>
        <w:rPr>
          <w:i/>
          <w:spacing w:val="-5"/>
          <w:w w:val="120"/>
          <w:sz w:val="10"/>
        </w:rPr>
        <w:t>i</w:t>
      </w:r>
    </w:p>
    <w:p>
      <w:pPr>
        <w:tabs>
          <w:tab w:pos="917" w:val="right" w:leader="none"/>
        </w:tabs>
        <w:spacing w:before="8"/>
        <w:ind w:left="297" w:right="0" w:firstLine="0"/>
        <w:jc w:val="left"/>
        <w:rPr>
          <w:sz w:val="10"/>
        </w:rPr>
      </w:pPr>
      <w:r>
        <w:rPr/>
        <w:br w:type="column"/>
      </w:r>
      <w:r>
        <w:rPr>
          <w:w w:val="120"/>
          <w:sz w:val="10"/>
        </w:rPr>
        <w:t>8    </w:t>
      </w:r>
      <w:r>
        <w:rPr>
          <w:spacing w:val="5"/>
          <w:w w:val="120"/>
          <w:sz w:val="10"/>
        </w:rPr>
        <w:t> </w:t>
      </w:r>
      <w:r>
        <w:rPr>
          <w:i/>
          <w:w w:val="125"/>
          <w:sz w:val="10"/>
        </w:rPr>
        <w:t>i</w:t>
        <w:tab/>
      </w:r>
      <w:r>
        <w:rPr>
          <w:w w:val="125"/>
          <w:sz w:val="10"/>
        </w:rPr>
        <w:t>1</w:t>
      </w:r>
    </w:p>
    <w:p>
      <w:pPr>
        <w:tabs>
          <w:tab w:pos="1050" w:val="right" w:leader="none"/>
        </w:tabs>
        <w:spacing w:before="1"/>
        <w:ind w:left="512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1"/>
          <w:w w:val="120"/>
          <w:sz w:val="10"/>
        </w:rPr>
        <w:t>t</w:t>
      </w:r>
      <w:r>
        <w:rPr>
          <w:i/>
          <w:spacing w:val="-17"/>
          <w:w w:val="120"/>
          <w:sz w:val="10"/>
        </w:rPr>
        <w:t> </w:t>
      </w:r>
      <w:r>
        <w:rPr>
          <w:rFonts w:ascii="Symbol" w:hAnsi="Symbol"/>
          <w:spacing w:val="-1"/>
          <w:w w:val="120"/>
          <w:sz w:val="10"/>
        </w:rPr>
        <w:t></w:t>
      </w:r>
      <w:r>
        <w:rPr>
          <w:spacing w:val="-1"/>
          <w:w w:val="120"/>
          <w:sz w:val="10"/>
        </w:rPr>
        <w:t>1</w:t>
        <w:tab/>
      </w:r>
      <w:r>
        <w:rPr>
          <w:w w:val="120"/>
          <w:sz w:val="10"/>
        </w:rPr>
        <w:t>2</w:t>
      </w:r>
    </w:p>
    <w:p>
      <w:pPr>
        <w:tabs>
          <w:tab w:pos="1232" w:val="right" w:leader="none"/>
        </w:tabs>
        <w:spacing w:before="1"/>
        <w:ind w:left="698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1"/>
          <w:w w:val="120"/>
          <w:sz w:val="10"/>
        </w:rPr>
        <w:t>t</w:t>
      </w:r>
      <w:r>
        <w:rPr>
          <w:i/>
          <w:spacing w:val="-17"/>
          <w:w w:val="120"/>
          <w:sz w:val="10"/>
        </w:rPr>
        <w:t> </w:t>
      </w:r>
      <w:r>
        <w:rPr>
          <w:rFonts w:ascii="Symbol" w:hAnsi="Symbol"/>
          <w:spacing w:val="-1"/>
          <w:w w:val="120"/>
          <w:sz w:val="10"/>
        </w:rPr>
        <w:t></w:t>
      </w:r>
      <w:r>
        <w:rPr>
          <w:spacing w:val="-1"/>
          <w:w w:val="120"/>
          <w:sz w:val="10"/>
        </w:rPr>
        <w:t>1</w:t>
        <w:tab/>
      </w:r>
      <w:r>
        <w:rPr>
          <w:w w:val="120"/>
          <w:sz w:val="10"/>
        </w:rPr>
        <w:t>3</w:t>
      </w:r>
    </w:p>
    <w:p>
      <w:pPr>
        <w:tabs>
          <w:tab w:pos="1101" w:val="right" w:leader="none"/>
        </w:tabs>
        <w:spacing w:before="4"/>
        <w:ind w:left="598" w:right="0" w:firstLine="0"/>
        <w:jc w:val="left"/>
        <w:rPr>
          <w:sz w:val="10"/>
        </w:rPr>
      </w:pPr>
      <w:r>
        <w:rPr/>
        <w:br w:type="column"/>
      </w:r>
      <w:r>
        <w:rPr>
          <w:i/>
          <w:w w:val="125"/>
          <w:sz w:val="7"/>
        </w:rPr>
        <w:t>t</w:t>
      </w:r>
      <w:r>
        <w:rPr>
          <w:rFonts w:ascii="Symbol" w:hAnsi="Symbol"/>
          <w:w w:val="125"/>
          <w:sz w:val="7"/>
        </w:rPr>
        <w:t></w:t>
      </w:r>
      <w:r>
        <w:rPr>
          <w:w w:val="125"/>
          <w:sz w:val="7"/>
        </w:rPr>
        <w:t>1</w:t>
        <w:tab/>
      </w:r>
      <w:r>
        <w:rPr>
          <w:w w:val="125"/>
          <w:position w:val="3"/>
          <w:sz w:val="10"/>
        </w:rPr>
        <w:t>4</w:t>
      </w:r>
    </w:p>
    <w:p>
      <w:pPr>
        <w:tabs>
          <w:tab w:pos="1030" w:val="left" w:leader="none"/>
        </w:tabs>
        <w:spacing w:before="4"/>
        <w:ind w:left="602" w:right="0" w:firstLine="0"/>
        <w:jc w:val="left"/>
        <w:rPr>
          <w:i/>
          <w:sz w:val="10"/>
        </w:rPr>
      </w:pPr>
      <w:r>
        <w:rPr/>
        <w:br w:type="column"/>
      </w:r>
      <w:r>
        <w:rPr>
          <w:i/>
          <w:w w:val="125"/>
          <w:sz w:val="7"/>
        </w:rPr>
        <w:t>t</w:t>
      </w:r>
      <w:r>
        <w:rPr>
          <w:rFonts w:ascii="Symbol" w:hAnsi="Symbol"/>
          <w:w w:val="125"/>
          <w:sz w:val="7"/>
        </w:rPr>
        <w:t></w:t>
      </w:r>
      <w:r>
        <w:rPr>
          <w:w w:val="125"/>
          <w:sz w:val="7"/>
        </w:rPr>
        <w:t>1</w:t>
        <w:tab/>
      </w:r>
      <w:r>
        <w:rPr>
          <w:i/>
          <w:w w:val="125"/>
          <w:position w:val="3"/>
          <w:sz w:val="10"/>
        </w:rPr>
        <w:t>i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9" w:equalWidth="0">
            <w:col w:w="1166" w:space="40"/>
            <w:col w:w="1035" w:space="39"/>
            <w:col w:w="372" w:space="40"/>
            <w:col w:w="720" w:space="40"/>
            <w:col w:w="918" w:space="39"/>
            <w:col w:w="1051" w:space="39"/>
            <w:col w:w="1234" w:space="40"/>
            <w:col w:w="1102" w:space="39"/>
            <w:col w:w="2566"/>
          </w:cols>
        </w:sectPr>
      </w:pPr>
    </w:p>
    <w:p>
      <w:pPr>
        <w:pStyle w:val="Heading2"/>
        <w:spacing w:before="248"/>
      </w:pPr>
      <w:r>
        <w:rPr/>
        <w:drawing>
          <wp:anchor distT="0" distB="0" distL="0" distR="0" allowOverlap="1" layoutInCell="1" locked="0" behindDoc="1" simplePos="0" relativeHeight="478012928">
            <wp:simplePos x="0" y="0"/>
            <wp:positionH relativeFrom="page">
              <wp:posOffset>1485138</wp:posOffset>
            </wp:positionH>
            <wp:positionV relativeFrom="paragraph">
              <wp:posOffset>106719</wp:posOffset>
            </wp:positionV>
            <wp:extent cx="5102225" cy="5044439"/>
            <wp:effectExtent l="0" t="0" r="0" b="0"/>
            <wp:wrapNone/>
            <wp:docPr id="29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Balance</w:t>
      </w:r>
    </w:p>
    <w:p>
      <w:pPr>
        <w:tabs>
          <w:tab w:pos="2893" w:val="left" w:leader="none"/>
          <w:tab w:pos="4022" w:val="left" w:leader="none"/>
          <w:tab w:pos="5040" w:val="left" w:leader="none"/>
          <w:tab w:pos="6097" w:val="left" w:leader="none"/>
          <w:tab w:pos="7123" w:val="left" w:leader="none"/>
          <w:tab w:pos="8188" w:val="left" w:leader="none"/>
        </w:tabs>
        <w:spacing w:line="46" w:lineRule="exact" w:before="270"/>
        <w:ind w:left="1854" w:right="0" w:firstLine="0"/>
        <w:jc w:val="left"/>
        <w:rPr>
          <w:i/>
          <w:sz w:val="10"/>
        </w:rPr>
      </w:pPr>
      <w:r>
        <w:rPr>
          <w:i/>
          <w:w w:val="90"/>
          <w:sz w:val="10"/>
        </w:rPr>
        <w:t>k</w:t>
        <w:tab/>
        <w:t>k</w:t>
        <w:tab/>
        <w:t>k</w:t>
        <w:tab/>
        <w:t>k</w:t>
        <w:tab/>
        <w:t>k</w:t>
        <w:tab/>
        <w:t>k</w:t>
        <w:tab/>
        <w:t>k</w:t>
      </w:r>
    </w:p>
    <w:p>
      <w:pPr>
        <w:spacing w:after="0" w:line="46" w:lineRule="exact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line="173" w:lineRule="exact" w:before="3"/>
        <w:ind w:left="833" w:right="0" w:firstLine="0"/>
        <w:jc w:val="left"/>
        <w:rPr>
          <w:i/>
          <w:sz w:val="18"/>
        </w:rPr>
      </w:pPr>
      <w:r>
        <w:rPr>
          <w:rFonts w:ascii="Symbol" w:hAnsi="Symbol"/>
          <w:w w:val="75"/>
          <w:sz w:val="18"/>
        </w:rPr>
        <w:t></w:t>
      </w:r>
      <w:r>
        <w:rPr>
          <w:i/>
          <w:w w:val="75"/>
          <w:sz w:val="18"/>
        </w:rPr>
        <w:t>L</w:t>
      </w:r>
      <w:r>
        <w:rPr>
          <w:i/>
          <w:spacing w:val="-12"/>
          <w:w w:val="75"/>
          <w:sz w:val="18"/>
        </w:rPr>
        <w:t> </w:t>
      </w:r>
      <w:r>
        <w:rPr>
          <w:w w:val="75"/>
          <w:sz w:val="18"/>
        </w:rPr>
        <w:t>n</w:t>
      </w:r>
      <w:r>
        <w:rPr>
          <w:spacing w:val="-12"/>
          <w:w w:val="75"/>
          <w:sz w:val="18"/>
        </w:rPr>
        <w:t> </w:t>
      </w:r>
      <w:r>
        <w:rPr>
          <w:i/>
          <w:w w:val="75"/>
          <w:sz w:val="18"/>
        </w:rPr>
        <w:t>CAB</w:t>
      </w:r>
      <w:r>
        <w:rPr>
          <w:i/>
          <w:spacing w:val="32"/>
          <w:sz w:val="18"/>
        </w:rPr>
        <w:t> </w:t>
      </w:r>
      <w:r>
        <w:rPr>
          <w:rFonts w:ascii="Symbol" w:hAnsi="Symbol"/>
          <w:w w:val="75"/>
          <w:sz w:val="18"/>
        </w:rPr>
        <w:t></w:t>
      </w:r>
      <w:r>
        <w:rPr>
          <w:spacing w:val="6"/>
          <w:w w:val="75"/>
          <w:sz w:val="18"/>
        </w:rPr>
        <w:t> </w:t>
      </w:r>
      <w:r>
        <w:rPr>
          <w:rFonts w:ascii="Symbol" w:hAnsi="Symbol"/>
          <w:w w:val="75"/>
          <w:sz w:val="19"/>
        </w:rPr>
        <w:t></w:t>
      </w:r>
      <w:r>
        <w:rPr>
          <w:spacing w:val="49"/>
          <w:sz w:val="19"/>
        </w:rPr>
        <w:t> </w:t>
      </w:r>
      <w:r>
        <w:rPr>
          <w:rFonts w:ascii="Symbol" w:hAnsi="Symbol"/>
          <w:w w:val="75"/>
          <w:sz w:val="18"/>
        </w:rPr>
        <w:t></w:t>
      </w:r>
      <w:r>
        <w:rPr>
          <w:spacing w:val="-6"/>
          <w:w w:val="75"/>
          <w:sz w:val="18"/>
        </w:rPr>
        <w:t> </w:t>
      </w:r>
      <w:r>
        <w:rPr>
          <w:rFonts w:ascii="Symbol" w:hAnsi="Symbol"/>
          <w:w w:val="75"/>
          <w:position w:val="-3"/>
          <w:sz w:val="27"/>
        </w:rPr>
        <w:t></w:t>
      </w:r>
      <w:r>
        <w:rPr>
          <w:rFonts w:ascii="Symbol" w:hAnsi="Symbol"/>
          <w:w w:val="75"/>
          <w:sz w:val="19"/>
        </w:rPr>
        <w:t></w:t>
      </w:r>
      <w:r>
        <w:rPr>
          <w:spacing w:val="29"/>
          <w:sz w:val="19"/>
        </w:rPr>
        <w:t> </w:t>
      </w:r>
      <w:r>
        <w:rPr>
          <w:rFonts w:ascii="Symbol" w:hAnsi="Symbol"/>
          <w:w w:val="75"/>
          <w:sz w:val="18"/>
        </w:rPr>
        <w:t></w:t>
      </w:r>
      <w:r>
        <w:rPr>
          <w:i/>
          <w:w w:val="75"/>
          <w:sz w:val="18"/>
        </w:rPr>
        <w:t>LnCAB</w:t>
      </w:r>
      <w:r>
        <w:rPr>
          <w:i/>
          <w:spacing w:val="32"/>
          <w:sz w:val="18"/>
        </w:rPr>
        <w:t> </w:t>
      </w:r>
      <w:r>
        <w:rPr>
          <w:i/>
          <w:spacing w:val="32"/>
          <w:sz w:val="18"/>
        </w:rPr>
        <w:t> </w:t>
      </w:r>
      <w:r>
        <w:rPr>
          <w:rFonts w:ascii="Symbol" w:hAnsi="Symbol"/>
          <w:w w:val="75"/>
          <w:sz w:val="18"/>
        </w:rPr>
        <w:t></w:t>
      </w:r>
      <w:r>
        <w:rPr>
          <w:spacing w:val="-6"/>
          <w:w w:val="75"/>
          <w:sz w:val="18"/>
        </w:rPr>
        <w:t> </w:t>
      </w:r>
      <w:r>
        <w:rPr>
          <w:rFonts w:ascii="Symbol" w:hAnsi="Symbol"/>
          <w:w w:val="75"/>
          <w:position w:val="-3"/>
          <w:sz w:val="27"/>
        </w:rPr>
        <w:t></w:t>
      </w:r>
      <w:r>
        <w:rPr>
          <w:rFonts w:ascii="Symbol" w:hAnsi="Symbol"/>
          <w:w w:val="75"/>
          <w:sz w:val="19"/>
        </w:rPr>
        <w:t></w:t>
      </w:r>
      <w:r>
        <w:rPr>
          <w:spacing w:val="48"/>
          <w:sz w:val="19"/>
        </w:rPr>
        <w:t> </w:t>
      </w:r>
      <w:r>
        <w:rPr>
          <w:rFonts w:ascii="Symbol" w:hAnsi="Symbol"/>
          <w:w w:val="75"/>
          <w:sz w:val="18"/>
        </w:rPr>
        <w:t></w:t>
      </w:r>
      <w:r>
        <w:rPr>
          <w:i/>
          <w:w w:val="75"/>
          <w:sz w:val="18"/>
        </w:rPr>
        <w:t>LnREER</w:t>
      </w:r>
      <w:r>
        <w:rPr>
          <w:i/>
          <w:spacing w:val="33"/>
          <w:sz w:val="18"/>
        </w:rPr>
        <w:t>  </w:t>
      </w:r>
      <w:r>
        <w:rPr>
          <w:rFonts w:ascii="Symbol" w:hAnsi="Symbol"/>
          <w:w w:val="75"/>
          <w:sz w:val="18"/>
        </w:rPr>
        <w:t></w:t>
      </w:r>
      <w:r>
        <w:rPr>
          <w:spacing w:val="-7"/>
          <w:w w:val="75"/>
          <w:sz w:val="18"/>
        </w:rPr>
        <w:t> </w:t>
      </w:r>
      <w:r>
        <w:rPr>
          <w:rFonts w:ascii="Symbol" w:hAnsi="Symbol"/>
          <w:w w:val="75"/>
          <w:position w:val="-3"/>
          <w:sz w:val="27"/>
        </w:rPr>
        <w:t></w:t>
      </w:r>
      <w:r>
        <w:rPr>
          <w:rFonts w:ascii="Symbol" w:hAnsi="Symbol"/>
          <w:w w:val="75"/>
          <w:sz w:val="19"/>
        </w:rPr>
        <w:t></w:t>
      </w:r>
      <w:r>
        <w:rPr>
          <w:spacing w:val="42"/>
          <w:sz w:val="19"/>
        </w:rPr>
        <w:t> </w:t>
      </w:r>
      <w:r>
        <w:rPr>
          <w:rFonts w:ascii="Symbol" w:hAnsi="Symbol"/>
          <w:w w:val="75"/>
          <w:sz w:val="18"/>
        </w:rPr>
        <w:t></w:t>
      </w:r>
      <w:r>
        <w:rPr>
          <w:i/>
          <w:w w:val="75"/>
          <w:sz w:val="18"/>
        </w:rPr>
        <w:t>LnGDP</w:t>
      </w:r>
      <w:r>
        <w:rPr>
          <w:i/>
          <w:w w:val="75"/>
          <w:sz w:val="18"/>
          <w:vertAlign w:val="superscript"/>
        </w:rPr>
        <w:t>d</w:t>
      </w:r>
      <w:r>
        <w:rPr>
          <w:i/>
          <w:spacing w:val="26"/>
          <w:w w:val="75"/>
          <w:sz w:val="18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</w:t>
      </w:r>
      <w:r>
        <w:rPr>
          <w:rFonts w:ascii="Symbol" w:hAnsi="Symbol"/>
          <w:w w:val="75"/>
          <w:position w:val="-3"/>
          <w:sz w:val="27"/>
          <w:vertAlign w:val="baseline"/>
        </w:rPr>
        <w:t></w:t>
      </w:r>
      <w:r>
        <w:rPr>
          <w:rFonts w:ascii="Symbol" w:hAnsi="Symbol"/>
          <w:w w:val="75"/>
          <w:sz w:val="19"/>
          <w:vertAlign w:val="baseline"/>
        </w:rPr>
        <w:t></w:t>
      </w:r>
      <w:r>
        <w:rPr>
          <w:spacing w:val="48"/>
          <w:sz w:val="19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</w:t>
      </w:r>
      <w:r>
        <w:rPr>
          <w:i/>
          <w:w w:val="75"/>
          <w:sz w:val="18"/>
          <w:vertAlign w:val="baseline"/>
        </w:rPr>
        <w:t>LnGDP</w:t>
      </w:r>
      <w:r>
        <w:rPr>
          <w:i/>
          <w:spacing w:val="-9"/>
          <w:w w:val="75"/>
          <w:sz w:val="18"/>
          <w:vertAlign w:val="baseline"/>
        </w:rPr>
        <w:t> </w:t>
      </w:r>
      <w:r>
        <w:rPr>
          <w:i/>
          <w:w w:val="75"/>
          <w:sz w:val="18"/>
          <w:vertAlign w:val="superscript"/>
        </w:rPr>
        <w:t>f</w:t>
      </w:r>
      <w:r>
        <w:rPr>
          <w:i/>
          <w:spacing w:val="36"/>
          <w:sz w:val="18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</w:t>
      </w:r>
      <w:r>
        <w:rPr>
          <w:spacing w:val="-5"/>
          <w:w w:val="75"/>
          <w:sz w:val="18"/>
          <w:vertAlign w:val="baseline"/>
        </w:rPr>
        <w:t> </w:t>
      </w:r>
      <w:r>
        <w:rPr>
          <w:rFonts w:ascii="Symbol" w:hAnsi="Symbol"/>
          <w:w w:val="75"/>
          <w:position w:val="-3"/>
          <w:sz w:val="27"/>
          <w:vertAlign w:val="baseline"/>
        </w:rPr>
        <w:t></w:t>
      </w:r>
      <w:r>
        <w:rPr>
          <w:rFonts w:ascii="Symbol" w:hAnsi="Symbol"/>
          <w:w w:val="75"/>
          <w:sz w:val="19"/>
          <w:vertAlign w:val="baseline"/>
        </w:rPr>
        <w:t></w:t>
      </w:r>
      <w:r>
        <w:rPr>
          <w:spacing w:val="43"/>
          <w:sz w:val="19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</w:t>
      </w:r>
      <w:r>
        <w:rPr>
          <w:i/>
          <w:w w:val="75"/>
          <w:sz w:val="18"/>
          <w:vertAlign w:val="baseline"/>
        </w:rPr>
        <w:t>LnWPI</w:t>
      </w:r>
      <w:r>
        <w:rPr>
          <w:i/>
          <w:spacing w:val="40"/>
          <w:sz w:val="18"/>
          <w:vertAlign w:val="baseline"/>
        </w:rPr>
        <w:t> </w:t>
      </w:r>
      <w:r>
        <w:rPr>
          <w:i/>
          <w:spacing w:val="40"/>
          <w:sz w:val="18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</w:t>
      </w:r>
      <w:r>
        <w:rPr>
          <w:rFonts w:ascii="Symbol" w:hAnsi="Symbol"/>
          <w:w w:val="75"/>
          <w:position w:val="-3"/>
          <w:sz w:val="27"/>
          <w:vertAlign w:val="baseline"/>
        </w:rPr>
        <w:t></w:t>
      </w:r>
      <w:r>
        <w:rPr>
          <w:rFonts w:ascii="Symbol" w:hAnsi="Symbol"/>
          <w:w w:val="75"/>
          <w:sz w:val="19"/>
          <w:vertAlign w:val="baseline"/>
        </w:rPr>
        <w:t></w:t>
      </w:r>
      <w:r>
        <w:rPr>
          <w:spacing w:val="45"/>
          <w:sz w:val="19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</w:t>
      </w:r>
      <w:r>
        <w:rPr>
          <w:i/>
          <w:w w:val="75"/>
          <w:sz w:val="18"/>
          <w:vertAlign w:val="baseline"/>
        </w:rPr>
        <w:t>LnMS</w:t>
      </w:r>
      <w:r>
        <w:rPr>
          <w:i/>
          <w:spacing w:val="37"/>
          <w:sz w:val="18"/>
          <w:vertAlign w:val="baseline"/>
        </w:rPr>
        <w:t> </w:t>
      </w:r>
      <w:r>
        <w:rPr>
          <w:i/>
          <w:spacing w:val="38"/>
          <w:sz w:val="18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</w:t>
      </w:r>
      <w:r>
        <w:rPr>
          <w:spacing w:val="-6"/>
          <w:w w:val="75"/>
          <w:sz w:val="18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</w:t>
      </w:r>
      <w:r>
        <w:rPr>
          <w:rFonts w:ascii="Symbol" w:hAnsi="Symbol"/>
          <w:w w:val="75"/>
          <w:position w:val="-3"/>
          <w:sz w:val="27"/>
          <w:vertAlign w:val="baseline"/>
        </w:rPr>
        <w:t></w:t>
      </w:r>
      <w:r>
        <w:rPr>
          <w:rFonts w:ascii="Symbol" w:hAnsi="Symbol"/>
          <w:w w:val="75"/>
          <w:sz w:val="19"/>
          <w:vertAlign w:val="baseline"/>
        </w:rPr>
        <w:t></w:t>
      </w:r>
      <w:r>
        <w:rPr>
          <w:spacing w:val="47"/>
          <w:sz w:val="19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</w:t>
      </w:r>
      <w:r>
        <w:rPr>
          <w:i/>
          <w:w w:val="75"/>
          <w:sz w:val="18"/>
          <w:vertAlign w:val="baseline"/>
        </w:rPr>
        <w:t>IR</w:t>
      </w:r>
    </w:p>
    <w:p>
      <w:pPr>
        <w:spacing w:line="132" w:lineRule="exact" w:before="43"/>
        <w:ind w:left="89" w:right="0" w:firstLine="0"/>
        <w:jc w:val="left"/>
        <w:rPr>
          <w:rFonts w:ascii="Symbol" w:hAnsi="Symbol"/>
          <w:sz w:val="18"/>
        </w:rPr>
      </w:pPr>
      <w:r>
        <w:rPr/>
        <w:br w:type="column"/>
      </w:r>
      <w:r>
        <w:rPr>
          <w:rFonts w:ascii="Symbol" w:hAnsi="Symbol"/>
          <w:w w:val="75"/>
          <w:sz w:val="18"/>
        </w:rPr>
        <w:t></w:t>
      </w:r>
      <w:r>
        <w:rPr>
          <w:spacing w:val="-5"/>
          <w:w w:val="75"/>
          <w:sz w:val="18"/>
        </w:rPr>
        <w:t> </w:t>
      </w:r>
      <w:r>
        <w:rPr>
          <w:rFonts w:ascii="Symbol" w:hAnsi="Symbol"/>
          <w:w w:val="75"/>
          <w:sz w:val="19"/>
        </w:rPr>
        <w:t></w:t>
      </w:r>
      <w:r>
        <w:rPr>
          <w:spacing w:val="19"/>
          <w:w w:val="75"/>
          <w:sz w:val="19"/>
        </w:rPr>
        <w:t> </w:t>
      </w:r>
      <w:r>
        <w:rPr>
          <w:i/>
          <w:w w:val="75"/>
          <w:sz w:val="18"/>
        </w:rPr>
        <w:t>D</w:t>
      </w:r>
      <w:r>
        <w:rPr>
          <w:i/>
          <w:spacing w:val="21"/>
          <w:w w:val="75"/>
          <w:sz w:val="18"/>
        </w:rPr>
        <w:t> </w:t>
      </w:r>
      <w:r>
        <w:rPr>
          <w:rFonts w:ascii="Symbol" w:hAnsi="Symbol"/>
          <w:w w:val="75"/>
          <w:sz w:val="18"/>
        </w:rPr>
        <w:t></w:t>
      </w:r>
    </w:p>
    <w:p>
      <w:pPr>
        <w:spacing w:after="0" w:line="132" w:lineRule="exact"/>
        <w:jc w:val="left"/>
        <w:rPr>
          <w:rFonts w:ascii="Symbol" w:hAnsi="Symbol"/>
          <w:sz w:val="18"/>
        </w:rPr>
        <w:sectPr>
          <w:type w:val="continuous"/>
          <w:pgSz w:w="12240" w:h="15840"/>
          <w:pgMar w:top="1500" w:bottom="1200" w:left="1320" w:right="440"/>
          <w:cols w:num="2" w:equalWidth="0">
            <w:col w:w="8679" w:space="40"/>
            <w:col w:w="1761"/>
          </w:cols>
        </w:sectPr>
      </w:pPr>
    </w:p>
    <w:p>
      <w:pPr>
        <w:tabs>
          <w:tab w:pos="1624" w:val="left" w:leader="none"/>
          <w:tab w:pos="2044" w:val="left" w:leader="none"/>
          <w:tab w:pos="2600" w:val="left" w:leader="none"/>
        </w:tabs>
        <w:spacing w:line="247" w:lineRule="auto" w:before="5"/>
        <w:ind w:left="1824" w:right="0" w:hanging="466"/>
        <w:jc w:val="left"/>
        <w:rPr>
          <w:sz w:val="10"/>
        </w:rPr>
      </w:pPr>
      <w:r>
        <w:rPr>
          <w:i/>
          <w:w w:val="90"/>
          <w:sz w:val="10"/>
        </w:rPr>
        <w:t>t</w:t>
        <w:tab/>
      </w:r>
      <w:r>
        <w:rPr>
          <w:w w:val="90"/>
          <w:sz w:val="10"/>
        </w:rPr>
        <w:t>0</w:t>
        <w:tab/>
        <w:tab/>
        <w:t>1</w:t>
      </w:r>
      <w:r>
        <w:rPr>
          <w:i/>
          <w:w w:val="90"/>
          <w:sz w:val="10"/>
        </w:rPr>
        <w:t>i</w:t>
        <w:tab/>
      </w:r>
      <w:r>
        <w:rPr>
          <w:i/>
          <w:spacing w:val="-6"/>
          <w:w w:val="80"/>
          <w:sz w:val="10"/>
        </w:rPr>
        <w:t>t </w:t>
      </w:r>
      <w:r>
        <w:rPr>
          <w:rFonts w:ascii="Symbol" w:hAnsi="Symbol"/>
          <w:spacing w:val="-6"/>
          <w:w w:val="80"/>
          <w:sz w:val="10"/>
        </w:rPr>
        <w:t></w:t>
      </w:r>
      <w:r>
        <w:rPr>
          <w:i/>
          <w:spacing w:val="-6"/>
          <w:w w:val="80"/>
          <w:sz w:val="10"/>
        </w:rPr>
        <w:t>i</w:t>
      </w:r>
      <w:r>
        <w:rPr>
          <w:i/>
          <w:spacing w:val="-5"/>
          <w:w w:val="80"/>
          <w:sz w:val="10"/>
        </w:rPr>
        <w:t> </w:t>
      </w:r>
      <w:r>
        <w:rPr>
          <w:i/>
          <w:w w:val="90"/>
          <w:sz w:val="10"/>
        </w:rPr>
        <w:t>i</w:t>
      </w:r>
      <w:r>
        <w:rPr>
          <w:rFonts w:ascii="Symbol" w:hAnsi="Symbol"/>
          <w:w w:val="90"/>
          <w:sz w:val="10"/>
        </w:rPr>
        <w:t></w:t>
      </w:r>
      <w:r>
        <w:rPr>
          <w:w w:val="90"/>
          <w:sz w:val="10"/>
        </w:rPr>
        <w:t>1</w:t>
      </w:r>
    </w:p>
    <w:p>
      <w:pPr>
        <w:spacing w:before="132"/>
        <w:ind w:left="115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0"/>
          <w:sz w:val="10"/>
        </w:rPr>
        <w:t>i</w:t>
      </w:r>
      <w:r>
        <w:rPr>
          <w:rFonts w:ascii="Symbol" w:hAnsi="Symbol"/>
          <w:w w:val="80"/>
          <w:sz w:val="10"/>
        </w:rPr>
        <w:t></w:t>
      </w:r>
      <w:r>
        <w:rPr>
          <w:w w:val="80"/>
          <w:sz w:val="10"/>
        </w:rPr>
        <w:t>0</w:t>
      </w:r>
    </w:p>
    <w:p>
      <w:pPr>
        <w:tabs>
          <w:tab w:pos="716" w:val="left" w:leader="none"/>
        </w:tabs>
        <w:spacing w:before="5"/>
        <w:ind w:left="79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0"/>
          <w:sz w:val="10"/>
        </w:rPr>
        <w:t>2</w:t>
      </w:r>
      <w:r>
        <w:rPr>
          <w:i/>
          <w:w w:val="90"/>
          <w:sz w:val="10"/>
        </w:rPr>
        <w:t>i</w:t>
        <w:tab/>
      </w:r>
      <w:r>
        <w:rPr>
          <w:i/>
          <w:spacing w:val="-6"/>
          <w:w w:val="80"/>
          <w:sz w:val="10"/>
        </w:rPr>
        <w:t>t</w:t>
      </w:r>
      <w:r>
        <w:rPr>
          <w:i/>
          <w:spacing w:val="-11"/>
          <w:w w:val="80"/>
          <w:sz w:val="10"/>
        </w:rPr>
        <w:t> </w:t>
      </w:r>
      <w:r>
        <w:rPr>
          <w:rFonts w:ascii="Symbol" w:hAnsi="Symbol"/>
          <w:spacing w:val="-6"/>
          <w:w w:val="80"/>
          <w:sz w:val="10"/>
        </w:rPr>
        <w:t></w:t>
      </w:r>
      <w:r>
        <w:rPr>
          <w:i/>
          <w:spacing w:val="-6"/>
          <w:w w:val="80"/>
          <w:sz w:val="10"/>
        </w:rPr>
        <w:t>i</w:t>
      </w:r>
    </w:p>
    <w:p>
      <w:pPr>
        <w:spacing w:before="13"/>
        <w:ind w:left="349" w:right="0" w:firstLine="0"/>
        <w:jc w:val="left"/>
        <w:rPr>
          <w:i/>
          <w:sz w:val="10"/>
        </w:rPr>
      </w:pPr>
      <w:r>
        <w:rPr/>
        <w:br w:type="column"/>
      </w:r>
      <w:r>
        <w:rPr>
          <w:w w:val="80"/>
          <w:sz w:val="10"/>
        </w:rPr>
        <w:t>3</w:t>
      </w:r>
      <w:r>
        <w:rPr>
          <w:i/>
          <w:w w:val="80"/>
          <w:sz w:val="10"/>
        </w:rPr>
        <w:t>i</w:t>
      </w:r>
    </w:p>
    <w:p>
      <w:pPr>
        <w:spacing w:before="4"/>
        <w:ind w:left="116" w:right="0" w:firstLine="0"/>
        <w:jc w:val="left"/>
        <w:rPr>
          <w:sz w:val="10"/>
        </w:rPr>
      </w:pPr>
      <w:r>
        <w:rPr>
          <w:i/>
          <w:w w:val="90"/>
          <w:sz w:val="10"/>
        </w:rPr>
        <w:t>i</w:t>
      </w:r>
      <w:r>
        <w:rPr>
          <w:rFonts w:ascii="Symbol" w:hAnsi="Symbol"/>
          <w:w w:val="90"/>
          <w:sz w:val="10"/>
        </w:rPr>
        <w:t></w:t>
      </w:r>
      <w:r>
        <w:rPr>
          <w:w w:val="90"/>
          <w:sz w:val="10"/>
        </w:rPr>
        <w:t>0</w:t>
      </w:r>
    </w:p>
    <w:p>
      <w:pPr>
        <w:spacing w:before="63"/>
        <w:ind w:left="0" w:right="0" w:firstLine="0"/>
        <w:jc w:val="right"/>
        <w:rPr>
          <w:i/>
          <w:sz w:val="7"/>
        </w:rPr>
      </w:pPr>
      <w:r>
        <w:rPr/>
        <w:br w:type="column"/>
      </w:r>
      <w:r>
        <w:rPr>
          <w:i/>
          <w:w w:val="95"/>
          <w:sz w:val="7"/>
        </w:rPr>
        <w:t>t</w:t>
      </w:r>
      <w:r>
        <w:rPr>
          <w:rFonts w:ascii="Symbol" w:hAnsi="Symbol"/>
          <w:w w:val="95"/>
          <w:sz w:val="7"/>
        </w:rPr>
        <w:t></w:t>
      </w:r>
      <w:r>
        <w:rPr>
          <w:i/>
          <w:w w:val="95"/>
          <w:sz w:val="7"/>
        </w:rPr>
        <w:t>i</w:t>
      </w:r>
      <w:r>
        <w:rPr>
          <w:i/>
          <w:sz w:val="7"/>
        </w:rPr>
        <w:t>  </w:t>
      </w:r>
    </w:p>
    <w:p>
      <w:pPr>
        <w:spacing w:before="132"/>
        <w:ind w:left="68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0"/>
          <w:sz w:val="10"/>
        </w:rPr>
        <w:t>i</w:t>
      </w:r>
      <w:r>
        <w:rPr>
          <w:rFonts w:ascii="Symbol" w:hAnsi="Symbol"/>
          <w:w w:val="80"/>
          <w:sz w:val="10"/>
        </w:rPr>
        <w:t></w:t>
      </w:r>
      <w:r>
        <w:rPr>
          <w:w w:val="80"/>
          <w:sz w:val="10"/>
        </w:rPr>
        <w:t>0</w:t>
      </w:r>
    </w:p>
    <w:p>
      <w:pPr>
        <w:tabs>
          <w:tab w:pos="644" w:val="left" w:leader="none"/>
        </w:tabs>
        <w:spacing w:before="5"/>
        <w:ind w:left="79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0"/>
          <w:sz w:val="10"/>
        </w:rPr>
        <w:t>4</w:t>
      </w:r>
      <w:r>
        <w:rPr>
          <w:i/>
          <w:w w:val="90"/>
          <w:sz w:val="10"/>
        </w:rPr>
        <w:t>i</w:t>
        <w:tab/>
      </w:r>
      <w:r>
        <w:rPr>
          <w:i/>
          <w:spacing w:val="-6"/>
          <w:w w:val="80"/>
          <w:sz w:val="10"/>
        </w:rPr>
        <w:t>t</w:t>
      </w:r>
      <w:r>
        <w:rPr>
          <w:i/>
          <w:spacing w:val="-10"/>
          <w:w w:val="80"/>
          <w:sz w:val="10"/>
        </w:rPr>
        <w:t> </w:t>
      </w:r>
      <w:r>
        <w:rPr>
          <w:rFonts w:ascii="Symbol" w:hAnsi="Symbol"/>
          <w:spacing w:val="-6"/>
          <w:w w:val="80"/>
          <w:sz w:val="10"/>
        </w:rPr>
        <w:t></w:t>
      </w:r>
      <w:r>
        <w:rPr>
          <w:i/>
          <w:spacing w:val="-6"/>
          <w:w w:val="80"/>
          <w:sz w:val="10"/>
        </w:rPr>
        <w:t>i</w:t>
      </w:r>
    </w:p>
    <w:p>
      <w:pPr>
        <w:spacing w:before="132"/>
        <w:ind w:left="116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0"/>
          <w:sz w:val="10"/>
        </w:rPr>
        <w:t>i</w:t>
      </w:r>
      <w:r>
        <w:rPr>
          <w:rFonts w:ascii="Symbol" w:hAnsi="Symbol"/>
          <w:w w:val="80"/>
          <w:sz w:val="10"/>
        </w:rPr>
        <w:t></w:t>
      </w:r>
      <w:r>
        <w:rPr>
          <w:w w:val="80"/>
          <w:sz w:val="10"/>
        </w:rPr>
        <w:t>0</w:t>
      </w:r>
    </w:p>
    <w:p>
      <w:pPr>
        <w:tabs>
          <w:tab w:pos="632" w:val="left" w:leader="none"/>
        </w:tabs>
        <w:spacing w:before="5"/>
        <w:ind w:left="76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0"/>
          <w:sz w:val="10"/>
        </w:rPr>
        <w:t>5</w:t>
      </w:r>
      <w:r>
        <w:rPr>
          <w:i/>
          <w:w w:val="90"/>
          <w:sz w:val="10"/>
        </w:rPr>
        <w:t>i</w:t>
        <w:tab/>
      </w:r>
      <w:r>
        <w:rPr>
          <w:i/>
          <w:spacing w:val="-6"/>
          <w:w w:val="80"/>
          <w:sz w:val="10"/>
        </w:rPr>
        <w:t>t</w:t>
      </w:r>
      <w:r>
        <w:rPr>
          <w:i/>
          <w:spacing w:val="-11"/>
          <w:w w:val="80"/>
          <w:sz w:val="10"/>
        </w:rPr>
        <w:t> </w:t>
      </w:r>
      <w:r>
        <w:rPr>
          <w:rFonts w:ascii="Symbol" w:hAnsi="Symbol"/>
          <w:spacing w:val="-6"/>
          <w:w w:val="80"/>
          <w:sz w:val="10"/>
        </w:rPr>
        <w:t></w:t>
      </w:r>
      <w:r>
        <w:rPr>
          <w:i/>
          <w:spacing w:val="-6"/>
          <w:w w:val="80"/>
          <w:sz w:val="10"/>
        </w:rPr>
        <w:t>i</w:t>
      </w:r>
    </w:p>
    <w:p>
      <w:pPr>
        <w:spacing w:before="132"/>
        <w:ind w:left="97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0"/>
          <w:sz w:val="10"/>
        </w:rPr>
        <w:t>i</w:t>
      </w:r>
      <w:r>
        <w:rPr>
          <w:rFonts w:ascii="Symbol" w:hAnsi="Symbol"/>
          <w:w w:val="80"/>
          <w:sz w:val="10"/>
        </w:rPr>
        <w:t></w:t>
      </w:r>
      <w:r>
        <w:rPr>
          <w:w w:val="80"/>
          <w:sz w:val="10"/>
        </w:rPr>
        <w:t>0</w:t>
      </w:r>
    </w:p>
    <w:p>
      <w:pPr>
        <w:tabs>
          <w:tab w:pos="569" w:val="left" w:leader="none"/>
        </w:tabs>
        <w:spacing w:before="5"/>
        <w:ind w:left="78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0"/>
          <w:sz w:val="10"/>
        </w:rPr>
        <w:t>6</w:t>
      </w:r>
      <w:r>
        <w:rPr>
          <w:i/>
          <w:w w:val="90"/>
          <w:sz w:val="10"/>
        </w:rPr>
        <w:t>i</w:t>
        <w:tab/>
      </w:r>
      <w:r>
        <w:rPr>
          <w:i/>
          <w:spacing w:val="-6"/>
          <w:w w:val="80"/>
          <w:sz w:val="10"/>
        </w:rPr>
        <w:t>t</w:t>
      </w:r>
      <w:r>
        <w:rPr>
          <w:i/>
          <w:spacing w:val="-11"/>
          <w:w w:val="80"/>
          <w:sz w:val="10"/>
        </w:rPr>
        <w:t> </w:t>
      </w:r>
      <w:r>
        <w:rPr>
          <w:rFonts w:ascii="Symbol" w:hAnsi="Symbol"/>
          <w:spacing w:val="-6"/>
          <w:w w:val="80"/>
          <w:sz w:val="10"/>
        </w:rPr>
        <w:t></w:t>
      </w:r>
      <w:r>
        <w:rPr>
          <w:i/>
          <w:spacing w:val="-6"/>
          <w:w w:val="80"/>
          <w:sz w:val="10"/>
        </w:rPr>
        <w:t>i</w:t>
      </w:r>
    </w:p>
    <w:p>
      <w:pPr>
        <w:spacing w:before="132"/>
        <w:ind w:left="199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0"/>
          <w:sz w:val="10"/>
        </w:rPr>
        <w:t>i</w:t>
      </w:r>
      <w:r>
        <w:rPr>
          <w:rFonts w:ascii="Symbol" w:hAnsi="Symbol"/>
          <w:w w:val="80"/>
          <w:sz w:val="10"/>
        </w:rPr>
        <w:t></w:t>
      </w:r>
      <w:r>
        <w:rPr>
          <w:w w:val="80"/>
          <w:sz w:val="10"/>
        </w:rPr>
        <w:t>0</w:t>
      </w:r>
    </w:p>
    <w:p>
      <w:pPr>
        <w:tabs>
          <w:tab w:pos="360" w:val="left" w:leader="none"/>
          <w:tab w:pos="684" w:val="left" w:leader="none"/>
        </w:tabs>
        <w:spacing w:before="5"/>
        <w:ind w:left="78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0"/>
          <w:sz w:val="10"/>
        </w:rPr>
        <w:t>7</w:t>
      </w:r>
      <w:r>
        <w:rPr>
          <w:i/>
          <w:w w:val="90"/>
          <w:sz w:val="10"/>
        </w:rPr>
        <w:t>i</w:t>
        <w:tab/>
      </w:r>
      <w:r>
        <w:rPr>
          <w:i/>
          <w:w w:val="80"/>
          <w:sz w:val="10"/>
        </w:rPr>
        <w:t>t</w:t>
      </w:r>
      <w:r>
        <w:rPr>
          <w:i/>
          <w:spacing w:val="-10"/>
          <w:w w:val="80"/>
          <w:sz w:val="10"/>
        </w:rPr>
        <w:t> </w:t>
      </w:r>
      <w:r>
        <w:rPr>
          <w:rFonts w:ascii="Symbol" w:hAnsi="Symbol"/>
          <w:w w:val="80"/>
          <w:sz w:val="10"/>
        </w:rPr>
        <w:t></w:t>
      </w:r>
      <w:r>
        <w:rPr>
          <w:i/>
          <w:w w:val="80"/>
          <w:sz w:val="10"/>
        </w:rPr>
        <w:t>i</w:t>
        <w:tab/>
      </w:r>
      <w:r>
        <w:rPr>
          <w:w w:val="90"/>
          <w:sz w:val="10"/>
        </w:rPr>
        <w:t>8</w:t>
      </w:r>
      <w:r>
        <w:rPr>
          <w:spacing w:val="21"/>
          <w:sz w:val="10"/>
        </w:rPr>
        <w:t> </w:t>
      </w:r>
      <w:r>
        <w:rPr>
          <w:spacing w:val="21"/>
          <w:sz w:val="10"/>
        </w:rPr>
        <w:t> </w:t>
      </w:r>
      <w:r>
        <w:rPr>
          <w:i/>
          <w:w w:val="90"/>
          <w:sz w:val="10"/>
        </w:rPr>
        <w:t>i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13" w:equalWidth="0">
            <w:col w:w="2700" w:space="40"/>
            <w:col w:w="233" w:space="39"/>
            <w:col w:w="817" w:space="40"/>
            <w:col w:w="413" w:space="39"/>
            <w:col w:w="574" w:space="39"/>
            <w:col w:w="186" w:space="39"/>
            <w:col w:w="745" w:space="40"/>
            <w:col w:w="234" w:space="39"/>
            <w:col w:w="732" w:space="40"/>
            <w:col w:w="214" w:space="39"/>
            <w:col w:w="670" w:space="40"/>
            <w:col w:w="316" w:space="39"/>
            <w:col w:w="2173"/>
          </w:cols>
        </w:sectPr>
      </w:pPr>
    </w:p>
    <w:p>
      <w:pPr>
        <w:spacing w:line="132" w:lineRule="exact" w:before="41"/>
        <w:ind w:left="824" w:right="0" w:firstLine="0"/>
        <w:jc w:val="left"/>
        <w:rPr>
          <w:i/>
          <w:sz w:val="18"/>
        </w:rPr>
      </w:pPr>
      <w:r>
        <w:rPr>
          <w:rFonts w:ascii="Symbol" w:hAnsi="Symbol"/>
          <w:spacing w:val="-6"/>
          <w:w w:val="80"/>
          <w:sz w:val="19"/>
        </w:rPr>
        <w:t></w:t>
      </w:r>
      <w:r>
        <w:rPr>
          <w:spacing w:val="5"/>
          <w:w w:val="80"/>
          <w:sz w:val="19"/>
        </w:rPr>
        <w:t> </w:t>
      </w:r>
      <w:r>
        <w:rPr>
          <w:i/>
          <w:spacing w:val="-6"/>
          <w:w w:val="80"/>
          <w:sz w:val="18"/>
        </w:rPr>
        <w:t>LnCAB</w:t>
      </w:r>
    </w:p>
    <w:p>
      <w:pPr>
        <w:spacing w:line="132" w:lineRule="exact" w:before="41"/>
        <w:ind w:left="93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spacing w:val="-1"/>
          <w:w w:val="75"/>
          <w:sz w:val="18"/>
        </w:rPr>
        <w:t></w:t>
      </w:r>
      <w:r>
        <w:rPr>
          <w:spacing w:val="-18"/>
          <w:w w:val="75"/>
          <w:sz w:val="18"/>
        </w:rPr>
        <w:t> </w:t>
      </w:r>
      <w:r>
        <w:rPr>
          <w:rFonts w:ascii="Symbol" w:hAnsi="Symbol"/>
          <w:spacing w:val="-1"/>
          <w:w w:val="75"/>
          <w:sz w:val="19"/>
        </w:rPr>
        <w:t></w:t>
      </w:r>
      <w:r>
        <w:rPr>
          <w:spacing w:val="29"/>
          <w:w w:val="75"/>
          <w:sz w:val="19"/>
        </w:rPr>
        <w:t> </w:t>
      </w:r>
      <w:r>
        <w:rPr>
          <w:i/>
          <w:spacing w:val="-1"/>
          <w:w w:val="75"/>
          <w:sz w:val="18"/>
        </w:rPr>
        <w:t>LnREER</w:t>
      </w:r>
    </w:p>
    <w:p>
      <w:pPr>
        <w:spacing w:line="132" w:lineRule="exact" w:before="41"/>
        <w:ind w:left="94" w:right="0" w:firstLine="0"/>
        <w:jc w:val="left"/>
        <w:rPr>
          <w:i/>
          <w:sz w:val="18"/>
        </w:rPr>
      </w:pPr>
      <w:r>
        <w:rPr/>
        <w:br w:type="column"/>
      </w:r>
      <w:r>
        <w:rPr>
          <w:rFonts w:ascii="Symbol" w:hAnsi="Symbol"/>
          <w:w w:val="75"/>
          <w:sz w:val="18"/>
        </w:rPr>
        <w:t></w:t>
      </w:r>
      <w:r>
        <w:rPr>
          <w:spacing w:val="-18"/>
          <w:w w:val="75"/>
          <w:sz w:val="18"/>
        </w:rPr>
        <w:t> </w:t>
      </w:r>
      <w:r>
        <w:rPr>
          <w:rFonts w:ascii="Symbol" w:hAnsi="Symbol"/>
          <w:w w:val="75"/>
          <w:sz w:val="19"/>
        </w:rPr>
        <w:t></w:t>
      </w:r>
      <w:r>
        <w:rPr>
          <w:spacing w:val="22"/>
          <w:w w:val="75"/>
          <w:sz w:val="19"/>
        </w:rPr>
        <w:t> </w:t>
      </w:r>
      <w:r>
        <w:rPr>
          <w:i/>
          <w:w w:val="75"/>
          <w:sz w:val="18"/>
        </w:rPr>
        <w:t>LnGDP</w:t>
      </w:r>
      <w:r>
        <w:rPr>
          <w:i/>
          <w:w w:val="75"/>
          <w:sz w:val="18"/>
          <w:vertAlign w:val="superscript"/>
        </w:rPr>
        <w:t>d</w:t>
      </w:r>
      <w:r>
        <w:rPr>
          <w:i/>
          <w:spacing w:val="30"/>
          <w:sz w:val="18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</w:t>
      </w:r>
      <w:r>
        <w:rPr>
          <w:spacing w:val="-18"/>
          <w:w w:val="75"/>
          <w:sz w:val="18"/>
          <w:vertAlign w:val="baseline"/>
        </w:rPr>
        <w:t> </w:t>
      </w:r>
      <w:r>
        <w:rPr>
          <w:rFonts w:ascii="Symbol" w:hAnsi="Symbol"/>
          <w:w w:val="75"/>
          <w:sz w:val="19"/>
          <w:vertAlign w:val="baseline"/>
        </w:rPr>
        <w:t></w:t>
      </w:r>
      <w:r>
        <w:rPr>
          <w:spacing w:val="28"/>
          <w:w w:val="75"/>
          <w:sz w:val="19"/>
          <w:vertAlign w:val="baseline"/>
        </w:rPr>
        <w:t> </w:t>
      </w:r>
      <w:r>
        <w:rPr>
          <w:i/>
          <w:w w:val="75"/>
          <w:sz w:val="18"/>
          <w:vertAlign w:val="baseline"/>
        </w:rPr>
        <w:t>LnGDP</w:t>
      </w:r>
      <w:r>
        <w:rPr>
          <w:i/>
          <w:spacing w:val="-11"/>
          <w:w w:val="75"/>
          <w:sz w:val="18"/>
          <w:vertAlign w:val="baseline"/>
        </w:rPr>
        <w:t> </w:t>
      </w:r>
      <w:r>
        <w:rPr>
          <w:i/>
          <w:w w:val="75"/>
          <w:sz w:val="18"/>
          <w:vertAlign w:val="superscript"/>
        </w:rPr>
        <w:t>f</w:t>
      </w:r>
      <w:r>
        <w:rPr>
          <w:i/>
          <w:spacing w:val="25"/>
          <w:w w:val="75"/>
          <w:sz w:val="18"/>
          <w:vertAlign w:val="baseline"/>
        </w:rPr>
        <w:t> </w:t>
      </w:r>
      <w:r>
        <w:rPr>
          <w:rFonts w:ascii="Symbol" w:hAnsi="Symbol"/>
          <w:w w:val="75"/>
          <w:sz w:val="18"/>
          <w:vertAlign w:val="baseline"/>
        </w:rPr>
        <w:t></w:t>
      </w:r>
      <w:r>
        <w:rPr>
          <w:spacing w:val="-17"/>
          <w:w w:val="75"/>
          <w:sz w:val="18"/>
          <w:vertAlign w:val="baseline"/>
        </w:rPr>
        <w:t> </w:t>
      </w:r>
      <w:r>
        <w:rPr>
          <w:rFonts w:ascii="Symbol" w:hAnsi="Symbol"/>
          <w:w w:val="75"/>
          <w:sz w:val="19"/>
          <w:vertAlign w:val="baseline"/>
        </w:rPr>
        <w:t></w:t>
      </w:r>
      <w:r>
        <w:rPr>
          <w:spacing w:val="24"/>
          <w:w w:val="75"/>
          <w:sz w:val="19"/>
          <w:vertAlign w:val="baseline"/>
        </w:rPr>
        <w:t> </w:t>
      </w:r>
      <w:r>
        <w:rPr>
          <w:i/>
          <w:w w:val="75"/>
          <w:sz w:val="18"/>
          <w:vertAlign w:val="baseline"/>
        </w:rPr>
        <w:t>LnWPI</w:t>
      </w:r>
    </w:p>
    <w:p>
      <w:pPr>
        <w:spacing w:line="132" w:lineRule="exact" w:before="41"/>
        <w:ind w:left="104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75"/>
          <w:sz w:val="18"/>
        </w:rPr>
        <w:t></w:t>
      </w:r>
      <w:r>
        <w:rPr>
          <w:spacing w:val="-17"/>
          <w:w w:val="75"/>
          <w:sz w:val="18"/>
        </w:rPr>
        <w:t> </w:t>
      </w:r>
      <w:r>
        <w:rPr>
          <w:rFonts w:ascii="Symbol" w:hAnsi="Symbol"/>
          <w:w w:val="75"/>
          <w:sz w:val="19"/>
        </w:rPr>
        <w:t></w:t>
      </w:r>
      <w:r>
        <w:rPr>
          <w:spacing w:val="26"/>
          <w:w w:val="75"/>
          <w:sz w:val="19"/>
        </w:rPr>
        <w:t> </w:t>
      </w:r>
      <w:r>
        <w:rPr>
          <w:i/>
          <w:w w:val="75"/>
          <w:sz w:val="18"/>
        </w:rPr>
        <w:t>LnMS</w:t>
      </w:r>
      <w:r>
        <w:rPr>
          <w:i/>
          <w:spacing w:val="29"/>
          <w:sz w:val="18"/>
        </w:rPr>
        <w:t> </w:t>
      </w:r>
      <w:r>
        <w:rPr>
          <w:i/>
          <w:spacing w:val="30"/>
          <w:sz w:val="18"/>
        </w:rPr>
        <w:t> </w:t>
      </w:r>
      <w:r>
        <w:rPr>
          <w:rFonts w:ascii="Symbol" w:hAnsi="Symbol"/>
          <w:w w:val="75"/>
          <w:sz w:val="18"/>
        </w:rPr>
        <w:t></w:t>
      </w:r>
      <w:r>
        <w:rPr>
          <w:spacing w:val="-16"/>
          <w:w w:val="75"/>
          <w:sz w:val="18"/>
        </w:rPr>
        <w:t> </w:t>
      </w:r>
      <w:r>
        <w:rPr>
          <w:rFonts w:ascii="Symbol" w:hAnsi="Symbol"/>
          <w:w w:val="75"/>
          <w:sz w:val="19"/>
        </w:rPr>
        <w:t></w:t>
      </w:r>
    </w:p>
    <w:p>
      <w:pPr>
        <w:spacing w:after="0" w:line="132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top="1500" w:bottom="1200" w:left="1320" w:right="440"/>
          <w:cols w:num="4" w:equalWidth="0">
            <w:col w:w="1350" w:space="40"/>
            <w:col w:w="803" w:space="39"/>
            <w:col w:w="2227" w:space="40"/>
            <w:col w:w="5981"/>
          </w:cols>
        </w:sectPr>
      </w:pPr>
    </w:p>
    <w:p>
      <w:pPr>
        <w:tabs>
          <w:tab w:pos="1341" w:val="left" w:leader="none"/>
          <w:tab w:pos="1654" w:val="left" w:leader="none"/>
        </w:tabs>
        <w:spacing w:before="5"/>
        <w:ind w:left="894" w:right="0" w:firstLine="0"/>
        <w:jc w:val="left"/>
        <w:rPr>
          <w:sz w:val="10"/>
        </w:rPr>
      </w:pPr>
      <w:r>
        <w:rPr>
          <w:w w:val="90"/>
          <w:sz w:val="10"/>
        </w:rPr>
        <w:t>1</w:t>
        <w:tab/>
      </w:r>
      <w:r>
        <w:rPr>
          <w:i/>
          <w:w w:val="90"/>
          <w:sz w:val="10"/>
        </w:rPr>
        <w:t>t</w:t>
      </w:r>
      <w:r>
        <w:rPr>
          <w:rFonts w:ascii="Symbol" w:hAnsi="Symbol"/>
          <w:w w:val="90"/>
          <w:sz w:val="10"/>
        </w:rPr>
        <w:t></w:t>
      </w:r>
      <w:r>
        <w:rPr>
          <w:w w:val="90"/>
          <w:sz w:val="10"/>
        </w:rPr>
        <w:t>1</w:t>
        <w:tab/>
      </w:r>
      <w:r>
        <w:rPr>
          <w:spacing w:val="-10"/>
          <w:w w:val="90"/>
          <w:sz w:val="10"/>
        </w:rPr>
        <w:t>2</w:t>
      </w:r>
    </w:p>
    <w:p>
      <w:pPr>
        <w:spacing w:before="5"/>
        <w:ind w:left="448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0"/>
          <w:sz w:val="10"/>
        </w:rPr>
        <w:t>t</w:t>
      </w:r>
      <w:r>
        <w:rPr>
          <w:rFonts w:ascii="Symbol" w:hAnsi="Symbol"/>
          <w:w w:val="80"/>
          <w:sz w:val="10"/>
        </w:rPr>
        <w:t></w:t>
      </w:r>
      <w:r>
        <w:rPr>
          <w:w w:val="80"/>
          <w:sz w:val="10"/>
        </w:rPr>
        <w:t>1</w:t>
      </w:r>
      <w:r>
        <w:rPr>
          <w:spacing w:val="15"/>
          <w:sz w:val="10"/>
        </w:rPr>
        <w:t>    </w:t>
      </w:r>
      <w:r>
        <w:rPr>
          <w:spacing w:val="15"/>
          <w:sz w:val="10"/>
        </w:rPr>
        <w:t> </w:t>
      </w:r>
      <w:r>
        <w:rPr>
          <w:spacing w:val="-10"/>
          <w:w w:val="90"/>
          <w:sz w:val="10"/>
        </w:rPr>
        <w:t>3</w:t>
      </w:r>
    </w:p>
    <w:p>
      <w:pPr>
        <w:tabs>
          <w:tab w:pos="688" w:val="left" w:leader="none"/>
        </w:tabs>
        <w:spacing w:before="5"/>
        <w:ind w:left="374" w:right="0" w:firstLine="0"/>
        <w:jc w:val="left"/>
        <w:rPr>
          <w:sz w:val="10"/>
        </w:rPr>
      </w:pPr>
      <w:r>
        <w:rPr/>
        <w:br w:type="column"/>
      </w:r>
      <w:r>
        <w:rPr>
          <w:i/>
          <w:w w:val="90"/>
          <w:sz w:val="10"/>
        </w:rPr>
        <w:t>t</w:t>
      </w:r>
      <w:r>
        <w:rPr>
          <w:rFonts w:ascii="Symbol" w:hAnsi="Symbol"/>
          <w:w w:val="90"/>
          <w:sz w:val="10"/>
        </w:rPr>
        <w:t></w:t>
      </w:r>
      <w:r>
        <w:rPr>
          <w:w w:val="90"/>
          <w:sz w:val="10"/>
        </w:rPr>
        <w:t>1</w:t>
        <w:tab/>
      </w:r>
      <w:r>
        <w:rPr>
          <w:spacing w:val="-11"/>
          <w:w w:val="90"/>
          <w:sz w:val="10"/>
        </w:rPr>
        <w:t>4</w:t>
      </w:r>
    </w:p>
    <w:p>
      <w:pPr>
        <w:tabs>
          <w:tab w:pos="711" w:val="right" w:leader="none"/>
        </w:tabs>
        <w:spacing w:before="10"/>
        <w:ind w:left="384" w:right="0" w:firstLine="0"/>
        <w:jc w:val="left"/>
        <w:rPr>
          <w:sz w:val="10"/>
        </w:rPr>
      </w:pPr>
      <w:r>
        <w:rPr/>
        <w:br w:type="column"/>
      </w:r>
      <w:r>
        <w:rPr>
          <w:i/>
          <w:w w:val="95"/>
          <w:sz w:val="7"/>
        </w:rPr>
        <w:t>t</w:t>
      </w:r>
      <w:r>
        <w:rPr>
          <w:rFonts w:ascii="Symbol" w:hAnsi="Symbol"/>
          <w:w w:val="95"/>
          <w:sz w:val="7"/>
        </w:rPr>
        <w:t></w:t>
      </w:r>
      <w:r>
        <w:rPr>
          <w:i/>
          <w:w w:val="95"/>
          <w:sz w:val="7"/>
        </w:rPr>
        <w:t>i</w:t>
        <w:tab/>
      </w:r>
      <w:r>
        <w:rPr>
          <w:w w:val="95"/>
          <w:position w:val="3"/>
          <w:sz w:val="10"/>
        </w:rPr>
        <w:t>5</w:t>
      </w:r>
    </w:p>
    <w:p>
      <w:pPr>
        <w:tabs>
          <w:tab w:pos="677" w:val="left" w:leader="none"/>
        </w:tabs>
        <w:spacing w:before="5"/>
        <w:ind w:left="367" w:right="0" w:firstLine="0"/>
        <w:jc w:val="left"/>
        <w:rPr>
          <w:sz w:val="10"/>
        </w:rPr>
      </w:pPr>
      <w:r>
        <w:rPr/>
        <w:br w:type="column"/>
      </w:r>
      <w:r>
        <w:rPr>
          <w:i/>
          <w:w w:val="90"/>
          <w:sz w:val="10"/>
        </w:rPr>
        <w:t>t</w:t>
      </w:r>
      <w:r>
        <w:rPr>
          <w:rFonts w:ascii="Symbol" w:hAnsi="Symbol"/>
          <w:w w:val="90"/>
          <w:sz w:val="10"/>
        </w:rPr>
        <w:t></w:t>
      </w:r>
      <w:r>
        <w:rPr>
          <w:i/>
          <w:w w:val="90"/>
          <w:sz w:val="10"/>
        </w:rPr>
        <w:t>i</w:t>
        <w:tab/>
      </w:r>
      <w:r>
        <w:rPr>
          <w:spacing w:val="-11"/>
          <w:w w:val="90"/>
          <w:sz w:val="10"/>
        </w:rPr>
        <w:t>6</w:t>
      </w:r>
    </w:p>
    <w:p>
      <w:pPr>
        <w:spacing w:before="5"/>
        <w:ind w:left="303" w:right="0" w:firstLine="0"/>
        <w:jc w:val="left"/>
        <w:rPr>
          <w:i/>
          <w:sz w:val="10"/>
        </w:rPr>
      </w:pPr>
      <w:r>
        <w:rPr/>
        <w:br w:type="column"/>
      </w:r>
      <w:r>
        <w:rPr>
          <w:i/>
          <w:w w:val="80"/>
          <w:sz w:val="10"/>
        </w:rPr>
        <w:t>t</w:t>
      </w:r>
      <w:r>
        <w:rPr>
          <w:rFonts w:ascii="Symbol" w:hAnsi="Symbol"/>
          <w:w w:val="80"/>
          <w:sz w:val="10"/>
        </w:rPr>
        <w:t></w:t>
      </w:r>
      <w:r>
        <w:rPr>
          <w:w w:val="80"/>
          <w:sz w:val="10"/>
        </w:rPr>
        <w:t>1</w:t>
      </w:r>
      <w:r>
        <w:rPr>
          <w:spacing w:val="24"/>
          <w:sz w:val="10"/>
        </w:rPr>
        <w:t>   </w:t>
      </w:r>
      <w:r>
        <w:rPr>
          <w:spacing w:val="24"/>
          <w:sz w:val="10"/>
        </w:rPr>
        <w:t> </w:t>
      </w:r>
      <w:r>
        <w:rPr>
          <w:i/>
          <w:w w:val="90"/>
          <w:sz w:val="10"/>
        </w:rPr>
        <w:t>i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6" w:equalWidth="0">
            <w:col w:w="1696" w:space="40"/>
            <w:col w:w="801" w:space="39"/>
            <w:col w:w="729" w:space="40"/>
            <w:col w:w="713" w:space="39"/>
            <w:col w:w="718" w:space="39"/>
            <w:col w:w="5626"/>
          </w:cols>
        </w:sectPr>
      </w:pPr>
    </w:p>
    <w:p>
      <w:pPr>
        <w:pStyle w:val="Heading2"/>
        <w:spacing w:before="264"/>
      </w:pPr>
      <w:r>
        <w:rPr/>
        <w:t>The</w:t>
      </w:r>
      <w:r>
        <w:rPr>
          <w:spacing w:val="-3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Account</w:t>
      </w:r>
      <w:r>
        <w:rPr>
          <w:spacing w:val="-2"/>
        </w:rPr>
        <w:t> </w:t>
      </w:r>
      <w:r>
        <w:rPr/>
        <w:t>Balance</w:t>
      </w:r>
    </w:p>
    <w:p>
      <w:pPr>
        <w:tabs>
          <w:tab w:pos="2908" w:val="left" w:leader="none"/>
          <w:tab w:pos="4051" w:val="left" w:leader="none"/>
          <w:tab w:pos="5080" w:val="left" w:leader="none"/>
          <w:tab w:pos="6150" w:val="left" w:leader="none"/>
          <w:tab w:pos="7188" w:val="left" w:leader="none"/>
          <w:tab w:pos="8181" w:val="left" w:leader="none"/>
        </w:tabs>
        <w:spacing w:line="48" w:lineRule="exact" w:before="269"/>
        <w:ind w:left="1867" w:right="0" w:firstLine="0"/>
        <w:jc w:val="left"/>
        <w:rPr>
          <w:i/>
          <w:sz w:val="10"/>
        </w:rPr>
      </w:pPr>
      <w:r>
        <w:rPr>
          <w:i/>
          <w:w w:val="95"/>
          <w:sz w:val="10"/>
        </w:rPr>
        <w:t>k</w:t>
        <w:tab/>
        <w:t>k</w:t>
        <w:tab/>
        <w:t>k</w:t>
        <w:tab/>
        <w:t>k</w:t>
        <w:tab/>
        <w:t>k</w:t>
        <w:tab/>
        <w:t>k</w:t>
        <w:tab/>
        <w:t>k</w:t>
      </w:r>
    </w:p>
    <w:p>
      <w:pPr>
        <w:spacing w:after="0" w:line="48" w:lineRule="exact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line="165" w:lineRule="exact" w:before="4"/>
        <w:ind w:left="833" w:right="0" w:firstLine="0"/>
        <w:jc w:val="left"/>
        <w:rPr>
          <w:i/>
          <w:sz w:val="17"/>
        </w:rPr>
      </w:pPr>
      <w:r>
        <w:rPr>
          <w:rFonts w:ascii="Symbol" w:hAnsi="Symbol"/>
          <w:w w:val="80"/>
          <w:sz w:val="17"/>
        </w:rPr>
        <w:t></w:t>
      </w:r>
      <w:r>
        <w:rPr>
          <w:i/>
          <w:w w:val="80"/>
          <w:sz w:val="17"/>
        </w:rPr>
        <w:t>L</w:t>
      </w:r>
      <w:r>
        <w:rPr>
          <w:i/>
          <w:spacing w:val="-11"/>
          <w:w w:val="80"/>
          <w:sz w:val="17"/>
        </w:rPr>
        <w:t> </w:t>
      </w:r>
      <w:r>
        <w:rPr>
          <w:w w:val="80"/>
          <w:sz w:val="17"/>
        </w:rPr>
        <w:t>n</w:t>
      </w:r>
      <w:r>
        <w:rPr>
          <w:spacing w:val="-2"/>
          <w:w w:val="80"/>
          <w:sz w:val="17"/>
        </w:rPr>
        <w:t> </w:t>
      </w:r>
      <w:r>
        <w:rPr>
          <w:i/>
          <w:w w:val="80"/>
          <w:sz w:val="17"/>
        </w:rPr>
        <w:t>FAB</w:t>
      </w:r>
      <w:r>
        <w:rPr>
          <w:i/>
          <w:spacing w:val="39"/>
          <w:sz w:val="17"/>
        </w:rPr>
        <w:t> </w:t>
      </w:r>
      <w:r>
        <w:rPr>
          <w:rFonts w:ascii="Symbol" w:hAnsi="Symbol"/>
          <w:w w:val="80"/>
          <w:sz w:val="17"/>
        </w:rPr>
        <w:t></w:t>
      </w:r>
      <w:r>
        <w:rPr>
          <w:spacing w:val="2"/>
          <w:w w:val="80"/>
          <w:sz w:val="17"/>
        </w:rPr>
        <w:t> </w:t>
      </w:r>
      <w:r>
        <w:rPr>
          <w:rFonts w:ascii="Symbol" w:hAnsi="Symbol"/>
          <w:w w:val="80"/>
          <w:sz w:val="18"/>
        </w:rPr>
        <w:t></w:t>
      </w:r>
      <w:r>
        <w:rPr>
          <w:spacing w:val="45"/>
          <w:sz w:val="18"/>
        </w:rPr>
        <w:t> </w:t>
      </w:r>
      <w:r>
        <w:rPr>
          <w:rFonts w:ascii="Symbol" w:hAnsi="Symbol"/>
          <w:w w:val="80"/>
          <w:sz w:val="17"/>
        </w:rPr>
        <w:t></w:t>
      </w:r>
      <w:r>
        <w:rPr>
          <w:spacing w:val="-5"/>
          <w:w w:val="80"/>
          <w:sz w:val="17"/>
        </w:rPr>
        <w:t> </w:t>
      </w:r>
      <w:r>
        <w:rPr>
          <w:rFonts w:ascii="Symbol" w:hAnsi="Symbol"/>
          <w:w w:val="80"/>
          <w:position w:val="-3"/>
          <w:sz w:val="26"/>
        </w:rPr>
        <w:t></w:t>
      </w:r>
      <w:r>
        <w:rPr>
          <w:rFonts w:ascii="Symbol" w:hAnsi="Symbol"/>
          <w:w w:val="80"/>
          <w:sz w:val="18"/>
        </w:rPr>
        <w:t></w:t>
      </w:r>
      <w:r>
        <w:rPr>
          <w:spacing w:val="33"/>
          <w:w w:val="80"/>
          <w:sz w:val="18"/>
        </w:rPr>
        <w:t> </w:t>
      </w:r>
      <w:r>
        <w:rPr>
          <w:rFonts w:ascii="Symbol" w:hAnsi="Symbol"/>
          <w:w w:val="80"/>
          <w:sz w:val="17"/>
        </w:rPr>
        <w:t></w:t>
      </w:r>
      <w:r>
        <w:rPr>
          <w:i/>
          <w:w w:val="80"/>
          <w:sz w:val="17"/>
        </w:rPr>
        <w:t>LnFAB</w:t>
      </w:r>
      <w:r>
        <w:rPr>
          <w:i/>
          <w:spacing w:val="39"/>
          <w:sz w:val="17"/>
        </w:rPr>
        <w:t> </w:t>
      </w:r>
      <w:r>
        <w:rPr>
          <w:i/>
          <w:spacing w:val="39"/>
          <w:sz w:val="17"/>
        </w:rPr>
        <w:t> </w:t>
      </w:r>
      <w:r>
        <w:rPr>
          <w:rFonts w:ascii="Symbol" w:hAnsi="Symbol"/>
          <w:w w:val="80"/>
          <w:sz w:val="17"/>
        </w:rPr>
        <w:t></w:t>
      </w:r>
      <w:r>
        <w:rPr>
          <w:spacing w:val="-5"/>
          <w:w w:val="80"/>
          <w:sz w:val="17"/>
        </w:rPr>
        <w:t> </w:t>
      </w:r>
      <w:r>
        <w:rPr>
          <w:rFonts w:ascii="Symbol" w:hAnsi="Symbol"/>
          <w:w w:val="80"/>
          <w:position w:val="-3"/>
          <w:sz w:val="26"/>
        </w:rPr>
        <w:t></w:t>
      </w:r>
      <w:r>
        <w:rPr>
          <w:rFonts w:ascii="Symbol" w:hAnsi="Symbol"/>
          <w:w w:val="80"/>
          <w:sz w:val="18"/>
        </w:rPr>
        <w:t></w:t>
      </w:r>
      <w:r>
        <w:rPr>
          <w:spacing w:val="43"/>
          <w:sz w:val="18"/>
        </w:rPr>
        <w:t> </w:t>
      </w:r>
      <w:r>
        <w:rPr>
          <w:rFonts w:ascii="Symbol" w:hAnsi="Symbol"/>
          <w:w w:val="80"/>
          <w:sz w:val="17"/>
        </w:rPr>
        <w:t></w:t>
      </w:r>
      <w:r>
        <w:rPr>
          <w:i/>
          <w:w w:val="80"/>
          <w:sz w:val="17"/>
        </w:rPr>
        <w:t>LnREER</w:t>
      </w:r>
      <w:r>
        <w:rPr>
          <w:i/>
          <w:spacing w:val="39"/>
          <w:sz w:val="17"/>
        </w:rPr>
        <w:t> </w:t>
      </w:r>
      <w:r>
        <w:rPr>
          <w:i/>
          <w:spacing w:val="40"/>
          <w:sz w:val="17"/>
        </w:rPr>
        <w:t> </w:t>
      </w:r>
      <w:r>
        <w:rPr>
          <w:rFonts w:ascii="Symbol" w:hAnsi="Symbol"/>
          <w:w w:val="80"/>
          <w:sz w:val="17"/>
        </w:rPr>
        <w:t></w:t>
      </w:r>
      <w:r>
        <w:rPr>
          <w:spacing w:val="-6"/>
          <w:w w:val="80"/>
          <w:sz w:val="17"/>
        </w:rPr>
        <w:t> </w:t>
      </w:r>
      <w:r>
        <w:rPr>
          <w:rFonts w:ascii="Symbol" w:hAnsi="Symbol"/>
          <w:w w:val="80"/>
          <w:position w:val="-3"/>
          <w:sz w:val="26"/>
        </w:rPr>
        <w:t></w:t>
      </w:r>
      <w:r>
        <w:rPr>
          <w:rFonts w:ascii="Symbol" w:hAnsi="Symbol"/>
          <w:w w:val="80"/>
          <w:sz w:val="18"/>
        </w:rPr>
        <w:t></w:t>
      </w:r>
      <w:r>
        <w:rPr>
          <w:spacing w:val="37"/>
          <w:sz w:val="18"/>
        </w:rPr>
        <w:t> </w:t>
      </w:r>
      <w:r>
        <w:rPr>
          <w:rFonts w:ascii="Symbol" w:hAnsi="Symbol"/>
          <w:w w:val="80"/>
          <w:sz w:val="17"/>
        </w:rPr>
        <w:t></w:t>
      </w:r>
      <w:r>
        <w:rPr>
          <w:i/>
          <w:w w:val="80"/>
          <w:sz w:val="17"/>
        </w:rPr>
        <w:t>LnGDP</w:t>
      </w:r>
      <w:r>
        <w:rPr>
          <w:i/>
          <w:w w:val="80"/>
          <w:sz w:val="17"/>
          <w:vertAlign w:val="superscript"/>
        </w:rPr>
        <w:t>d</w:t>
      </w:r>
      <w:r>
        <w:rPr>
          <w:i/>
          <w:spacing w:val="28"/>
          <w:w w:val="80"/>
          <w:sz w:val="17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</w:t>
      </w:r>
      <w:r>
        <w:rPr>
          <w:rFonts w:ascii="Symbol" w:hAnsi="Symbol"/>
          <w:w w:val="80"/>
          <w:position w:val="-3"/>
          <w:sz w:val="26"/>
          <w:vertAlign w:val="baseline"/>
        </w:rPr>
        <w:t></w:t>
      </w:r>
      <w:r>
        <w:rPr>
          <w:rFonts w:ascii="Symbol" w:hAnsi="Symbol"/>
          <w:w w:val="80"/>
          <w:sz w:val="18"/>
          <w:vertAlign w:val="baseline"/>
        </w:rPr>
        <w:t></w:t>
      </w:r>
      <w:r>
        <w:rPr>
          <w:spacing w:val="44"/>
          <w:sz w:val="18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</w:t>
      </w:r>
      <w:r>
        <w:rPr>
          <w:i/>
          <w:w w:val="80"/>
          <w:sz w:val="17"/>
          <w:vertAlign w:val="baseline"/>
        </w:rPr>
        <w:t>LnGDP</w:t>
      </w:r>
      <w:r>
        <w:rPr>
          <w:i/>
          <w:spacing w:val="-7"/>
          <w:w w:val="80"/>
          <w:sz w:val="17"/>
          <w:vertAlign w:val="baseline"/>
        </w:rPr>
        <w:t> </w:t>
      </w:r>
      <w:r>
        <w:rPr>
          <w:i/>
          <w:w w:val="80"/>
          <w:sz w:val="17"/>
          <w:vertAlign w:val="superscript"/>
        </w:rPr>
        <w:t>f</w:t>
      </w:r>
      <w:r>
        <w:rPr>
          <w:i/>
          <w:spacing w:val="43"/>
          <w:sz w:val="17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</w:t>
      </w:r>
      <w:r>
        <w:rPr>
          <w:spacing w:val="-6"/>
          <w:w w:val="80"/>
          <w:sz w:val="17"/>
          <w:vertAlign w:val="baseline"/>
        </w:rPr>
        <w:t> </w:t>
      </w:r>
      <w:r>
        <w:rPr>
          <w:rFonts w:ascii="Symbol" w:hAnsi="Symbol"/>
          <w:w w:val="80"/>
          <w:position w:val="-3"/>
          <w:sz w:val="26"/>
          <w:vertAlign w:val="baseline"/>
        </w:rPr>
        <w:t></w:t>
      </w:r>
      <w:r>
        <w:rPr>
          <w:rFonts w:ascii="Symbol" w:hAnsi="Symbol"/>
          <w:w w:val="80"/>
          <w:sz w:val="18"/>
          <w:vertAlign w:val="baseline"/>
        </w:rPr>
        <w:t></w:t>
      </w:r>
      <w:r>
        <w:rPr>
          <w:spacing w:val="39"/>
          <w:sz w:val="18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</w:t>
      </w:r>
      <w:r>
        <w:rPr>
          <w:i/>
          <w:w w:val="80"/>
          <w:sz w:val="17"/>
          <w:vertAlign w:val="baseline"/>
        </w:rPr>
        <w:t>LnWPI</w:t>
      </w:r>
      <w:r>
        <w:rPr>
          <w:i/>
          <w:spacing w:val="47"/>
          <w:sz w:val="17"/>
          <w:vertAlign w:val="baseline"/>
        </w:rPr>
        <w:t> </w:t>
      </w:r>
      <w:r>
        <w:rPr>
          <w:i/>
          <w:spacing w:val="47"/>
          <w:sz w:val="17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</w:t>
      </w:r>
      <w:r>
        <w:rPr>
          <w:rFonts w:ascii="Symbol" w:hAnsi="Symbol"/>
          <w:w w:val="80"/>
          <w:position w:val="-3"/>
          <w:sz w:val="26"/>
          <w:vertAlign w:val="baseline"/>
        </w:rPr>
        <w:t></w:t>
      </w:r>
      <w:r>
        <w:rPr>
          <w:rFonts w:ascii="Symbol" w:hAnsi="Symbol"/>
          <w:w w:val="80"/>
          <w:sz w:val="18"/>
          <w:vertAlign w:val="baseline"/>
        </w:rPr>
        <w:t></w:t>
      </w:r>
      <w:r>
        <w:rPr>
          <w:spacing w:val="41"/>
          <w:sz w:val="18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</w:t>
      </w:r>
      <w:r>
        <w:rPr>
          <w:i/>
          <w:w w:val="80"/>
          <w:sz w:val="17"/>
          <w:vertAlign w:val="baseline"/>
        </w:rPr>
        <w:t>LnMS</w:t>
      </w:r>
      <w:r>
        <w:rPr>
          <w:i/>
          <w:spacing w:val="44"/>
          <w:sz w:val="17"/>
          <w:vertAlign w:val="baseline"/>
        </w:rPr>
        <w:t> </w:t>
      </w:r>
      <w:r>
        <w:rPr>
          <w:i/>
          <w:spacing w:val="45"/>
          <w:sz w:val="17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</w:t>
      </w:r>
      <w:r>
        <w:rPr>
          <w:spacing w:val="-4"/>
          <w:w w:val="80"/>
          <w:sz w:val="17"/>
          <w:vertAlign w:val="baseline"/>
        </w:rPr>
        <w:t> </w:t>
      </w:r>
      <w:r>
        <w:rPr>
          <w:rFonts w:ascii="Symbol" w:hAnsi="Symbol"/>
          <w:w w:val="80"/>
          <w:position w:val="-3"/>
          <w:sz w:val="26"/>
          <w:vertAlign w:val="baseline"/>
        </w:rPr>
        <w:t></w:t>
      </w:r>
      <w:r>
        <w:rPr>
          <w:rFonts w:ascii="Symbol" w:hAnsi="Symbol"/>
          <w:w w:val="80"/>
          <w:sz w:val="18"/>
          <w:vertAlign w:val="baseline"/>
        </w:rPr>
        <w:t></w:t>
      </w:r>
      <w:r>
        <w:rPr>
          <w:spacing w:val="42"/>
          <w:sz w:val="18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</w:t>
      </w:r>
      <w:r>
        <w:rPr>
          <w:i/>
          <w:w w:val="80"/>
          <w:sz w:val="17"/>
          <w:vertAlign w:val="baseline"/>
        </w:rPr>
        <w:t>IR</w:t>
      </w:r>
    </w:p>
    <w:p>
      <w:pPr>
        <w:spacing w:line="124" w:lineRule="exact" w:before="44"/>
        <w:ind w:left="93" w:right="0" w:firstLine="0"/>
        <w:jc w:val="left"/>
        <w:rPr>
          <w:rFonts w:ascii="Symbol" w:hAnsi="Symbol"/>
          <w:sz w:val="17"/>
        </w:rPr>
      </w:pPr>
      <w:r>
        <w:rPr/>
        <w:br w:type="column"/>
      </w:r>
      <w:r>
        <w:rPr>
          <w:rFonts w:ascii="Symbol" w:hAnsi="Symbol"/>
          <w:w w:val="80"/>
          <w:sz w:val="17"/>
        </w:rPr>
        <w:t></w:t>
      </w:r>
      <w:r>
        <w:rPr>
          <w:spacing w:val="-8"/>
          <w:w w:val="80"/>
          <w:sz w:val="17"/>
        </w:rPr>
        <w:t> </w:t>
      </w:r>
      <w:r>
        <w:rPr>
          <w:rFonts w:ascii="Symbol" w:hAnsi="Symbol"/>
          <w:w w:val="80"/>
          <w:sz w:val="18"/>
        </w:rPr>
        <w:t></w:t>
      </w:r>
      <w:r>
        <w:rPr>
          <w:spacing w:val="12"/>
          <w:w w:val="80"/>
          <w:sz w:val="18"/>
        </w:rPr>
        <w:t> </w:t>
      </w:r>
      <w:r>
        <w:rPr>
          <w:i/>
          <w:w w:val="80"/>
          <w:sz w:val="17"/>
        </w:rPr>
        <w:t>D</w:t>
      </w:r>
      <w:r>
        <w:rPr>
          <w:i/>
          <w:spacing w:val="26"/>
          <w:w w:val="80"/>
          <w:sz w:val="17"/>
        </w:rPr>
        <w:t> </w:t>
      </w:r>
      <w:r>
        <w:rPr>
          <w:rFonts w:ascii="Symbol" w:hAnsi="Symbol"/>
          <w:w w:val="80"/>
          <w:sz w:val="17"/>
        </w:rPr>
        <w:t></w:t>
      </w:r>
    </w:p>
    <w:p>
      <w:pPr>
        <w:spacing w:after="0" w:line="124" w:lineRule="exact"/>
        <w:jc w:val="left"/>
        <w:rPr>
          <w:rFonts w:ascii="Symbol" w:hAnsi="Symbol"/>
          <w:sz w:val="17"/>
        </w:rPr>
        <w:sectPr>
          <w:type w:val="continuous"/>
          <w:pgSz w:w="12240" w:h="15840"/>
          <w:pgMar w:top="1500" w:bottom="1200" w:left="1320" w:right="440"/>
          <w:cols w:num="2" w:equalWidth="0">
            <w:col w:w="8669" w:space="40"/>
            <w:col w:w="1771"/>
          </w:cols>
        </w:sectPr>
      </w:pPr>
    </w:p>
    <w:p>
      <w:pPr>
        <w:tabs>
          <w:tab w:pos="1630" w:val="left" w:leader="none"/>
          <w:tab w:pos="2047" w:val="left" w:leader="none"/>
          <w:tab w:pos="2608" w:val="left" w:leader="none"/>
        </w:tabs>
        <w:spacing w:before="2"/>
        <w:ind w:left="1835" w:right="0" w:hanging="464"/>
        <w:jc w:val="left"/>
        <w:rPr>
          <w:sz w:val="10"/>
        </w:rPr>
      </w:pPr>
      <w:r>
        <w:rPr>
          <w:i/>
          <w:w w:val="95"/>
          <w:sz w:val="10"/>
        </w:rPr>
        <w:t>t</w:t>
        <w:tab/>
      </w:r>
      <w:r>
        <w:rPr>
          <w:w w:val="95"/>
          <w:sz w:val="10"/>
        </w:rPr>
        <w:t>0</w:t>
        <w:tab/>
        <w:tab/>
        <w:t>1</w:t>
      </w:r>
      <w:r>
        <w:rPr>
          <w:i/>
          <w:w w:val="95"/>
          <w:sz w:val="10"/>
        </w:rPr>
        <w:t>i</w:t>
        <w:tab/>
      </w:r>
      <w:r>
        <w:rPr>
          <w:i/>
          <w:spacing w:val="-6"/>
          <w:w w:val="80"/>
          <w:sz w:val="10"/>
        </w:rPr>
        <w:t>t </w:t>
      </w:r>
      <w:r>
        <w:rPr>
          <w:rFonts w:ascii="Symbol" w:hAnsi="Symbol"/>
          <w:spacing w:val="-5"/>
          <w:w w:val="80"/>
          <w:sz w:val="10"/>
        </w:rPr>
        <w:t></w:t>
      </w:r>
      <w:r>
        <w:rPr>
          <w:i/>
          <w:spacing w:val="-5"/>
          <w:w w:val="80"/>
          <w:sz w:val="10"/>
        </w:rPr>
        <w:t>i</w:t>
      </w:r>
      <w:r>
        <w:rPr>
          <w:i/>
          <w:spacing w:val="-4"/>
          <w:w w:val="80"/>
          <w:sz w:val="10"/>
        </w:rPr>
        <w:t> </w:t>
      </w:r>
      <w:r>
        <w:rPr>
          <w:i/>
          <w:w w:val="95"/>
          <w:sz w:val="10"/>
        </w:rPr>
        <w:t>i</w:t>
      </w:r>
      <w:r>
        <w:rPr>
          <w:rFonts w:ascii="Symbol" w:hAnsi="Symbol"/>
          <w:w w:val="95"/>
          <w:sz w:val="10"/>
        </w:rPr>
        <w:t></w:t>
      </w:r>
      <w:r>
        <w:rPr>
          <w:w w:val="95"/>
          <w:sz w:val="10"/>
        </w:rPr>
        <w:t>1</w:t>
      </w:r>
    </w:p>
    <w:p>
      <w:pPr>
        <w:spacing w:before="124"/>
        <w:ind w:left="119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5"/>
          <w:sz w:val="10"/>
        </w:rPr>
        <w:t>i</w:t>
      </w:r>
      <w:r>
        <w:rPr>
          <w:rFonts w:ascii="Symbol" w:hAnsi="Symbol"/>
          <w:w w:val="85"/>
          <w:sz w:val="10"/>
        </w:rPr>
        <w:t></w:t>
      </w:r>
      <w:r>
        <w:rPr>
          <w:w w:val="85"/>
          <w:sz w:val="10"/>
        </w:rPr>
        <w:t>0</w:t>
      </w:r>
    </w:p>
    <w:p>
      <w:pPr>
        <w:tabs>
          <w:tab w:pos="721" w:val="left" w:leader="none"/>
        </w:tabs>
        <w:spacing w:before="2"/>
        <w:ind w:left="69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5"/>
          <w:sz w:val="10"/>
        </w:rPr>
        <w:t>2</w:t>
      </w:r>
      <w:r>
        <w:rPr>
          <w:i/>
          <w:w w:val="95"/>
          <w:sz w:val="10"/>
        </w:rPr>
        <w:t>i</w:t>
        <w:tab/>
      </w:r>
      <w:r>
        <w:rPr>
          <w:i/>
          <w:spacing w:val="-5"/>
          <w:w w:val="80"/>
          <w:sz w:val="10"/>
        </w:rPr>
        <w:t>t</w:t>
      </w:r>
      <w:r>
        <w:rPr>
          <w:i/>
          <w:spacing w:val="-11"/>
          <w:w w:val="80"/>
          <w:sz w:val="10"/>
        </w:rPr>
        <w:t> </w:t>
      </w:r>
      <w:r>
        <w:rPr>
          <w:rFonts w:ascii="Symbol" w:hAnsi="Symbol"/>
          <w:spacing w:val="-5"/>
          <w:w w:val="80"/>
          <w:sz w:val="10"/>
        </w:rPr>
        <w:t></w:t>
      </w:r>
      <w:r>
        <w:rPr>
          <w:i/>
          <w:spacing w:val="-5"/>
          <w:w w:val="80"/>
          <w:sz w:val="10"/>
        </w:rPr>
        <w:t>i</w:t>
      </w:r>
    </w:p>
    <w:p>
      <w:pPr>
        <w:spacing w:before="9"/>
        <w:ind w:left="346" w:right="0" w:firstLine="0"/>
        <w:jc w:val="left"/>
        <w:rPr>
          <w:i/>
          <w:sz w:val="10"/>
        </w:rPr>
      </w:pPr>
      <w:r>
        <w:rPr/>
        <w:br w:type="column"/>
      </w:r>
      <w:r>
        <w:rPr>
          <w:spacing w:val="-1"/>
          <w:w w:val="85"/>
          <w:sz w:val="10"/>
        </w:rPr>
        <w:t>3</w:t>
      </w:r>
      <w:r>
        <w:rPr>
          <w:i/>
          <w:spacing w:val="-1"/>
          <w:w w:val="85"/>
          <w:sz w:val="10"/>
        </w:rPr>
        <w:t>i</w:t>
      </w:r>
    </w:p>
    <w:p>
      <w:pPr>
        <w:spacing w:before="0"/>
        <w:ind w:left="119" w:right="0" w:firstLine="0"/>
        <w:jc w:val="left"/>
        <w:rPr>
          <w:sz w:val="10"/>
        </w:rPr>
      </w:pPr>
      <w:r>
        <w:rPr>
          <w:i/>
          <w:w w:val="95"/>
          <w:sz w:val="10"/>
        </w:rPr>
        <w:t>i</w:t>
      </w:r>
      <w:r>
        <w:rPr>
          <w:rFonts w:ascii="Symbol" w:hAnsi="Symbol"/>
          <w:w w:val="95"/>
          <w:sz w:val="10"/>
        </w:rPr>
        <w:t></w:t>
      </w:r>
      <w:r>
        <w:rPr>
          <w:w w:val="95"/>
          <w:sz w:val="10"/>
        </w:rPr>
        <w:t>0</w:t>
      </w:r>
    </w:p>
    <w:p>
      <w:pPr>
        <w:spacing w:before="59"/>
        <w:ind w:left="0" w:right="0" w:firstLine="0"/>
        <w:jc w:val="right"/>
        <w:rPr>
          <w:i/>
          <w:sz w:val="7"/>
        </w:rPr>
      </w:pPr>
      <w:r>
        <w:rPr/>
        <w:br w:type="column"/>
      </w:r>
      <w:r>
        <w:rPr>
          <w:i/>
          <w:w w:val="95"/>
          <w:sz w:val="7"/>
        </w:rPr>
        <w:t>t</w:t>
      </w:r>
      <w:r>
        <w:rPr>
          <w:rFonts w:ascii="Symbol" w:hAnsi="Symbol"/>
          <w:w w:val="95"/>
          <w:sz w:val="7"/>
        </w:rPr>
        <w:t></w:t>
      </w:r>
      <w:r>
        <w:rPr>
          <w:i/>
          <w:w w:val="95"/>
          <w:sz w:val="7"/>
        </w:rPr>
        <w:t>i</w:t>
      </w:r>
      <w:r>
        <w:rPr>
          <w:i/>
          <w:sz w:val="7"/>
        </w:rPr>
        <w:t> </w:t>
      </w:r>
      <w:r>
        <w:rPr>
          <w:i/>
          <w:spacing w:val="1"/>
          <w:sz w:val="7"/>
        </w:rPr>
        <w:t> </w:t>
      </w:r>
    </w:p>
    <w:p>
      <w:pPr>
        <w:spacing w:before="124"/>
        <w:ind w:left="71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5"/>
          <w:sz w:val="10"/>
        </w:rPr>
        <w:t>i</w:t>
      </w:r>
      <w:r>
        <w:rPr>
          <w:rFonts w:ascii="Symbol" w:hAnsi="Symbol"/>
          <w:w w:val="85"/>
          <w:sz w:val="10"/>
        </w:rPr>
        <w:t></w:t>
      </w:r>
      <w:r>
        <w:rPr>
          <w:w w:val="85"/>
          <w:sz w:val="10"/>
        </w:rPr>
        <w:t>0</w:t>
      </w:r>
    </w:p>
    <w:p>
      <w:pPr>
        <w:tabs>
          <w:tab w:pos="648" w:val="left" w:leader="none"/>
        </w:tabs>
        <w:spacing w:before="2"/>
        <w:ind w:left="69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5"/>
          <w:sz w:val="10"/>
        </w:rPr>
        <w:t>4</w:t>
      </w:r>
      <w:r>
        <w:rPr>
          <w:i/>
          <w:w w:val="95"/>
          <w:sz w:val="10"/>
        </w:rPr>
        <w:t>i</w:t>
        <w:tab/>
      </w:r>
      <w:r>
        <w:rPr>
          <w:i/>
          <w:spacing w:val="-6"/>
          <w:w w:val="80"/>
          <w:sz w:val="10"/>
        </w:rPr>
        <w:t>t</w:t>
      </w:r>
      <w:r>
        <w:rPr>
          <w:i/>
          <w:spacing w:val="-11"/>
          <w:w w:val="80"/>
          <w:sz w:val="10"/>
        </w:rPr>
        <w:t> </w:t>
      </w:r>
      <w:r>
        <w:rPr>
          <w:rFonts w:ascii="Symbol" w:hAnsi="Symbol"/>
          <w:spacing w:val="-5"/>
          <w:w w:val="80"/>
          <w:sz w:val="10"/>
        </w:rPr>
        <w:t></w:t>
      </w:r>
      <w:r>
        <w:rPr>
          <w:i/>
          <w:spacing w:val="-5"/>
          <w:w w:val="80"/>
          <w:sz w:val="10"/>
        </w:rPr>
        <w:t>i</w:t>
      </w:r>
    </w:p>
    <w:p>
      <w:pPr>
        <w:spacing w:before="124"/>
        <w:ind w:left="120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5"/>
          <w:sz w:val="10"/>
        </w:rPr>
        <w:t>i</w:t>
      </w:r>
      <w:r>
        <w:rPr>
          <w:rFonts w:ascii="Symbol" w:hAnsi="Symbol"/>
          <w:w w:val="85"/>
          <w:sz w:val="10"/>
        </w:rPr>
        <w:t></w:t>
      </w:r>
      <w:r>
        <w:rPr>
          <w:w w:val="85"/>
          <w:sz w:val="10"/>
        </w:rPr>
        <w:t>0</w:t>
      </w:r>
    </w:p>
    <w:p>
      <w:pPr>
        <w:tabs>
          <w:tab w:pos="635" w:val="left" w:leader="none"/>
        </w:tabs>
        <w:spacing w:before="2"/>
        <w:ind w:left="66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5"/>
          <w:sz w:val="10"/>
        </w:rPr>
        <w:t>5</w:t>
      </w:r>
      <w:r>
        <w:rPr>
          <w:i/>
          <w:w w:val="95"/>
          <w:sz w:val="10"/>
        </w:rPr>
        <w:t>i</w:t>
        <w:tab/>
      </w:r>
      <w:r>
        <w:rPr>
          <w:i/>
          <w:spacing w:val="-6"/>
          <w:w w:val="80"/>
          <w:sz w:val="10"/>
        </w:rPr>
        <w:t>t</w:t>
      </w:r>
      <w:r>
        <w:rPr>
          <w:i/>
          <w:spacing w:val="-9"/>
          <w:w w:val="80"/>
          <w:sz w:val="10"/>
        </w:rPr>
        <w:t> </w:t>
      </w:r>
      <w:r>
        <w:rPr>
          <w:rFonts w:ascii="Symbol" w:hAnsi="Symbol"/>
          <w:spacing w:val="-6"/>
          <w:w w:val="80"/>
          <w:sz w:val="10"/>
        </w:rPr>
        <w:t></w:t>
      </w:r>
      <w:r>
        <w:rPr>
          <w:i/>
          <w:spacing w:val="-6"/>
          <w:w w:val="80"/>
          <w:sz w:val="10"/>
        </w:rPr>
        <w:t>i</w:t>
      </w:r>
    </w:p>
    <w:p>
      <w:pPr>
        <w:spacing w:before="124"/>
        <w:ind w:left="100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5"/>
          <w:sz w:val="10"/>
        </w:rPr>
        <w:t>i</w:t>
      </w:r>
      <w:r>
        <w:rPr>
          <w:rFonts w:ascii="Symbol" w:hAnsi="Symbol"/>
          <w:w w:val="85"/>
          <w:sz w:val="10"/>
        </w:rPr>
        <w:t></w:t>
      </w:r>
      <w:r>
        <w:rPr>
          <w:w w:val="85"/>
          <w:sz w:val="10"/>
        </w:rPr>
        <w:t>0</w:t>
      </w:r>
    </w:p>
    <w:p>
      <w:pPr>
        <w:tabs>
          <w:tab w:pos="570" w:val="left" w:leader="none"/>
        </w:tabs>
        <w:spacing w:before="2"/>
        <w:ind w:left="68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5"/>
          <w:sz w:val="10"/>
        </w:rPr>
        <w:t>6</w:t>
      </w:r>
      <w:r>
        <w:rPr>
          <w:i/>
          <w:w w:val="95"/>
          <w:sz w:val="10"/>
        </w:rPr>
        <w:t>i</w:t>
        <w:tab/>
      </w:r>
      <w:r>
        <w:rPr>
          <w:i/>
          <w:spacing w:val="-6"/>
          <w:w w:val="80"/>
          <w:sz w:val="10"/>
        </w:rPr>
        <w:t>t</w:t>
      </w:r>
      <w:r>
        <w:rPr>
          <w:i/>
          <w:spacing w:val="-10"/>
          <w:w w:val="80"/>
          <w:sz w:val="10"/>
        </w:rPr>
        <w:t> </w:t>
      </w:r>
      <w:r>
        <w:rPr>
          <w:rFonts w:ascii="Symbol" w:hAnsi="Symbol"/>
          <w:spacing w:val="-5"/>
          <w:w w:val="80"/>
          <w:sz w:val="10"/>
        </w:rPr>
        <w:t></w:t>
      </w:r>
      <w:r>
        <w:rPr>
          <w:i/>
          <w:spacing w:val="-5"/>
          <w:w w:val="80"/>
          <w:sz w:val="10"/>
        </w:rPr>
        <w:t>i</w:t>
      </w:r>
    </w:p>
    <w:p>
      <w:pPr>
        <w:spacing w:before="124"/>
        <w:ind w:left="120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5"/>
          <w:sz w:val="10"/>
        </w:rPr>
        <w:t>i</w:t>
      </w:r>
      <w:r>
        <w:rPr>
          <w:rFonts w:ascii="Symbol" w:hAnsi="Symbol"/>
          <w:w w:val="85"/>
          <w:sz w:val="10"/>
        </w:rPr>
        <w:t></w:t>
      </w:r>
      <w:r>
        <w:rPr>
          <w:w w:val="85"/>
          <w:sz w:val="10"/>
        </w:rPr>
        <w:t>0</w:t>
      </w:r>
    </w:p>
    <w:p>
      <w:pPr>
        <w:tabs>
          <w:tab w:pos="357" w:val="left" w:leader="none"/>
          <w:tab w:pos="675" w:val="left" w:leader="none"/>
        </w:tabs>
        <w:spacing w:before="2"/>
        <w:ind w:left="68" w:right="0" w:firstLine="0"/>
        <w:jc w:val="left"/>
        <w:rPr>
          <w:i/>
          <w:sz w:val="10"/>
        </w:rPr>
      </w:pPr>
      <w:r>
        <w:rPr/>
        <w:br w:type="column"/>
      </w:r>
      <w:r>
        <w:rPr>
          <w:w w:val="95"/>
          <w:sz w:val="10"/>
        </w:rPr>
        <w:t>7</w:t>
      </w:r>
      <w:r>
        <w:rPr>
          <w:i/>
          <w:w w:val="95"/>
          <w:sz w:val="10"/>
        </w:rPr>
        <w:t>i</w:t>
        <w:tab/>
      </w:r>
      <w:r>
        <w:rPr>
          <w:i/>
          <w:w w:val="80"/>
          <w:sz w:val="10"/>
        </w:rPr>
        <w:t>t</w:t>
      </w:r>
      <w:r>
        <w:rPr>
          <w:i/>
          <w:spacing w:val="-10"/>
          <w:w w:val="80"/>
          <w:sz w:val="10"/>
        </w:rPr>
        <w:t> </w:t>
      </w:r>
      <w:r>
        <w:rPr>
          <w:rFonts w:ascii="Symbol" w:hAnsi="Symbol"/>
          <w:w w:val="80"/>
          <w:sz w:val="10"/>
        </w:rPr>
        <w:t></w:t>
      </w:r>
      <w:r>
        <w:rPr>
          <w:i/>
          <w:w w:val="80"/>
          <w:sz w:val="10"/>
        </w:rPr>
        <w:t>i</w:t>
        <w:tab/>
      </w:r>
      <w:r>
        <w:rPr>
          <w:w w:val="95"/>
          <w:sz w:val="10"/>
        </w:rPr>
        <w:t>8</w:t>
      </w:r>
      <w:r>
        <w:rPr>
          <w:spacing w:val="68"/>
          <w:sz w:val="10"/>
        </w:rPr>
        <w:t> </w:t>
      </w:r>
      <w:r>
        <w:rPr>
          <w:i/>
          <w:w w:val="95"/>
          <w:sz w:val="10"/>
        </w:rPr>
        <w:t>i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13" w:equalWidth="0">
            <w:col w:w="2711" w:space="40"/>
            <w:col w:w="240" w:space="39"/>
            <w:col w:w="824" w:space="39"/>
            <w:col w:w="411" w:space="39"/>
            <w:col w:w="589" w:space="40"/>
            <w:col w:w="191" w:space="39"/>
            <w:col w:w="751" w:space="39"/>
            <w:col w:w="240" w:space="40"/>
            <w:col w:w="738" w:space="39"/>
            <w:col w:w="221" w:space="40"/>
            <w:col w:w="674" w:space="39"/>
            <w:col w:w="241" w:space="39"/>
            <w:col w:w="2177"/>
          </w:cols>
        </w:sectPr>
      </w:pPr>
    </w:p>
    <w:p>
      <w:pPr>
        <w:spacing w:line="124" w:lineRule="exact" w:before="45"/>
        <w:ind w:left="833" w:right="0" w:firstLine="0"/>
        <w:jc w:val="left"/>
        <w:rPr>
          <w:i/>
          <w:sz w:val="17"/>
        </w:rPr>
      </w:pPr>
      <w:r>
        <w:rPr>
          <w:rFonts w:ascii="Symbol" w:hAnsi="Symbol"/>
          <w:spacing w:val="-1"/>
          <w:w w:val="85"/>
          <w:sz w:val="17"/>
        </w:rPr>
        <w:t></w:t>
      </w:r>
      <w:r>
        <w:rPr>
          <w:rFonts w:ascii="Symbol" w:hAnsi="Symbol"/>
          <w:spacing w:val="-1"/>
          <w:w w:val="85"/>
          <w:sz w:val="18"/>
        </w:rPr>
        <w:t></w:t>
      </w:r>
      <w:r>
        <w:rPr>
          <w:spacing w:val="-2"/>
          <w:w w:val="85"/>
          <w:sz w:val="18"/>
        </w:rPr>
        <w:t> </w:t>
      </w:r>
      <w:r>
        <w:rPr>
          <w:i/>
          <w:spacing w:val="-1"/>
          <w:w w:val="85"/>
          <w:sz w:val="17"/>
        </w:rPr>
        <w:t>LnFAB</w:t>
      </w:r>
    </w:p>
    <w:p>
      <w:pPr>
        <w:pStyle w:val="ListParagraph"/>
        <w:numPr>
          <w:ilvl w:val="0"/>
          <w:numId w:val="20"/>
        </w:numPr>
        <w:tabs>
          <w:tab w:pos="195" w:val="left" w:leader="none"/>
        </w:tabs>
        <w:spacing w:line="124" w:lineRule="exact" w:before="45" w:after="0"/>
        <w:ind w:left="194" w:right="0" w:hanging="98"/>
        <w:jc w:val="left"/>
        <w:rPr>
          <w:i/>
          <w:sz w:val="17"/>
        </w:rPr>
      </w:pPr>
      <w:r>
        <w:rPr>
          <w:rFonts w:ascii="Symbol" w:hAnsi="Symbol"/>
          <w:w w:val="80"/>
          <w:sz w:val="18"/>
        </w:rPr>
        <w:br w:type="column"/>
      </w:r>
      <w:r>
        <w:rPr>
          <w:rFonts w:ascii="Symbol" w:hAnsi="Symbol"/>
          <w:w w:val="85"/>
          <w:sz w:val="18"/>
        </w:rPr>
        <w:t></w:t>
      </w:r>
      <w:r>
        <w:rPr>
          <w:spacing w:val="7"/>
          <w:w w:val="85"/>
          <w:sz w:val="18"/>
        </w:rPr>
        <w:t> </w:t>
      </w:r>
      <w:r>
        <w:rPr>
          <w:i/>
          <w:w w:val="85"/>
          <w:sz w:val="17"/>
        </w:rPr>
        <w:t>LnREER</w:t>
      </w:r>
    </w:p>
    <w:p>
      <w:pPr>
        <w:pStyle w:val="ListParagraph"/>
        <w:numPr>
          <w:ilvl w:val="0"/>
          <w:numId w:val="20"/>
        </w:numPr>
        <w:tabs>
          <w:tab w:pos="196" w:val="left" w:leader="none"/>
        </w:tabs>
        <w:spacing w:line="124" w:lineRule="exact" w:before="45" w:after="0"/>
        <w:ind w:left="195" w:right="0" w:hanging="99"/>
        <w:jc w:val="left"/>
        <w:rPr>
          <w:i/>
          <w:sz w:val="17"/>
        </w:rPr>
      </w:pPr>
      <w:r>
        <w:rPr>
          <w:rFonts w:ascii="Symbol" w:hAnsi="Symbol"/>
          <w:w w:val="80"/>
          <w:sz w:val="18"/>
        </w:rPr>
        <w:br w:type="column"/>
      </w:r>
      <w:r>
        <w:rPr>
          <w:rFonts w:ascii="Symbol" w:hAnsi="Symbol"/>
          <w:w w:val="80"/>
          <w:sz w:val="18"/>
        </w:rPr>
        <w:t></w:t>
      </w:r>
      <w:r>
        <w:rPr>
          <w:spacing w:val="28"/>
          <w:sz w:val="18"/>
        </w:rPr>
        <w:t> </w:t>
      </w:r>
      <w:r>
        <w:rPr>
          <w:i/>
          <w:w w:val="80"/>
          <w:sz w:val="17"/>
        </w:rPr>
        <w:t>LnGDP</w:t>
      </w:r>
      <w:r>
        <w:rPr>
          <w:i/>
          <w:w w:val="80"/>
          <w:sz w:val="17"/>
          <w:vertAlign w:val="superscript"/>
        </w:rPr>
        <w:t>d</w:t>
      </w:r>
      <w:r>
        <w:rPr>
          <w:i/>
          <w:spacing w:val="40"/>
          <w:sz w:val="17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</w:t>
      </w:r>
      <w:r>
        <w:rPr>
          <w:spacing w:val="-14"/>
          <w:w w:val="80"/>
          <w:sz w:val="17"/>
          <w:vertAlign w:val="baseline"/>
        </w:rPr>
        <w:t> </w:t>
      </w:r>
      <w:r>
        <w:rPr>
          <w:rFonts w:ascii="Symbol" w:hAnsi="Symbol"/>
          <w:w w:val="80"/>
          <w:sz w:val="18"/>
          <w:vertAlign w:val="baseline"/>
        </w:rPr>
        <w:t></w:t>
      </w:r>
      <w:r>
        <w:rPr>
          <w:spacing w:val="34"/>
          <w:sz w:val="18"/>
          <w:vertAlign w:val="baseline"/>
        </w:rPr>
        <w:t> </w:t>
      </w:r>
      <w:r>
        <w:rPr>
          <w:i/>
          <w:w w:val="80"/>
          <w:sz w:val="17"/>
          <w:vertAlign w:val="baseline"/>
        </w:rPr>
        <w:t>LnGDP</w:t>
      </w:r>
      <w:r>
        <w:rPr>
          <w:i/>
          <w:spacing w:val="-7"/>
          <w:w w:val="80"/>
          <w:sz w:val="17"/>
          <w:vertAlign w:val="baseline"/>
        </w:rPr>
        <w:t> </w:t>
      </w:r>
      <w:r>
        <w:rPr>
          <w:i/>
          <w:w w:val="80"/>
          <w:sz w:val="17"/>
          <w:vertAlign w:val="superscript"/>
        </w:rPr>
        <w:t>f</w:t>
      </w:r>
      <w:r>
        <w:rPr>
          <w:i/>
          <w:spacing w:val="31"/>
          <w:w w:val="80"/>
          <w:sz w:val="17"/>
          <w:vertAlign w:val="baseline"/>
        </w:rPr>
        <w:t> </w:t>
      </w:r>
      <w:r>
        <w:rPr>
          <w:rFonts w:ascii="Symbol" w:hAnsi="Symbol"/>
          <w:w w:val="80"/>
          <w:sz w:val="17"/>
          <w:vertAlign w:val="baseline"/>
        </w:rPr>
        <w:t></w:t>
      </w:r>
      <w:r>
        <w:rPr>
          <w:spacing w:val="-13"/>
          <w:w w:val="80"/>
          <w:sz w:val="17"/>
          <w:vertAlign w:val="baseline"/>
        </w:rPr>
        <w:t> </w:t>
      </w:r>
      <w:r>
        <w:rPr>
          <w:rFonts w:ascii="Symbol" w:hAnsi="Symbol"/>
          <w:w w:val="80"/>
          <w:sz w:val="18"/>
          <w:vertAlign w:val="baseline"/>
        </w:rPr>
        <w:t></w:t>
      </w:r>
      <w:r>
        <w:rPr>
          <w:spacing w:val="29"/>
          <w:sz w:val="18"/>
          <w:vertAlign w:val="baseline"/>
        </w:rPr>
        <w:t> </w:t>
      </w:r>
      <w:r>
        <w:rPr>
          <w:i/>
          <w:w w:val="80"/>
          <w:sz w:val="17"/>
          <w:vertAlign w:val="baseline"/>
        </w:rPr>
        <w:t>LnWPI</w:t>
      </w:r>
    </w:p>
    <w:p>
      <w:pPr>
        <w:pStyle w:val="ListParagraph"/>
        <w:numPr>
          <w:ilvl w:val="0"/>
          <w:numId w:val="20"/>
        </w:numPr>
        <w:tabs>
          <w:tab w:pos="207" w:val="left" w:leader="none"/>
        </w:tabs>
        <w:spacing w:line="124" w:lineRule="exact" w:before="45" w:after="0"/>
        <w:ind w:left="206" w:right="0" w:hanging="99"/>
        <w:jc w:val="left"/>
        <w:rPr>
          <w:rFonts w:ascii="Symbol" w:hAnsi="Symbol"/>
          <w:sz w:val="18"/>
        </w:rPr>
      </w:pPr>
      <w:r>
        <w:rPr>
          <w:rFonts w:ascii="Symbol" w:hAnsi="Symbol"/>
          <w:w w:val="80"/>
          <w:sz w:val="18"/>
        </w:rPr>
        <w:br w:type="column"/>
      </w:r>
      <w:r>
        <w:rPr>
          <w:rFonts w:ascii="Symbol" w:hAnsi="Symbol"/>
          <w:w w:val="80"/>
          <w:sz w:val="18"/>
        </w:rPr>
        <w:t></w:t>
      </w:r>
      <w:r>
        <w:rPr>
          <w:spacing w:val="27"/>
          <w:sz w:val="18"/>
        </w:rPr>
        <w:t> </w:t>
      </w:r>
      <w:r>
        <w:rPr>
          <w:i/>
          <w:w w:val="80"/>
          <w:sz w:val="17"/>
        </w:rPr>
        <w:t>LnMS</w:t>
      </w:r>
      <w:r>
        <w:rPr>
          <w:i/>
          <w:spacing w:val="79"/>
          <w:sz w:val="17"/>
        </w:rPr>
        <w:t> </w:t>
      </w:r>
      <w:r>
        <w:rPr>
          <w:rFonts w:ascii="Symbol" w:hAnsi="Symbol"/>
          <w:w w:val="80"/>
          <w:sz w:val="17"/>
        </w:rPr>
        <w:t></w:t>
      </w:r>
      <w:r>
        <w:rPr>
          <w:spacing w:val="-14"/>
          <w:w w:val="80"/>
          <w:sz w:val="17"/>
        </w:rPr>
        <w:t> </w:t>
      </w:r>
      <w:r>
        <w:rPr>
          <w:rFonts w:ascii="Symbol" w:hAnsi="Symbol"/>
          <w:w w:val="80"/>
          <w:sz w:val="18"/>
        </w:rPr>
        <w:t></w:t>
      </w:r>
    </w:p>
    <w:p>
      <w:pPr>
        <w:spacing w:after="0" w:line="124" w:lineRule="exact"/>
        <w:jc w:val="left"/>
        <w:rPr>
          <w:rFonts w:ascii="Symbol" w:hAnsi="Symbol"/>
          <w:sz w:val="18"/>
        </w:rPr>
        <w:sectPr>
          <w:type w:val="continuous"/>
          <w:pgSz w:w="12240" w:h="15840"/>
          <w:pgMar w:top="1500" w:bottom="1200" w:left="1320" w:right="440"/>
          <w:cols w:num="4" w:equalWidth="0">
            <w:col w:w="1437" w:space="40"/>
            <w:col w:w="822" w:space="39"/>
            <w:col w:w="2278" w:space="39"/>
            <w:col w:w="5825"/>
          </w:cols>
        </w:sectPr>
      </w:pPr>
    </w:p>
    <w:p>
      <w:pPr>
        <w:tabs>
          <w:tab w:pos="1428" w:val="left" w:leader="none"/>
          <w:tab w:pos="1789" w:val="right" w:leader="none"/>
        </w:tabs>
        <w:spacing w:before="2"/>
        <w:ind w:left="978" w:right="0" w:firstLine="0"/>
        <w:jc w:val="left"/>
        <w:rPr>
          <w:sz w:val="10"/>
        </w:rPr>
      </w:pPr>
      <w:r>
        <w:rPr>
          <w:w w:val="95"/>
          <w:sz w:val="10"/>
        </w:rPr>
        <w:t>1</w:t>
        <w:tab/>
      </w:r>
      <w:r>
        <w:rPr>
          <w:i/>
          <w:w w:val="80"/>
          <w:sz w:val="10"/>
        </w:rPr>
        <w:t>t</w:t>
      </w:r>
      <w:r>
        <w:rPr>
          <w:i/>
          <w:spacing w:val="-12"/>
          <w:w w:val="80"/>
          <w:sz w:val="10"/>
        </w:rPr>
        <w:t> </w:t>
      </w:r>
      <w:r>
        <w:rPr>
          <w:rFonts w:ascii="Symbol" w:hAnsi="Symbol"/>
          <w:w w:val="80"/>
          <w:sz w:val="10"/>
        </w:rPr>
        <w:t></w:t>
      </w:r>
      <w:r>
        <w:rPr>
          <w:w w:val="80"/>
          <w:sz w:val="10"/>
        </w:rPr>
        <w:t>1</w:t>
        <w:tab/>
        <w:t>2</w:t>
      </w:r>
    </w:p>
    <w:p>
      <w:pPr>
        <w:tabs>
          <w:tab w:pos="777" w:val="left" w:leader="none"/>
        </w:tabs>
        <w:spacing w:before="2"/>
        <w:ind w:left="460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1"/>
          <w:w w:val="80"/>
          <w:sz w:val="10"/>
        </w:rPr>
        <w:t>t</w:t>
      </w:r>
      <w:r>
        <w:rPr>
          <w:i/>
          <w:spacing w:val="-12"/>
          <w:w w:val="80"/>
          <w:sz w:val="10"/>
        </w:rPr>
        <w:t> </w:t>
      </w:r>
      <w:r>
        <w:rPr>
          <w:rFonts w:ascii="Symbol" w:hAnsi="Symbol"/>
          <w:spacing w:val="-1"/>
          <w:w w:val="80"/>
          <w:sz w:val="10"/>
        </w:rPr>
        <w:t></w:t>
      </w:r>
      <w:r>
        <w:rPr>
          <w:spacing w:val="-1"/>
          <w:w w:val="80"/>
          <w:sz w:val="10"/>
        </w:rPr>
        <w:t>1</w:t>
        <w:tab/>
      </w:r>
      <w:r>
        <w:rPr>
          <w:spacing w:val="-12"/>
          <w:w w:val="95"/>
          <w:sz w:val="10"/>
        </w:rPr>
        <w:t>3</w:t>
      </w:r>
    </w:p>
    <w:p>
      <w:pPr>
        <w:tabs>
          <w:tab w:pos="745" w:val="right" w:leader="none"/>
        </w:tabs>
        <w:spacing w:before="2"/>
        <w:ind w:left="385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0"/>
          <w:sz w:val="10"/>
        </w:rPr>
        <w:t>t</w:t>
      </w:r>
      <w:r>
        <w:rPr>
          <w:i/>
          <w:spacing w:val="-12"/>
          <w:w w:val="80"/>
          <w:sz w:val="10"/>
        </w:rPr>
        <w:t> </w:t>
      </w:r>
      <w:r>
        <w:rPr>
          <w:rFonts w:ascii="Symbol" w:hAnsi="Symbol"/>
          <w:w w:val="80"/>
          <w:sz w:val="10"/>
        </w:rPr>
        <w:t></w:t>
      </w:r>
      <w:r>
        <w:rPr>
          <w:w w:val="80"/>
          <w:sz w:val="10"/>
        </w:rPr>
        <w:t>1</w:t>
        <w:tab/>
        <w:t>4</w:t>
      </w:r>
    </w:p>
    <w:p>
      <w:pPr>
        <w:tabs>
          <w:tab w:pos="728" w:val="right" w:leader="none"/>
        </w:tabs>
        <w:spacing w:before="6"/>
        <w:ind w:left="395" w:right="0" w:firstLine="0"/>
        <w:jc w:val="left"/>
        <w:rPr>
          <w:sz w:val="10"/>
        </w:rPr>
      </w:pPr>
      <w:r>
        <w:rPr/>
        <w:br w:type="column"/>
      </w:r>
      <w:r>
        <w:rPr>
          <w:i/>
          <w:w w:val="95"/>
          <w:sz w:val="7"/>
        </w:rPr>
        <w:t>t</w:t>
      </w:r>
      <w:r>
        <w:rPr>
          <w:rFonts w:ascii="Symbol" w:hAnsi="Symbol"/>
          <w:w w:val="95"/>
          <w:sz w:val="7"/>
        </w:rPr>
        <w:t></w:t>
      </w:r>
      <w:r>
        <w:rPr>
          <w:i/>
          <w:w w:val="95"/>
          <w:sz w:val="7"/>
        </w:rPr>
        <w:t>i</w:t>
        <w:tab/>
      </w:r>
      <w:r>
        <w:rPr>
          <w:w w:val="95"/>
          <w:position w:val="3"/>
          <w:sz w:val="10"/>
        </w:rPr>
        <w:t>5</w:t>
      </w:r>
    </w:p>
    <w:p>
      <w:pPr>
        <w:tabs>
          <w:tab w:pos="735" w:val="right" w:leader="none"/>
        </w:tabs>
        <w:spacing w:before="2"/>
        <w:ind w:left="377" w:right="0" w:firstLine="0"/>
        <w:jc w:val="left"/>
        <w:rPr>
          <w:sz w:val="10"/>
        </w:rPr>
      </w:pPr>
      <w:r>
        <w:rPr/>
        <w:br w:type="column"/>
      </w:r>
      <w:r>
        <w:rPr>
          <w:i/>
          <w:w w:val="80"/>
          <w:sz w:val="10"/>
        </w:rPr>
        <w:t>t</w:t>
      </w:r>
      <w:r>
        <w:rPr>
          <w:i/>
          <w:spacing w:val="-12"/>
          <w:w w:val="80"/>
          <w:sz w:val="10"/>
        </w:rPr>
        <w:t> </w:t>
      </w:r>
      <w:r>
        <w:rPr>
          <w:rFonts w:ascii="Symbol" w:hAnsi="Symbol"/>
          <w:w w:val="80"/>
          <w:sz w:val="10"/>
        </w:rPr>
        <w:t></w:t>
      </w:r>
      <w:r>
        <w:rPr>
          <w:i/>
          <w:w w:val="80"/>
          <w:sz w:val="10"/>
        </w:rPr>
        <w:t>i</w:t>
        <w:tab/>
      </w:r>
      <w:r>
        <w:rPr>
          <w:w w:val="80"/>
          <w:sz w:val="10"/>
        </w:rPr>
        <w:t>6</w:t>
      </w:r>
    </w:p>
    <w:p>
      <w:pPr>
        <w:tabs>
          <w:tab w:pos="626" w:val="left" w:leader="none"/>
        </w:tabs>
        <w:spacing w:before="2"/>
        <w:ind w:left="311" w:right="0" w:firstLine="0"/>
        <w:jc w:val="left"/>
        <w:rPr>
          <w:i/>
          <w:sz w:val="10"/>
        </w:rPr>
      </w:pPr>
      <w:r>
        <w:rPr/>
        <w:br w:type="column"/>
      </w:r>
      <w:r>
        <w:rPr>
          <w:i/>
          <w:spacing w:val="-1"/>
          <w:w w:val="80"/>
          <w:sz w:val="10"/>
        </w:rPr>
        <w:t>t</w:t>
      </w:r>
      <w:r>
        <w:rPr>
          <w:i/>
          <w:spacing w:val="-12"/>
          <w:w w:val="80"/>
          <w:sz w:val="10"/>
        </w:rPr>
        <w:t> </w:t>
      </w:r>
      <w:r>
        <w:rPr>
          <w:rFonts w:ascii="Symbol" w:hAnsi="Symbol"/>
          <w:w w:val="80"/>
          <w:sz w:val="10"/>
        </w:rPr>
        <w:t></w:t>
      </w:r>
      <w:r>
        <w:rPr>
          <w:w w:val="80"/>
          <w:sz w:val="10"/>
        </w:rPr>
        <w:t>1</w:t>
        <w:tab/>
      </w:r>
      <w:r>
        <w:rPr>
          <w:i/>
          <w:w w:val="95"/>
          <w:sz w:val="10"/>
        </w:rPr>
        <w:t>i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6" w:equalWidth="0">
            <w:col w:w="1790" w:space="40"/>
            <w:col w:w="820" w:space="39"/>
            <w:col w:w="747" w:space="39"/>
            <w:col w:w="729" w:space="39"/>
            <w:col w:w="736" w:space="40"/>
            <w:col w:w="5461"/>
          </w:cols>
        </w:sectPr>
      </w:pPr>
    </w:p>
    <w:p>
      <w:pPr>
        <w:pStyle w:val="Heading2"/>
        <w:spacing w:before="265"/>
      </w:pPr>
      <w:r>
        <w:rPr/>
        <w:t>The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Account Balance</w:t>
      </w:r>
    </w:p>
    <w:p>
      <w:pPr>
        <w:tabs>
          <w:tab w:pos="3317" w:val="left" w:leader="none"/>
          <w:tab w:pos="4673" w:val="left" w:leader="none"/>
          <w:tab w:pos="5894" w:val="left" w:leader="none"/>
          <w:tab w:pos="7162" w:val="left" w:leader="none"/>
        </w:tabs>
        <w:spacing w:line="58" w:lineRule="exact" w:before="258"/>
        <w:ind w:left="2073" w:right="0" w:firstLine="0"/>
        <w:jc w:val="left"/>
        <w:rPr>
          <w:i/>
          <w:sz w:val="12"/>
        </w:rPr>
      </w:pPr>
      <w:r>
        <w:rPr>
          <w:i/>
          <w:w w:val="95"/>
          <w:sz w:val="12"/>
        </w:rPr>
        <w:t>k</w:t>
        <w:tab/>
        <w:t>k</w:t>
        <w:tab/>
        <w:t>k</w:t>
        <w:tab/>
        <w:t>k</w:t>
        <w:tab/>
        <w:t>k</w:t>
      </w:r>
    </w:p>
    <w:p>
      <w:pPr>
        <w:spacing w:line="195" w:lineRule="exact" w:before="3"/>
        <w:ind w:left="838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85"/>
          <w:sz w:val="20"/>
        </w:rPr>
        <w:t></w:t>
      </w:r>
      <w:r>
        <w:rPr>
          <w:i/>
          <w:w w:val="85"/>
          <w:sz w:val="20"/>
        </w:rPr>
        <w:t>L</w:t>
      </w:r>
      <w:r>
        <w:rPr>
          <w:i/>
          <w:spacing w:val="-20"/>
          <w:w w:val="85"/>
          <w:sz w:val="20"/>
        </w:rPr>
        <w:t> </w:t>
      </w:r>
      <w:r>
        <w:rPr>
          <w:w w:val="85"/>
          <w:sz w:val="20"/>
        </w:rPr>
        <w:t>n</w:t>
      </w:r>
      <w:r>
        <w:rPr>
          <w:spacing w:val="-9"/>
          <w:w w:val="85"/>
          <w:sz w:val="20"/>
        </w:rPr>
        <w:t> </w:t>
      </w:r>
      <w:r>
        <w:rPr>
          <w:i/>
          <w:w w:val="85"/>
          <w:sz w:val="20"/>
        </w:rPr>
        <w:t>KAB</w:t>
      </w:r>
      <w:r>
        <w:rPr>
          <w:i/>
          <w:spacing w:val="37"/>
          <w:w w:val="85"/>
          <w:sz w:val="20"/>
        </w:rPr>
        <w:t> </w:t>
      </w:r>
      <w:r>
        <w:rPr>
          <w:rFonts w:ascii="Symbol" w:hAnsi="Symbol"/>
          <w:w w:val="85"/>
          <w:sz w:val="20"/>
        </w:rPr>
        <w:t></w:t>
      </w:r>
      <w:r>
        <w:rPr>
          <w:spacing w:val="-18"/>
          <w:w w:val="85"/>
          <w:sz w:val="20"/>
        </w:rPr>
        <w:t> </w:t>
      </w:r>
      <w:r>
        <w:rPr>
          <w:rFonts w:ascii="Symbol" w:hAnsi="Symbol"/>
          <w:w w:val="85"/>
          <w:sz w:val="21"/>
        </w:rPr>
        <w:t></w:t>
      </w:r>
      <w:r>
        <w:rPr>
          <w:spacing w:val="39"/>
          <w:sz w:val="21"/>
        </w:rPr>
        <w:t> </w:t>
      </w:r>
      <w:r>
        <w:rPr>
          <w:rFonts w:ascii="Symbol" w:hAnsi="Symbol"/>
          <w:w w:val="85"/>
          <w:sz w:val="20"/>
        </w:rPr>
        <w:t></w:t>
      </w:r>
      <w:r>
        <w:rPr>
          <w:spacing w:val="-14"/>
          <w:w w:val="85"/>
          <w:sz w:val="20"/>
        </w:rPr>
        <w:t> </w:t>
      </w:r>
      <w:r>
        <w:rPr>
          <w:rFonts w:ascii="Symbol" w:hAnsi="Symbol"/>
          <w:w w:val="85"/>
          <w:position w:val="-4"/>
          <w:sz w:val="31"/>
        </w:rPr>
        <w:t></w:t>
      </w:r>
      <w:r>
        <w:rPr>
          <w:rFonts w:ascii="Symbol" w:hAnsi="Symbol"/>
          <w:w w:val="85"/>
          <w:sz w:val="21"/>
        </w:rPr>
        <w:t></w:t>
      </w:r>
      <w:r>
        <w:rPr>
          <w:spacing w:val="28"/>
          <w:w w:val="85"/>
          <w:sz w:val="21"/>
        </w:rPr>
        <w:t> </w:t>
      </w:r>
      <w:r>
        <w:rPr>
          <w:rFonts w:ascii="Symbol" w:hAnsi="Symbol"/>
          <w:w w:val="85"/>
          <w:sz w:val="20"/>
        </w:rPr>
        <w:t></w:t>
      </w:r>
      <w:r>
        <w:rPr>
          <w:i/>
          <w:w w:val="85"/>
          <w:sz w:val="20"/>
        </w:rPr>
        <w:t>LnKAB</w:t>
      </w:r>
      <w:r>
        <w:rPr>
          <w:i/>
          <w:spacing w:val="111"/>
          <w:sz w:val="20"/>
        </w:rPr>
        <w:t> </w:t>
      </w:r>
      <w:r>
        <w:rPr>
          <w:rFonts w:ascii="Symbol" w:hAnsi="Symbol"/>
          <w:w w:val="85"/>
          <w:sz w:val="20"/>
        </w:rPr>
        <w:t></w:t>
      </w:r>
      <w:r>
        <w:rPr>
          <w:spacing w:val="-14"/>
          <w:w w:val="85"/>
          <w:sz w:val="20"/>
        </w:rPr>
        <w:t> </w:t>
      </w:r>
      <w:r>
        <w:rPr>
          <w:rFonts w:ascii="Symbol" w:hAnsi="Symbol"/>
          <w:w w:val="85"/>
          <w:position w:val="-4"/>
          <w:sz w:val="31"/>
        </w:rPr>
        <w:t></w:t>
      </w:r>
      <w:r>
        <w:rPr>
          <w:rFonts w:ascii="Symbol" w:hAnsi="Symbol"/>
          <w:w w:val="85"/>
          <w:sz w:val="21"/>
        </w:rPr>
        <w:t></w:t>
      </w:r>
      <w:r>
        <w:rPr>
          <w:spacing w:val="39"/>
          <w:sz w:val="21"/>
        </w:rPr>
        <w:t> </w:t>
      </w:r>
      <w:r>
        <w:rPr>
          <w:rFonts w:ascii="Symbol" w:hAnsi="Symbol"/>
          <w:w w:val="85"/>
          <w:sz w:val="20"/>
        </w:rPr>
        <w:t></w:t>
      </w:r>
      <w:r>
        <w:rPr>
          <w:i/>
          <w:w w:val="85"/>
          <w:sz w:val="20"/>
        </w:rPr>
        <w:t>LnREER</w:t>
      </w:r>
      <w:r>
        <w:rPr>
          <w:i/>
          <w:spacing w:val="111"/>
          <w:sz w:val="20"/>
        </w:rPr>
        <w:t> </w:t>
      </w:r>
      <w:r>
        <w:rPr>
          <w:rFonts w:ascii="Symbol" w:hAnsi="Symbol"/>
          <w:w w:val="85"/>
          <w:sz w:val="20"/>
        </w:rPr>
        <w:t></w:t>
      </w:r>
      <w:r>
        <w:rPr>
          <w:spacing w:val="-14"/>
          <w:w w:val="85"/>
          <w:sz w:val="20"/>
        </w:rPr>
        <w:t> </w:t>
      </w:r>
      <w:r>
        <w:rPr>
          <w:rFonts w:ascii="Symbol" w:hAnsi="Symbol"/>
          <w:w w:val="85"/>
          <w:position w:val="-4"/>
          <w:sz w:val="31"/>
        </w:rPr>
        <w:t></w:t>
      </w:r>
      <w:r>
        <w:rPr>
          <w:rFonts w:ascii="Symbol" w:hAnsi="Symbol"/>
          <w:w w:val="85"/>
          <w:sz w:val="21"/>
        </w:rPr>
        <w:t></w:t>
      </w:r>
      <w:r>
        <w:rPr>
          <w:spacing w:val="40"/>
          <w:w w:val="85"/>
          <w:sz w:val="21"/>
        </w:rPr>
        <w:t> </w:t>
      </w:r>
      <w:r>
        <w:rPr>
          <w:rFonts w:ascii="Symbol" w:hAnsi="Symbol"/>
          <w:w w:val="85"/>
          <w:sz w:val="20"/>
        </w:rPr>
        <w:t></w:t>
      </w:r>
      <w:r>
        <w:rPr>
          <w:i/>
          <w:w w:val="85"/>
          <w:sz w:val="20"/>
        </w:rPr>
        <w:t>LnGDP</w:t>
      </w:r>
      <w:r>
        <w:rPr>
          <w:i/>
          <w:w w:val="85"/>
          <w:sz w:val="20"/>
          <w:vertAlign w:val="superscript"/>
        </w:rPr>
        <w:t>d</w:t>
      </w:r>
      <w:r>
        <w:rPr>
          <w:i/>
          <w:spacing w:val="20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0"/>
          <w:vertAlign w:val="baseline"/>
        </w:rPr>
        <w:t></w:t>
      </w:r>
      <w:r>
        <w:rPr>
          <w:rFonts w:ascii="Symbol" w:hAnsi="Symbol"/>
          <w:w w:val="85"/>
          <w:position w:val="-4"/>
          <w:sz w:val="31"/>
          <w:vertAlign w:val="baseline"/>
        </w:rPr>
        <w:t></w:t>
      </w:r>
      <w:r>
        <w:rPr>
          <w:rFonts w:ascii="Symbol" w:hAnsi="Symbol"/>
          <w:w w:val="85"/>
          <w:sz w:val="21"/>
          <w:vertAlign w:val="baseline"/>
        </w:rPr>
        <w:t></w:t>
      </w:r>
      <w:r>
        <w:rPr>
          <w:spacing w:val="38"/>
          <w:sz w:val="21"/>
          <w:vertAlign w:val="baseline"/>
        </w:rPr>
        <w:t> </w:t>
      </w:r>
      <w:r>
        <w:rPr>
          <w:rFonts w:ascii="Symbol" w:hAnsi="Symbol"/>
          <w:w w:val="85"/>
          <w:sz w:val="20"/>
          <w:vertAlign w:val="baseline"/>
        </w:rPr>
        <w:t></w:t>
      </w:r>
      <w:r>
        <w:rPr>
          <w:i/>
          <w:w w:val="85"/>
          <w:sz w:val="20"/>
          <w:vertAlign w:val="baseline"/>
        </w:rPr>
        <w:t>LnGDP</w:t>
      </w:r>
      <w:r>
        <w:rPr>
          <w:i/>
          <w:spacing w:val="-16"/>
          <w:w w:val="85"/>
          <w:sz w:val="20"/>
          <w:vertAlign w:val="baseline"/>
        </w:rPr>
        <w:t> </w:t>
      </w:r>
      <w:r>
        <w:rPr>
          <w:i/>
          <w:w w:val="85"/>
          <w:sz w:val="20"/>
          <w:vertAlign w:val="superscript"/>
        </w:rPr>
        <w:t>f</w:t>
      </w:r>
      <w:r>
        <w:rPr>
          <w:i/>
          <w:w w:val="85"/>
          <w:sz w:val="20"/>
          <w:vertAlign w:val="baseline"/>
        </w:rPr>
        <w:t>  </w:t>
      </w:r>
      <w:r>
        <w:rPr>
          <w:rFonts w:ascii="Symbol" w:hAnsi="Symbol"/>
          <w:w w:val="85"/>
          <w:sz w:val="20"/>
          <w:vertAlign w:val="baseline"/>
        </w:rPr>
        <w:t></w:t>
      </w:r>
      <w:r>
        <w:rPr>
          <w:spacing w:val="-13"/>
          <w:w w:val="85"/>
          <w:sz w:val="20"/>
          <w:vertAlign w:val="baseline"/>
        </w:rPr>
        <w:t> </w:t>
      </w:r>
      <w:r>
        <w:rPr>
          <w:rFonts w:ascii="Symbol" w:hAnsi="Symbol"/>
          <w:w w:val="85"/>
          <w:position w:val="-4"/>
          <w:sz w:val="31"/>
          <w:vertAlign w:val="baseline"/>
        </w:rPr>
        <w:t></w:t>
      </w:r>
      <w:r>
        <w:rPr>
          <w:rFonts w:ascii="Symbol" w:hAnsi="Symbol"/>
          <w:w w:val="85"/>
          <w:sz w:val="21"/>
          <w:vertAlign w:val="baseline"/>
        </w:rPr>
        <w:t></w:t>
      </w:r>
      <w:r>
        <w:rPr>
          <w:spacing w:val="41"/>
          <w:w w:val="85"/>
          <w:sz w:val="21"/>
          <w:vertAlign w:val="baseline"/>
        </w:rPr>
        <w:t> </w:t>
      </w:r>
      <w:r>
        <w:rPr>
          <w:rFonts w:ascii="Symbol" w:hAnsi="Symbol"/>
          <w:w w:val="85"/>
          <w:sz w:val="20"/>
          <w:vertAlign w:val="baseline"/>
        </w:rPr>
        <w:t></w:t>
      </w:r>
      <w:r>
        <w:rPr>
          <w:i/>
          <w:w w:val="85"/>
          <w:sz w:val="20"/>
          <w:vertAlign w:val="baseline"/>
        </w:rPr>
        <w:t>LnWPI</w:t>
      </w:r>
      <w:r>
        <w:rPr>
          <w:i/>
          <w:spacing w:val="86"/>
          <w:sz w:val="20"/>
          <w:vertAlign w:val="baseline"/>
        </w:rPr>
        <w:t> </w:t>
      </w:r>
      <w:r>
        <w:rPr>
          <w:rFonts w:ascii="Symbol" w:hAnsi="Symbol"/>
          <w:w w:val="85"/>
          <w:sz w:val="20"/>
          <w:vertAlign w:val="baseline"/>
        </w:rPr>
        <w:t></w:t>
      </w:r>
    </w:p>
    <w:p>
      <w:pPr>
        <w:spacing w:after="0" w:line="195" w:lineRule="exact"/>
        <w:jc w:val="left"/>
        <w:rPr>
          <w:rFonts w:ascii="Symbol" w:hAnsi="Symbol"/>
          <w:sz w:val="2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1789" w:val="left" w:leader="none"/>
          <w:tab w:pos="2276" w:val="left" w:leader="none"/>
          <w:tab w:pos="2958" w:val="left" w:leader="none"/>
        </w:tabs>
        <w:spacing w:line="232" w:lineRule="auto" w:before="3"/>
        <w:ind w:left="2035" w:right="0" w:hanging="542"/>
        <w:jc w:val="left"/>
        <w:rPr>
          <w:sz w:val="12"/>
        </w:rPr>
      </w:pPr>
      <w:r>
        <w:rPr>
          <w:i/>
          <w:w w:val="95"/>
          <w:sz w:val="12"/>
        </w:rPr>
        <w:t>t</w:t>
        <w:tab/>
      </w:r>
      <w:r>
        <w:rPr>
          <w:w w:val="95"/>
          <w:sz w:val="12"/>
        </w:rPr>
        <w:t>0</w:t>
        <w:tab/>
        <w:tab/>
        <w:t>1</w:t>
      </w:r>
      <w:r>
        <w:rPr>
          <w:i/>
          <w:w w:val="95"/>
          <w:sz w:val="12"/>
        </w:rPr>
        <w:t>i</w:t>
        <w:tab/>
      </w:r>
      <w:r>
        <w:rPr>
          <w:i/>
          <w:spacing w:val="-5"/>
          <w:w w:val="80"/>
          <w:sz w:val="12"/>
        </w:rPr>
        <w:t>t </w:t>
      </w:r>
      <w:r>
        <w:rPr>
          <w:rFonts w:ascii="Symbol" w:hAnsi="Symbol"/>
          <w:spacing w:val="-5"/>
          <w:w w:val="80"/>
          <w:sz w:val="12"/>
        </w:rPr>
        <w:t></w:t>
      </w:r>
      <w:r>
        <w:rPr>
          <w:i/>
          <w:spacing w:val="-5"/>
          <w:w w:val="80"/>
          <w:sz w:val="12"/>
        </w:rPr>
        <w:t>i</w:t>
      </w:r>
      <w:r>
        <w:rPr>
          <w:i/>
          <w:spacing w:val="-21"/>
          <w:w w:val="80"/>
          <w:sz w:val="12"/>
        </w:rPr>
        <w:t> </w:t>
      </w:r>
      <w:r>
        <w:rPr>
          <w:i/>
          <w:w w:val="95"/>
          <w:sz w:val="12"/>
        </w:rPr>
        <w:t>i</w:t>
      </w:r>
      <w:r>
        <w:rPr>
          <w:rFonts w:ascii="Symbol" w:hAnsi="Symbol"/>
          <w:w w:val="95"/>
          <w:sz w:val="12"/>
        </w:rPr>
        <w:t></w:t>
      </w:r>
      <w:r>
        <w:rPr>
          <w:w w:val="95"/>
          <w:sz w:val="12"/>
        </w:rPr>
        <w:t>1</w:t>
      </w:r>
    </w:p>
    <w:p>
      <w:pPr>
        <w:spacing w:before="142"/>
        <w:ind w:left="150" w:right="0" w:firstLine="0"/>
        <w:jc w:val="left"/>
        <w:rPr>
          <w:sz w:val="12"/>
        </w:rPr>
      </w:pPr>
      <w:r>
        <w:rPr/>
        <w:br w:type="column"/>
      </w:r>
      <w:r>
        <w:rPr>
          <w:i/>
          <w:w w:val="80"/>
          <w:sz w:val="12"/>
        </w:rPr>
        <w:t>i</w:t>
      </w:r>
      <w:r>
        <w:rPr>
          <w:rFonts w:ascii="Symbol" w:hAnsi="Symbol"/>
          <w:w w:val="80"/>
          <w:sz w:val="12"/>
        </w:rPr>
        <w:t></w:t>
      </w:r>
      <w:r>
        <w:rPr>
          <w:w w:val="80"/>
          <w:sz w:val="12"/>
        </w:rPr>
        <w:t>0</w:t>
      </w:r>
    </w:p>
    <w:p>
      <w:pPr>
        <w:tabs>
          <w:tab w:pos="859" w:val="left" w:leader="none"/>
        </w:tabs>
        <w:spacing w:line="146" w:lineRule="exact" w:before="0"/>
        <w:ind w:left="77" w:right="0" w:firstLine="0"/>
        <w:jc w:val="left"/>
        <w:rPr>
          <w:i/>
          <w:sz w:val="12"/>
        </w:rPr>
      </w:pPr>
      <w:r>
        <w:rPr/>
        <w:br w:type="column"/>
      </w:r>
      <w:r>
        <w:rPr>
          <w:w w:val="95"/>
          <w:sz w:val="12"/>
        </w:rPr>
        <w:t>2</w:t>
      </w:r>
      <w:r>
        <w:rPr>
          <w:i/>
          <w:w w:val="95"/>
          <w:sz w:val="12"/>
        </w:rPr>
        <w:t>i</w:t>
        <w:tab/>
      </w:r>
      <w:r>
        <w:rPr>
          <w:i/>
          <w:spacing w:val="-5"/>
          <w:w w:val="80"/>
          <w:sz w:val="12"/>
        </w:rPr>
        <w:t>t</w:t>
      </w:r>
      <w:r>
        <w:rPr>
          <w:i/>
          <w:spacing w:val="-13"/>
          <w:w w:val="80"/>
          <w:sz w:val="12"/>
        </w:rPr>
        <w:t> </w:t>
      </w:r>
      <w:r>
        <w:rPr>
          <w:rFonts w:ascii="Symbol" w:hAnsi="Symbol"/>
          <w:spacing w:val="-5"/>
          <w:w w:val="80"/>
          <w:sz w:val="12"/>
        </w:rPr>
        <w:t></w:t>
      </w:r>
      <w:r>
        <w:rPr>
          <w:i/>
          <w:spacing w:val="-5"/>
          <w:w w:val="80"/>
          <w:sz w:val="12"/>
        </w:rPr>
        <w:t>i</w:t>
      </w:r>
    </w:p>
    <w:p>
      <w:pPr>
        <w:spacing w:line="136" w:lineRule="exact" w:before="8"/>
        <w:ind w:left="407" w:right="0" w:firstLine="0"/>
        <w:jc w:val="left"/>
        <w:rPr>
          <w:i/>
          <w:sz w:val="12"/>
        </w:rPr>
      </w:pPr>
      <w:r>
        <w:rPr/>
        <w:br w:type="column"/>
      </w:r>
      <w:r>
        <w:rPr>
          <w:w w:val="80"/>
          <w:sz w:val="12"/>
        </w:rPr>
        <w:t>3</w:t>
      </w:r>
      <w:r>
        <w:rPr>
          <w:i/>
          <w:w w:val="80"/>
          <w:sz w:val="12"/>
        </w:rPr>
        <w:t>i</w:t>
      </w:r>
    </w:p>
    <w:p>
      <w:pPr>
        <w:spacing w:line="145" w:lineRule="exact" w:before="0"/>
        <w:ind w:left="150" w:right="0" w:firstLine="0"/>
        <w:jc w:val="left"/>
        <w:rPr>
          <w:sz w:val="12"/>
        </w:rPr>
      </w:pPr>
      <w:r>
        <w:rPr>
          <w:i/>
          <w:w w:val="95"/>
          <w:sz w:val="12"/>
        </w:rPr>
        <w:t>i</w:t>
      </w:r>
      <w:r>
        <w:rPr>
          <w:rFonts w:ascii="Symbol" w:hAnsi="Symbol"/>
          <w:w w:val="95"/>
          <w:sz w:val="12"/>
        </w:rPr>
        <w:t></w:t>
      </w:r>
      <w:r>
        <w:rPr>
          <w:w w:val="95"/>
          <w:sz w:val="12"/>
        </w:rPr>
        <w:t>0</w:t>
      </w:r>
    </w:p>
    <w:p>
      <w:pPr>
        <w:spacing w:before="71"/>
        <w:ind w:left="0" w:right="0" w:firstLine="0"/>
        <w:jc w:val="right"/>
        <w:rPr>
          <w:i/>
          <w:sz w:val="8"/>
        </w:rPr>
      </w:pPr>
      <w:r>
        <w:rPr/>
        <w:br w:type="column"/>
      </w:r>
      <w:r>
        <w:rPr>
          <w:i/>
          <w:sz w:val="8"/>
        </w:rPr>
        <w:t>t</w:t>
      </w:r>
      <w:r>
        <w:rPr>
          <w:rFonts w:ascii="Symbol" w:hAnsi="Symbol"/>
          <w:sz w:val="8"/>
        </w:rPr>
        <w:t></w:t>
      </w:r>
      <w:r>
        <w:rPr>
          <w:i/>
          <w:sz w:val="8"/>
        </w:rPr>
        <w:t>i </w:t>
      </w:r>
      <w:r>
        <w:rPr>
          <w:i/>
          <w:spacing w:val="3"/>
          <w:sz w:val="8"/>
        </w:rPr>
        <w:t> </w:t>
      </w:r>
    </w:p>
    <w:p>
      <w:pPr>
        <w:spacing w:before="142"/>
        <w:ind w:left="93" w:right="0" w:firstLine="0"/>
        <w:jc w:val="left"/>
        <w:rPr>
          <w:sz w:val="12"/>
        </w:rPr>
      </w:pPr>
      <w:r>
        <w:rPr/>
        <w:br w:type="column"/>
      </w:r>
      <w:r>
        <w:rPr>
          <w:i/>
          <w:w w:val="80"/>
          <w:sz w:val="12"/>
        </w:rPr>
        <w:t>i</w:t>
      </w:r>
      <w:r>
        <w:rPr>
          <w:rFonts w:ascii="Symbol" w:hAnsi="Symbol"/>
          <w:w w:val="80"/>
          <w:sz w:val="12"/>
        </w:rPr>
        <w:t></w:t>
      </w:r>
      <w:r>
        <w:rPr>
          <w:w w:val="80"/>
          <w:sz w:val="12"/>
        </w:rPr>
        <w:t>0</w:t>
      </w:r>
    </w:p>
    <w:p>
      <w:pPr>
        <w:tabs>
          <w:tab w:pos="771" w:val="left" w:leader="none"/>
        </w:tabs>
        <w:spacing w:line="146" w:lineRule="exact" w:before="0"/>
        <w:ind w:left="77" w:right="0" w:firstLine="0"/>
        <w:jc w:val="left"/>
        <w:rPr>
          <w:i/>
          <w:sz w:val="12"/>
        </w:rPr>
      </w:pPr>
      <w:r>
        <w:rPr/>
        <w:br w:type="column"/>
      </w:r>
      <w:r>
        <w:rPr>
          <w:w w:val="95"/>
          <w:sz w:val="12"/>
        </w:rPr>
        <w:t>4</w:t>
      </w:r>
      <w:r>
        <w:rPr>
          <w:i/>
          <w:w w:val="95"/>
          <w:sz w:val="12"/>
        </w:rPr>
        <w:t>i</w:t>
        <w:tab/>
      </w:r>
      <w:r>
        <w:rPr>
          <w:i/>
          <w:spacing w:val="-5"/>
          <w:w w:val="80"/>
          <w:sz w:val="12"/>
        </w:rPr>
        <w:t>t</w:t>
      </w:r>
      <w:r>
        <w:rPr>
          <w:i/>
          <w:spacing w:val="-14"/>
          <w:w w:val="80"/>
          <w:sz w:val="12"/>
        </w:rPr>
        <w:t> </w:t>
      </w:r>
      <w:r>
        <w:rPr>
          <w:rFonts w:ascii="Symbol" w:hAnsi="Symbol"/>
          <w:spacing w:val="-4"/>
          <w:w w:val="80"/>
          <w:sz w:val="12"/>
        </w:rPr>
        <w:t></w:t>
      </w:r>
      <w:r>
        <w:rPr>
          <w:i/>
          <w:spacing w:val="-4"/>
          <w:w w:val="80"/>
          <w:sz w:val="12"/>
        </w:rPr>
        <w:t>i</w:t>
      </w:r>
    </w:p>
    <w:p>
      <w:pPr>
        <w:spacing w:before="142"/>
        <w:ind w:left="150" w:right="0" w:firstLine="0"/>
        <w:jc w:val="left"/>
        <w:rPr>
          <w:sz w:val="12"/>
        </w:rPr>
      </w:pPr>
      <w:r>
        <w:rPr/>
        <w:br w:type="column"/>
      </w:r>
      <w:r>
        <w:rPr>
          <w:i/>
          <w:w w:val="80"/>
          <w:sz w:val="12"/>
        </w:rPr>
        <w:t>i</w:t>
      </w:r>
      <w:r>
        <w:rPr>
          <w:rFonts w:ascii="Symbol" w:hAnsi="Symbol"/>
          <w:w w:val="80"/>
          <w:sz w:val="12"/>
        </w:rPr>
        <w:t></w:t>
      </w:r>
      <w:r>
        <w:rPr>
          <w:w w:val="80"/>
          <w:sz w:val="12"/>
        </w:rPr>
        <w:t>0</w:t>
      </w:r>
    </w:p>
    <w:p>
      <w:pPr>
        <w:tabs>
          <w:tab w:pos="756" w:val="left" w:leader="none"/>
        </w:tabs>
        <w:spacing w:line="146" w:lineRule="exact" w:before="0"/>
        <w:ind w:left="74" w:right="0" w:firstLine="0"/>
        <w:jc w:val="left"/>
        <w:rPr>
          <w:i/>
          <w:sz w:val="12"/>
        </w:rPr>
      </w:pPr>
      <w:r>
        <w:rPr/>
        <w:br w:type="column"/>
      </w:r>
      <w:r>
        <w:rPr>
          <w:w w:val="95"/>
          <w:sz w:val="12"/>
        </w:rPr>
        <w:t>5</w:t>
      </w:r>
      <w:r>
        <w:rPr>
          <w:i/>
          <w:w w:val="95"/>
          <w:sz w:val="12"/>
        </w:rPr>
        <w:t>i</w:t>
        <w:tab/>
      </w:r>
      <w:r>
        <w:rPr>
          <w:i/>
          <w:w w:val="80"/>
          <w:sz w:val="12"/>
        </w:rPr>
        <w:t>t</w:t>
      </w:r>
      <w:r>
        <w:rPr>
          <w:i/>
          <w:spacing w:val="-9"/>
          <w:w w:val="80"/>
          <w:sz w:val="12"/>
        </w:rPr>
        <w:t> </w:t>
      </w:r>
      <w:r>
        <w:rPr>
          <w:rFonts w:ascii="Symbol" w:hAnsi="Symbol"/>
          <w:w w:val="80"/>
          <w:sz w:val="12"/>
        </w:rPr>
        <w:t></w:t>
      </w:r>
      <w:r>
        <w:rPr>
          <w:i/>
          <w:w w:val="80"/>
          <w:sz w:val="12"/>
        </w:rPr>
        <w:t>i</w:t>
      </w:r>
    </w:p>
    <w:p>
      <w:pPr>
        <w:spacing w:after="0" w:line="146" w:lineRule="exact"/>
        <w:jc w:val="left"/>
        <w:rPr>
          <w:sz w:val="12"/>
        </w:rPr>
        <w:sectPr>
          <w:type w:val="continuous"/>
          <w:pgSz w:w="12240" w:h="15840"/>
          <w:pgMar w:top="1500" w:bottom="1200" w:left="1320" w:right="440"/>
          <w:cols w:num="9" w:equalWidth="0">
            <w:col w:w="3081" w:space="40"/>
            <w:col w:w="295" w:space="39"/>
            <w:col w:w="982" w:space="40"/>
            <w:col w:w="486" w:space="39"/>
            <w:col w:w="712" w:space="40"/>
            <w:col w:w="238" w:space="40"/>
            <w:col w:w="895" w:space="39"/>
            <w:col w:w="294" w:space="39"/>
            <w:col w:w="3181"/>
          </w:cols>
        </w:sectPr>
      </w:pPr>
    </w:p>
    <w:p>
      <w:pPr>
        <w:tabs>
          <w:tab w:pos="2179" w:val="left" w:leader="none"/>
        </w:tabs>
        <w:spacing w:line="58" w:lineRule="exact" w:before="58"/>
        <w:ind w:left="1002" w:right="0" w:firstLine="0"/>
        <w:jc w:val="left"/>
        <w:rPr>
          <w:i/>
          <w:sz w:val="12"/>
        </w:rPr>
      </w:pPr>
      <w:r>
        <w:rPr>
          <w:i/>
          <w:w w:val="95"/>
          <w:sz w:val="12"/>
        </w:rPr>
        <w:t>k</w:t>
        <w:tab/>
        <w:t>k</w:t>
      </w:r>
    </w:p>
    <w:p>
      <w:pPr>
        <w:spacing w:after="0" w:line="58" w:lineRule="exact"/>
        <w:jc w:val="left"/>
        <w:rPr>
          <w:sz w:val="12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line="195" w:lineRule="exact" w:before="2"/>
        <w:ind w:left="838" w:right="0" w:firstLine="0"/>
        <w:jc w:val="left"/>
        <w:rPr>
          <w:i/>
          <w:sz w:val="20"/>
        </w:rPr>
      </w:pPr>
      <w:r>
        <w:rPr>
          <w:rFonts w:ascii="Symbol" w:hAnsi="Symbol"/>
          <w:spacing w:val="-1"/>
          <w:w w:val="85"/>
          <w:sz w:val="20"/>
        </w:rPr>
        <w:t></w:t>
      </w:r>
      <w:r>
        <w:rPr>
          <w:rFonts w:ascii="Symbol" w:hAnsi="Symbol"/>
          <w:spacing w:val="-1"/>
          <w:w w:val="85"/>
          <w:position w:val="-4"/>
          <w:sz w:val="31"/>
        </w:rPr>
        <w:t></w:t>
      </w:r>
      <w:r>
        <w:rPr>
          <w:rFonts w:ascii="Symbol" w:hAnsi="Symbol"/>
          <w:spacing w:val="-1"/>
          <w:w w:val="85"/>
          <w:sz w:val="21"/>
        </w:rPr>
        <w:t></w:t>
      </w:r>
      <w:r>
        <w:rPr>
          <w:spacing w:val="35"/>
          <w:sz w:val="21"/>
        </w:rPr>
        <w:t> </w:t>
      </w:r>
      <w:r>
        <w:rPr>
          <w:rFonts w:ascii="Symbol" w:hAnsi="Symbol"/>
          <w:spacing w:val="-1"/>
          <w:w w:val="85"/>
          <w:sz w:val="20"/>
        </w:rPr>
        <w:t></w:t>
      </w:r>
      <w:r>
        <w:rPr>
          <w:i/>
          <w:spacing w:val="-1"/>
          <w:w w:val="85"/>
          <w:sz w:val="20"/>
        </w:rPr>
        <w:t>LnMS</w:t>
      </w:r>
      <w:r>
        <w:rPr>
          <w:i/>
          <w:spacing w:val="35"/>
          <w:sz w:val="20"/>
        </w:rPr>
        <w:t> </w:t>
      </w:r>
      <w:r>
        <w:rPr>
          <w:i/>
          <w:spacing w:val="36"/>
          <w:sz w:val="20"/>
        </w:rPr>
        <w:t> </w:t>
      </w:r>
      <w:r>
        <w:rPr>
          <w:rFonts w:ascii="Symbol" w:hAnsi="Symbol"/>
          <w:w w:val="85"/>
          <w:sz w:val="20"/>
        </w:rPr>
        <w:t></w:t>
      </w:r>
      <w:r>
        <w:rPr>
          <w:spacing w:val="-14"/>
          <w:w w:val="85"/>
          <w:sz w:val="20"/>
        </w:rPr>
        <w:t> </w:t>
      </w:r>
      <w:r>
        <w:rPr>
          <w:rFonts w:ascii="Symbol" w:hAnsi="Symbol"/>
          <w:w w:val="85"/>
          <w:position w:val="-4"/>
          <w:sz w:val="31"/>
        </w:rPr>
        <w:t></w:t>
      </w:r>
      <w:r>
        <w:rPr>
          <w:rFonts w:ascii="Symbol" w:hAnsi="Symbol"/>
          <w:w w:val="85"/>
          <w:sz w:val="21"/>
        </w:rPr>
        <w:t></w:t>
      </w:r>
      <w:r>
        <w:rPr>
          <w:spacing w:val="38"/>
          <w:sz w:val="21"/>
        </w:rPr>
        <w:t> </w:t>
      </w:r>
      <w:r>
        <w:rPr>
          <w:rFonts w:ascii="Symbol" w:hAnsi="Symbol"/>
          <w:w w:val="85"/>
          <w:sz w:val="20"/>
        </w:rPr>
        <w:t></w:t>
      </w:r>
      <w:r>
        <w:rPr>
          <w:i/>
          <w:w w:val="85"/>
          <w:sz w:val="20"/>
        </w:rPr>
        <w:t>IR</w:t>
      </w:r>
    </w:p>
    <w:p>
      <w:pPr>
        <w:spacing w:line="145" w:lineRule="exact" w:before="53"/>
        <w:ind w:left="119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spacing w:val="-2"/>
          <w:w w:val="85"/>
          <w:sz w:val="20"/>
        </w:rPr>
        <w:t></w:t>
      </w:r>
      <w:r>
        <w:rPr>
          <w:spacing w:val="-26"/>
          <w:w w:val="85"/>
          <w:sz w:val="20"/>
        </w:rPr>
        <w:t> </w:t>
      </w:r>
      <w:r>
        <w:rPr>
          <w:rFonts w:ascii="Symbol" w:hAnsi="Symbol"/>
          <w:spacing w:val="-2"/>
          <w:w w:val="85"/>
          <w:sz w:val="21"/>
        </w:rPr>
        <w:t></w:t>
      </w:r>
      <w:r>
        <w:rPr>
          <w:spacing w:val="10"/>
          <w:w w:val="85"/>
          <w:sz w:val="21"/>
        </w:rPr>
        <w:t> </w:t>
      </w:r>
      <w:r>
        <w:rPr>
          <w:i/>
          <w:spacing w:val="-2"/>
          <w:w w:val="85"/>
          <w:sz w:val="20"/>
        </w:rPr>
        <w:t>D</w:t>
      </w:r>
      <w:r>
        <w:rPr>
          <w:i/>
          <w:spacing w:val="20"/>
          <w:w w:val="85"/>
          <w:sz w:val="20"/>
        </w:rPr>
        <w:t> </w:t>
      </w:r>
      <w:r>
        <w:rPr>
          <w:rFonts w:ascii="Symbol" w:hAnsi="Symbol"/>
          <w:spacing w:val="-2"/>
          <w:w w:val="85"/>
          <w:sz w:val="20"/>
        </w:rPr>
        <w:t></w:t>
      </w:r>
      <w:r>
        <w:rPr>
          <w:spacing w:val="-25"/>
          <w:w w:val="85"/>
          <w:sz w:val="20"/>
        </w:rPr>
        <w:t> </w:t>
      </w:r>
      <w:r>
        <w:rPr>
          <w:rFonts w:ascii="Symbol" w:hAnsi="Symbol"/>
          <w:spacing w:val="-1"/>
          <w:w w:val="85"/>
          <w:sz w:val="21"/>
        </w:rPr>
        <w:t></w:t>
      </w:r>
      <w:r>
        <w:rPr>
          <w:spacing w:val="3"/>
          <w:w w:val="85"/>
          <w:sz w:val="21"/>
        </w:rPr>
        <w:t> </w:t>
      </w:r>
      <w:r>
        <w:rPr>
          <w:i/>
          <w:spacing w:val="-1"/>
          <w:w w:val="85"/>
          <w:sz w:val="20"/>
        </w:rPr>
        <w:t>LnKAB</w:t>
      </w:r>
    </w:p>
    <w:p>
      <w:pPr>
        <w:spacing w:line="145" w:lineRule="exact" w:before="53"/>
        <w:ind w:left="123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spacing w:val="-3"/>
          <w:w w:val="85"/>
          <w:sz w:val="20"/>
        </w:rPr>
        <w:t></w:t>
      </w:r>
      <w:r>
        <w:rPr>
          <w:spacing w:val="-25"/>
          <w:w w:val="85"/>
          <w:sz w:val="20"/>
        </w:rPr>
        <w:t> </w:t>
      </w:r>
      <w:r>
        <w:rPr>
          <w:rFonts w:ascii="Symbol" w:hAnsi="Symbol"/>
          <w:spacing w:val="-3"/>
          <w:w w:val="85"/>
          <w:sz w:val="21"/>
        </w:rPr>
        <w:t></w:t>
      </w:r>
      <w:r>
        <w:rPr>
          <w:spacing w:val="25"/>
          <w:w w:val="85"/>
          <w:sz w:val="21"/>
        </w:rPr>
        <w:t> </w:t>
      </w:r>
      <w:r>
        <w:rPr>
          <w:i/>
          <w:spacing w:val="-3"/>
          <w:w w:val="85"/>
          <w:sz w:val="20"/>
        </w:rPr>
        <w:t>LnREER</w:t>
      </w:r>
    </w:p>
    <w:p>
      <w:pPr>
        <w:spacing w:line="145" w:lineRule="exact" w:before="53"/>
        <w:ind w:left="123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spacing w:val="-1"/>
          <w:w w:val="85"/>
          <w:sz w:val="20"/>
        </w:rPr>
        <w:t></w:t>
      </w:r>
      <w:r>
        <w:rPr>
          <w:spacing w:val="-26"/>
          <w:w w:val="85"/>
          <w:sz w:val="20"/>
        </w:rPr>
        <w:t> </w:t>
      </w:r>
      <w:r>
        <w:rPr>
          <w:rFonts w:ascii="Symbol" w:hAnsi="Symbol"/>
          <w:spacing w:val="-1"/>
          <w:w w:val="85"/>
          <w:sz w:val="21"/>
        </w:rPr>
        <w:t></w:t>
      </w:r>
      <w:r>
        <w:rPr>
          <w:spacing w:val="15"/>
          <w:w w:val="85"/>
          <w:sz w:val="21"/>
        </w:rPr>
        <w:t> </w:t>
      </w:r>
      <w:r>
        <w:rPr>
          <w:i/>
          <w:spacing w:val="-1"/>
          <w:w w:val="85"/>
          <w:sz w:val="20"/>
        </w:rPr>
        <w:t>LnGDP</w:t>
      </w:r>
      <w:r>
        <w:rPr>
          <w:i/>
          <w:spacing w:val="-1"/>
          <w:w w:val="85"/>
          <w:sz w:val="20"/>
          <w:vertAlign w:val="superscript"/>
        </w:rPr>
        <w:t>d</w:t>
      </w:r>
      <w:r>
        <w:rPr>
          <w:i/>
          <w:spacing w:val="33"/>
          <w:sz w:val="20"/>
          <w:vertAlign w:val="baseline"/>
        </w:rPr>
        <w:t> </w:t>
      </w:r>
      <w:r>
        <w:rPr>
          <w:rFonts w:ascii="Symbol" w:hAnsi="Symbol"/>
          <w:spacing w:val="-1"/>
          <w:w w:val="85"/>
          <w:sz w:val="20"/>
          <w:vertAlign w:val="baseline"/>
        </w:rPr>
        <w:t></w:t>
      </w:r>
      <w:r>
        <w:rPr>
          <w:spacing w:val="-25"/>
          <w:w w:val="85"/>
          <w:sz w:val="20"/>
          <w:vertAlign w:val="baseline"/>
        </w:rPr>
        <w:t> </w:t>
      </w:r>
      <w:r>
        <w:rPr>
          <w:rFonts w:ascii="Symbol" w:hAnsi="Symbol"/>
          <w:spacing w:val="-1"/>
          <w:w w:val="85"/>
          <w:sz w:val="21"/>
          <w:vertAlign w:val="baseline"/>
        </w:rPr>
        <w:t></w:t>
      </w:r>
      <w:r>
        <w:rPr>
          <w:spacing w:val="20"/>
          <w:w w:val="85"/>
          <w:sz w:val="21"/>
          <w:vertAlign w:val="baseline"/>
        </w:rPr>
        <w:t> </w:t>
      </w:r>
      <w:r>
        <w:rPr>
          <w:i/>
          <w:spacing w:val="-1"/>
          <w:w w:val="85"/>
          <w:sz w:val="20"/>
          <w:vertAlign w:val="baseline"/>
        </w:rPr>
        <w:t>LnGDP</w:t>
      </w:r>
      <w:r>
        <w:rPr>
          <w:i/>
          <w:spacing w:val="-15"/>
          <w:w w:val="85"/>
          <w:sz w:val="20"/>
          <w:vertAlign w:val="baseline"/>
        </w:rPr>
        <w:t> </w:t>
      </w:r>
      <w:r>
        <w:rPr>
          <w:i/>
          <w:spacing w:val="-1"/>
          <w:w w:val="85"/>
          <w:sz w:val="20"/>
          <w:vertAlign w:val="superscript"/>
        </w:rPr>
        <w:t>f</w:t>
      </w:r>
      <w:r>
        <w:rPr>
          <w:i/>
          <w:spacing w:val="26"/>
          <w:w w:val="85"/>
          <w:sz w:val="20"/>
          <w:vertAlign w:val="baseline"/>
        </w:rPr>
        <w:t> </w:t>
      </w:r>
      <w:r>
        <w:rPr>
          <w:rFonts w:ascii="Symbol" w:hAnsi="Symbol"/>
          <w:spacing w:val="-1"/>
          <w:w w:val="85"/>
          <w:sz w:val="20"/>
          <w:vertAlign w:val="baseline"/>
        </w:rPr>
        <w:t></w:t>
      </w:r>
      <w:r>
        <w:rPr>
          <w:spacing w:val="-26"/>
          <w:w w:val="85"/>
          <w:sz w:val="20"/>
          <w:vertAlign w:val="baseline"/>
        </w:rPr>
        <w:t> </w:t>
      </w:r>
      <w:r>
        <w:rPr>
          <w:rFonts w:ascii="Symbol" w:hAnsi="Symbol"/>
          <w:spacing w:val="-1"/>
          <w:w w:val="85"/>
          <w:sz w:val="21"/>
          <w:vertAlign w:val="baseline"/>
        </w:rPr>
        <w:t></w:t>
      </w:r>
      <w:r>
        <w:rPr>
          <w:spacing w:val="16"/>
          <w:w w:val="85"/>
          <w:sz w:val="21"/>
          <w:vertAlign w:val="baseline"/>
        </w:rPr>
        <w:t> </w:t>
      </w:r>
      <w:r>
        <w:rPr>
          <w:i/>
          <w:w w:val="85"/>
          <w:sz w:val="20"/>
          <w:vertAlign w:val="baseline"/>
        </w:rPr>
        <w:t>LnWPI</w:t>
      </w:r>
    </w:p>
    <w:p>
      <w:pPr>
        <w:spacing w:line="145" w:lineRule="exact" w:before="53"/>
        <w:ind w:left="140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spacing w:val="-1"/>
          <w:w w:val="85"/>
          <w:sz w:val="20"/>
        </w:rPr>
        <w:t></w:t>
      </w:r>
      <w:r>
        <w:rPr>
          <w:spacing w:val="-25"/>
          <w:w w:val="85"/>
          <w:sz w:val="20"/>
        </w:rPr>
        <w:t> </w:t>
      </w:r>
      <w:r>
        <w:rPr>
          <w:rFonts w:ascii="Symbol" w:hAnsi="Symbol"/>
          <w:spacing w:val="-1"/>
          <w:w w:val="85"/>
          <w:sz w:val="21"/>
        </w:rPr>
        <w:t></w:t>
      </w:r>
      <w:r>
        <w:rPr>
          <w:spacing w:val="20"/>
          <w:w w:val="85"/>
          <w:sz w:val="21"/>
        </w:rPr>
        <w:t> </w:t>
      </w:r>
      <w:r>
        <w:rPr>
          <w:i/>
          <w:w w:val="85"/>
          <w:sz w:val="20"/>
        </w:rPr>
        <w:t>LnMS</w:t>
      </w:r>
      <w:r>
        <w:rPr>
          <w:i/>
          <w:spacing w:val="37"/>
          <w:sz w:val="20"/>
        </w:rPr>
        <w:t> </w:t>
      </w:r>
      <w:r>
        <w:rPr>
          <w:i/>
          <w:spacing w:val="38"/>
          <w:sz w:val="20"/>
        </w:rPr>
        <w:t> </w:t>
      </w:r>
      <w:r>
        <w:rPr>
          <w:rFonts w:ascii="Symbol" w:hAnsi="Symbol"/>
          <w:w w:val="85"/>
          <w:sz w:val="20"/>
        </w:rPr>
        <w:t></w:t>
      </w:r>
      <w:r>
        <w:rPr>
          <w:spacing w:val="-21"/>
          <w:w w:val="85"/>
          <w:sz w:val="20"/>
        </w:rPr>
        <w:t> </w:t>
      </w:r>
      <w:r>
        <w:rPr>
          <w:rFonts w:ascii="Symbol" w:hAnsi="Symbol"/>
          <w:w w:val="85"/>
          <w:sz w:val="21"/>
        </w:rPr>
        <w:t></w:t>
      </w:r>
    </w:p>
    <w:p>
      <w:pPr>
        <w:spacing w:after="0" w:line="145" w:lineRule="exact"/>
        <w:jc w:val="left"/>
        <w:rPr>
          <w:rFonts w:ascii="Symbol" w:hAnsi="Symbol"/>
          <w:sz w:val="21"/>
        </w:rPr>
        <w:sectPr>
          <w:type w:val="continuous"/>
          <w:pgSz w:w="12240" w:h="15840"/>
          <w:pgMar w:top="1500" w:bottom="1200" w:left="1320" w:right="440"/>
          <w:cols w:num="5" w:equalWidth="0">
            <w:col w:w="2752" w:space="40"/>
            <w:col w:w="1335" w:space="39"/>
            <w:col w:w="1003" w:space="39"/>
            <w:col w:w="2769" w:space="40"/>
            <w:col w:w="2463"/>
          </w:cols>
        </w:sectPr>
      </w:pPr>
    </w:p>
    <w:p>
      <w:pPr>
        <w:spacing w:before="142"/>
        <w:ind w:left="0" w:right="0" w:firstLine="0"/>
        <w:jc w:val="right"/>
        <w:rPr>
          <w:sz w:val="12"/>
        </w:rPr>
      </w:pPr>
      <w:r>
        <w:rPr>
          <w:i/>
          <w:w w:val="95"/>
          <w:sz w:val="12"/>
        </w:rPr>
        <w:t>i</w:t>
      </w:r>
      <w:r>
        <w:rPr>
          <w:rFonts w:ascii="Symbol" w:hAnsi="Symbol"/>
          <w:w w:val="95"/>
          <w:sz w:val="12"/>
        </w:rPr>
        <w:t></w:t>
      </w:r>
      <w:r>
        <w:rPr>
          <w:w w:val="95"/>
          <w:sz w:val="12"/>
        </w:rPr>
        <w:t>0</w:t>
      </w:r>
    </w:p>
    <w:p>
      <w:pPr>
        <w:tabs>
          <w:tab w:pos="680" w:val="left" w:leader="none"/>
        </w:tabs>
        <w:spacing w:line="146" w:lineRule="exact" w:before="0"/>
        <w:ind w:left="76" w:right="0" w:firstLine="0"/>
        <w:jc w:val="left"/>
        <w:rPr>
          <w:i/>
          <w:sz w:val="12"/>
        </w:rPr>
      </w:pPr>
      <w:r>
        <w:rPr/>
        <w:br w:type="column"/>
      </w:r>
      <w:r>
        <w:rPr>
          <w:w w:val="95"/>
          <w:sz w:val="12"/>
        </w:rPr>
        <w:t>6</w:t>
      </w:r>
      <w:r>
        <w:rPr>
          <w:i/>
          <w:w w:val="95"/>
          <w:sz w:val="12"/>
        </w:rPr>
        <w:t>i</w:t>
        <w:tab/>
      </w:r>
      <w:r>
        <w:rPr>
          <w:i/>
          <w:spacing w:val="-2"/>
          <w:w w:val="90"/>
          <w:sz w:val="12"/>
        </w:rPr>
        <w:t>t</w:t>
      </w:r>
      <w:r>
        <w:rPr>
          <w:rFonts w:ascii="Symbol" w:hAnsi="Symbol"/>
          <w:spacing w:val="-2"/>
          <w:w w:val="90"/>
          <w:sz w:val="12"/>
        </w:rPr>
        <w:t></w:t>
      </w:r>
      <w:r>
        <w:rPr>
          <w:i/>
          <w:spacing w:val="-2"/>
          <w:w w:val="90"/>
          <w:sz w:val="12"/>
        </w:rPr>
        <w:t>i</w:t>
      </w:r>
    </w:p>
    <w:p>
      <w:pPr>
        <w:spacing w:before="142"/>
        <w:ind w:left="150" w:right="0" w:firstLine="0"/>
        <w:jc w:val="left"/>
        <w:rPr>
          <w:sz w:val="12"/>
        </w:rPr>
      </w:pPr>
      <w:r>
        <w:rPr/>
        <w:br w:type="column"/>
      </w:r>
      <w:r>
        <w:rPr>
          <w:i/>
          <w:w w:val="80"/>
          <w:sz w:val="12"/>
        </w:rPr>
        <w:t>i</w:t>
      </w:r>
      <w:r>
        <w:rPr>
          <w:rFonts w:ascii="Symbol" w:hAnsi="Symbol"/>
          <w:w w:val="80"/>
          <w:sz w:val="12"/>
        </w:rPr>
        <w:t></w:t>
      </w:r>
      <w:r>
        <w:rPr>
          <w:w w:val="80"/>
          <w:sz w:val="12"/>
        </w:rPr>
        <w:t>0</w:t>
      </w:r>
    </w:p>
    <w:p>
      <w:pPr>
        <w:tabs>
          <w:tab w:pos="424" w:val="left" w:leader="none"/>
          <w:tab w:pos="790" w:val="left" w:leader="none"/>
          <w:tab w:pos="1300" w:val="right" w:leader="none"/>
        </w:tabs>
        <w:spacing w:line="146" w:lineRule="exact" w:before="0"/>
        <w:ind w:left="75" w:right="0" w:firstLine="0"/>
        <w:jc w:val="left"/>
        <w:rPr>
          <w:sz w:val="12"/>
        </w:rPr>
      </w:pPr>
      <w:r>
        <w:rPr/>
        <w:br w:type="column"/>
      </w:r>
      <w:r>
        <w:rPr>
          <w:w w:val="95"/>
          <w:sz w:val="12"/>
        </w:rPr>
        <w:t>7</w:t>
      </w:r>
      <w:r>
        <w:rPr>
          <w:i/>
          <w:w w:val="95"/>
          <w:sz w:val="12"/>
        </w:rPr>
        <w:t>i</w:t>
        <w:tab/>
      </w:r>
      <w:r>
        <w:rPr>
          <w:i/>
          <w:w w:val="80"/>
          <w:sz w:val="12"/>
        </w:rPr>
        <w:t>t</w:t>
      </w:r>
      <w:r>
        <w:rPr>
          <w:i/>
          <w:spacing w:val="-14"/>
          <w:w w:val="80"/>
          <w:sz w:val="12"/>
        </w:rPr>
        <w:t> </w:t>
      </w:r>
      <w:r>
        <w:rPr>
          <w:rFonts w:ascii="Symbol" w:hAnsi="Symbol"/>
          <w:w w:val="80"/>
          <w:sz w:val="12"/>
        </w:rPr>
        <w:t></w:t>
      </w:r>
      <w:r>
        <w:rPr>
          <w:i/>
          <w:w w:val="80"/>
          <w:sz w:val="12"/>
        </w:rPr>
        <w:t>i</w:t>
        <w:tab/>
      </w:r>
      <w:r>
        <w:rPr>
          <w:w w:val="95"/>
          <w:sz w:val="12"/>
        </w:rPr>
        <w:t>8</w:t>
      </w:r>
      <w:r>
        <w:rPr>
          <w:spacing w:val="29"/>
          <w:sz w:val="12"/>
        </w:rPr>
        <w:t> </w:t>
      </w:r>
      <w:r>
        <w:rPr>
          <w:spacing w:val="30"/>
          <w:sz w:val="12"/>
        </w:rPr>
        <w:t> </w:t>
      </w:r>
      <w:r>
        <w:rPr>
          <w:i/>
          <w:w w:val="95"/>
          <w:sz w:val="12"/>
        </w:rPr>
        <w:t>i</w:t>
        <w:tab/>
      </w:r>
      <w:r>
        <w:rPr>
          <w:w w:val="95"/>
          <w:sz w:val="12"/>
        </w:rPr>
        <w:t>1</w:t>
      </w:r>
    </w:p>
    <w:p>
      <w:pPr>
        <w:tabs>
          <w:tab w:pos="902" w:val="right" w:leader="none"/>
        </w:tabs>
        <w:spacing w:line="146" w:lineRule="exact" w:before="0"/>
        <w:ind w:left="458" w:right="0" w:firstLine="0"/>
        <w:jc w:val="left"/>
        <w:rPr>
          <w:sz w:val="12"/>
        </w:rPr>
      </w:pPr>
      <w:r>
        <w:rPr/>
        <w:br w:type="column"/>
      </w:r>
      <w:r>
        <w:rPr>
          <w:i/>
          <w:w w:val="80"/>
          <w:sz w:val="12"/>
        </w:rPr>
        <w:t>t</w:t>
      </w:r>
      <w:r>
        <w:rPr>
          <w:i/>
          <w:spacing w:val="-14"/>
          <w:w w:val="80"/>
          <w:sz w:val="12"/>
        </w:rPr>
        <w:t> </w:t>
      </w:r>
      <w:r>
        <w:rPr>
          <w:rFonts w:ascii="Symbol" w:hAnsi="Symbol"/>
          <w:w w:val="80"/>
          <w:sz w:val="12"/>
        </w:rPr>
        <w:t></w:t>
      </w:r>
      <w:r>
        <w:rPr>
          <w:w w:val="80"/>
          <w:sz w:val="12"/>
        </w:rPr>
        <w:t>1</w:t>
        <w:tab/>
        <w:t>2</w:t>
      </w:r>
    </w:p>
    <w:p>
      <w:pPr>
        <w:tabs>
          <w:tab w:pos="999" w:val="right" w:leader="none"/>
        </w:tabs>
        <w:spacing w:line="146" w:lineRule="exact" w:before="0"/>
        <w:ind w:left="559" w:right="0" w:firstLine="0"/>
        <w:jc w:val="left"/>
        <w:rPr>
          <w:sz w:val="12"/>
        </w:rPr>
      </w:pPr>
      <w:r>
        <w:rPr/>
        <w:br w:type="column"/>
      </w:r>
      <w:r>
        <w:rPr>
          <w:i/>
          <w:w w:val="80"/>
          <w:sz w:val="12"/>
        </w:rPr>
        <w:t>t</w:t>
      </w:r>
      <w:r>
        <w:rPr>
          <w:i/>
          <w:spacing w:val="-14"/>
          <w:w w:val="80"/>
          <w:sz w:val="12"/>
        </w:rPr>
        <w:t> </w:t>
      </w:r>
      <w:r>
        <w:rPr>
          <w:rFonts w:ascii="Symbol" w:hAnsi="Symbol"/>
          <w:w w:val="80"/>
          <w:sz w:val="12"/>
        </w:rPr>
        <w:t></w:t>
      </w:r>
      <w:r>
        <w:rPr>
          <w:w w:val="80"/>
          <w:sz w:val="12"/>
        </w:rPr>
        <w:t>1</w:t>
        <w:tab/>
        <w:t>3</w:t>
      </w:r>
    </w:p>
    <w:p>
      <w:pPr>
        <w:tabs>
          <w:tab w:pos="912" w:val="right" w:leader="none"/>
        </w:tabs>
        <w:spacing w:line="146" w:lineRule="exact" w:before="0"/>
        <w:ind w:left="468" w:right="0" w:firstLine="0"/>
        <w:jc w:val="left"/>
        <w:rPr>
          <w:sz w:val="12"/>
        </w:rPr>
      </w:pPr>
      <w:r>
        <w:rPr/>
        <w:br w:type="column"/>
      </w:r>
      <w:r>
        <w:rPr>
          <w:i/>
          <w:w w:val="80"/>
          <w:sz w:val="12"/>
        </w:rPr>
        <w:t>t</w:t>
      </w:r>
      <w:r>
        <w:rPr>
          <w:i/>
          <w:spacing w:val="-14"/>
          <w:w w:val="80"/>
          <w:sz w:val="12"/>
        </w:rPr>
        <w:t> </w:t>
      </w:r>
      <w:r>
        <w:rPr>
          <w:rFonts w:ascii="Symbol" w:hAnsi="Symbol"/>
          <w:w w:val="80"/>
          <w:sz w:val="12"/>
        </w:rPr>
        <w:t></w:t>
      </w:r>
      <w:r>
        <w:rPr>
          <w:w w:val="80"/>
          <w:sz w:val="12"/>
        </w:rPr>
        <w:t>1</w:t>
        <w:tab/>
        <w:t>4</w:t>
      </w:r>
    </w:p>
    <w:p>
      <w:pPr>
        <w:tabs>
          <w:tab w:pos="892" w:val="right" w:leader="none"/>
        </w:tabs>
        <w:spacing w:before="9"/>
        <w:ind w:left="481" w:right="0" w:firstLine="0"/>
        <w:jc w:val="left"/>
        <w:rPr>
          <w:sz w:val="12"/>
        </w:rPr>
      </w:pPr>
      <w:r>
        <w:rPr/>
        <w:br w:type="column"/>
      </w:r>
      <w:r>
        <w:rPr>
          <w:i/>
          <w:w w:val="95"/>
          <w:sz w:val="8"/>
        </w:rPr>
        <w:t>t</w:t>
      </w:r>
      <w:r>
        <w:rPr>
          <w:rFonts w:ascii="Symbol" w:hAnsi="Symbol"/>
          <w:w w:val="95"/>
          <w:sz w:val="8"/>
        </w:rPr>
        <w:t></w:t>
      </w:r>
      <w:r>
        <w:rPr>
          <w:w w:val="95"/>
          <w:sz w:val="8"/>
        </w:rPr>
        <w:t>1</w:t>
        <w:tab/>
      </w:r>
      <w:r>
        <w:rPr>
          <w:w w:val="95"/>
          <w:position w:val="3"/>
          <w:sz w:val="12"/>
        </w:rPr>
        <w:t>5</w:t>
      </w:r>
    </w:p>
    <w:p>
      <w:pPr>
        <w:tabs>
          <w:tab w:pos="902" w:val="right" w:leader="none"/>
        </w:tabs>
        <w:spacing w:line="146" w:lineRule="exact" w:before="0"/>
        <w:ind w:left="459" w:right="0" w:firstLine="0"/>
        <w:jc w:val="left"/>
        <w:rPr>
          <w:sz w:val="12"/>
        </w:rPr>
      </w:pPr>
      <w:r>
        <w:rPr/>
        <w:br w:type="column"/>
      </w:r>
      <w:r>
        <w:rPr>
          <w:i/>
          <w:w w:val="80"/>
          <w:sz w:val="12"/>
        </w:rPr>
        <w:t>t</w:t>
      </w:r>
      <w:r>
        <w:rPr>
          <w:i/>
          <w:spacing w:val="-14"/>
          <w:w w:val="80"/>
          <w:sz w:val="12"/>
        </w:rPr>
        <w:t> </w:t>
      </w:r>
      <w:r>
        <w:rPr>
          <w:rFonts w:ascii="Symbol" w:hAnsi="Symbol"/>
          <w:w w:val="80"/>
          <w:sz w:val="12"/>
        </w:rPr>
        <w:t></w:t>
      </w:r>
      <w:r>
        <w:rPr>
          <w:w w:val="80"/>
          <w:sz w:val="12"/>
        </w:rPr>
        <w:t>1</w:t>
        <w:tab/>
        <w:t>6</w:t>
      </w:r>
    </w:p>
    <w:p>
      <w:pPr>
        <w:tabs>
          <w:tab w:pos="759" w:val="left" w:leader="none"/>
        </w:tabs>
        <w:spacing w:line="146" w:lineRule="exact" w:before="0"/>
        <w:ind w:left="381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spacing w:val="-1"/>
          <w:w w:val="80"/>
          <w:sz w:val="12"/>
        </w:rPr>
        <w:t>t</w:t>
      </w:r>
      <w:r>
        <w:rPr>
          <w:i/>
          <w:spacing w:val="-14"/>
          <w:w w:val="80"/>
          <w:sz w:val="12"/>
        </w:rPr>
        <w:t> </w:t>
      </w:r>
      <w:r>
        <w:rPr>
          <w:rFonts w:ascii="Symbol" w:hAnsi="Symbol"/>
          <w:w w:val="80"/>
          <w:sz w:val="12"/>
        </w:rPr>
        <w:t></w:t>
      </w:r>
      <w:r>
        <w:rPr>
          <w:w w:val="80"/>
          <w:sz w:val="12"/>
        </w:rPr>
        <w:t>1</w:t>
        <w:tab/>
      </w:r>
      <w:r>
        <w:rPr>
          <w:i/>
          <w:w w:val="95"/>
          <w:sz w:val="12"/>
        </w:rPr>
        <w:t>i</w:t>
      </w:r>
    </w:p>
    <w:p>
      <w:pPr>
        <w:spacing w:after="0" w:line="146" w:lineRule="exact"/>
        <w:jc w:val="left"/>
        <w:rPr>
          <w:sz w:val="12"/>
        </w:rPr>
        <w:sectPr>
          <w:type w:val="continuous"/>
          <w:pgSz w:w="12240" w:h="15840"/>
          <w:pgMar w:top="1500" w:bottom="1200" w:left="1320" w:right="440"/>
          <w:cols w:num="10" w:equalWidth="0">
            <w:col w:w="1100" w:space="40"/>
            <w:col w:w="803" w:space="39"/>
            <w:col w:w="294" w:space="40"/>
            <w:col w:w="1301" w:space="40"/>
            <w:col w:w="903" w:space="39"/>
            <w:col w:w="1000" w:space="40"/>
            <w:col w:w="913" w:space="40"/>
            <w:col w:w="893" w:space="39"/>
            <w:col w:w="903" w:space="40"/>
            <w:col w:w="2013"/>
          </w:cols>
        </w:sectPr>
      </w:pPr>
    </w:p>
    <w:p>
      <w:pPr>
        <w:pStyle w:val="Heading2"/>
        <w:spacing w:before="76"/>
        <w:ind w:left="2251" w:right="1545" w:hanging="1440"/>
      </w:pPr>
      <w:r>
        <w:rPr/>
        <w:pict>
          <v:shape style="position:absolute;margin-left:100.940002pt;margin-top:45.383114pt;width:444.8pt;height:519pt;mso-position-horizontal-relative:page;mso-position-vertical-relative:paragraph;z-index:-25301504" coordorigin="2019,908" coordsize="8896,10380" path="m2028,11277l2019,11277,2019,11287,2028,11287,2028,11277xm2028,917l2019,917,2019,11277,2028,11277,2028,917xm10905,908l2028,908,2019,908,2019,917,2028,917,10905,917,10905,908xm10915,908l10905,908,10905,917,10915,917,10915,90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.420006pt;margin-top:45.873116pt;width:444.35pt;height:518.5pt;mso-position-horizontal-relative:page;mso-position-vertical-relative:paragraph;z-index:-25300992" coordorigin="2028,917" coordsize="8887,10370" path="m10905,11277l2028,11277,2028,11287,10905,11287,10905,11277xm10915,11277l10905,11277,10905,11287,10915,11287,10915,11277xm10915,917l10905,917,10905,11277,10915,11277,10915,917xe" filled="true" fillcolor="#000000" stroked="false">
            <v:path arrowok="t"/>
            <v:fill type="solid"/>
            <w10:wrap type="none"/>
          </v:shape>
        </w:pict>
      </w:r>
      <w:r>
        <w:rPr/>
        <w:t>Appendix 4:</w:t>
      </w:r>
      <w:r>
        <w:rPr>
          <w:spacing w:val="54"/>
        </w:rPr>
        <w:t> </w:t>
      </w:r>
      <w:r>
        <w:rPr/>
        <w:t>The</w:t>
      </w:r>
      <w:r>
        <w:rPr>
          <w:spacing w:val="-2"/>
        </w:rPr>
        <w:t> </w:t>
      </w:r>
      <w:r>
        <w:rPr/>
        <w:t>Error</w:t>
      </w:r>
      <w:r>
        <w:rPr>
          <w:spacing w:val="-2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Representations</w:t>
      </w:r>
      <w:r>
        <w:rPr>
          <w:spacing w:val="-1"/>
        </w:rPr>
        <w:t> </w:t>
      </w:r>
      <w:r>
        <w:rPr/>
        <w:t>of the</w:t>
      </w:r>
      <w:r>
        <w:rPr>
          <w:spacing w:val="-5"/>
        </w:rPr>
        <w:t> </w:t>
      </w:r>
      <w:r>
        <w:rPr/>
        <w:t>ARDL</w:t>
      </w:r>
      <w:r>
        <w:rPr>
          <w:spacing w:val="-1"/>
        </w:rPr>
        <w:t> </w:t>
      </w:r>
      <w:r>
        <w:rPr/>
        <w:t>Model of the</w:t>
      </w:r>
      <w:r>
        <w:rPr>
          <w:spacing w:val="-57"/>
        </w:rPr>
        <w:t> </w:t>
      </w:r>
      <w:r>
        <w:rPr/>
        <w:t>sub-Components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Payments</w:t>
      </w:r>
    </w:p>
    <w:p>
      <w:pPr>
        <w:pStyle w:val="Heading2"/>
        <w:spacing w:before="807"/>
      </w:pPr>
      <w:r>
        <w:rPr/>
        <w:t>Exports</w:t>
      </w:r>
      <w:r>
        <w:rPr>
          <w:spacing w:val="-1"/>
        </w:rPr>
        <w:t> </w:t>
      </w:r>
      <w:r>
        <w:rPr/>
        <w:t>Equation</w:t>
      </w:r>
    </w:p>
    <w:p>
      <w:pPr>
        <w:tabs>
          <w:tab w:pos="3933" w:val="left" w:leader="none"/>
          <w:tab w:pos="5793" w:val="left" w:leader="none"/>
          <w:tab w:pos="7470" w:val="left" w:leader="none"/>
        </w:tabs>
        <w:spacing w:line="50" w:lineRule="exact" w:before="270"/>
        <w:ind w:left="2344" w:right="0" w:firstLine="0"/>
        <w:jc w:val="left"/>
        <w:rPr>
          <w:i/>
          <w:sz w:val="11"/>
        </w:rPr>
      </w:pPr>
      <w:r>
        <w:rPr>
          <w:i/>
          <w:w w:val="120"/>
          <w:sz w:val="11"/>
        </w:rPr>
        <w:t>k</w:t>
        <w:tab/>
        <w:t>k</w:t>
        <w:tab/>
        <w:t>k</w:t>
        <w:tab/>
        <w:t>k</w:t>
      </w:r>
    </w:p>
    <w:p>
      <w:pPr>
        <w:spacing w:after="0" w:line="50" w:lineRule="exact"/>
        <w:jc w:val="left"/>
        <w:rPr>
          <w:sz w:val="11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line="136" w:lineRule="exact" w:before="57"/>
        <w:ind w:left="846" w:right="0" w:firstLine="0"/>
        <w:jc w:val="left"/>
        <w:rPr>
          <w:i/>
          <w:sz w:val="20"/>
        </w:rPr>
      </w:pPr>
      <w:r>
        <w:rPr>
          <w:rFonts w:ascii="Symbol" w:hAnsi="Symbol"/>
          <w:spacing w:val="-1"/>
          <w:w w:val="115"/>
          <w:sz w:val="20"/>
        </w:rPr>
        <w:t></w:t>
      </w:r>
      <w:r>
        <w:rPr>
          <w:i/>
          <w:spacing w:val="-1"/>
          <w:w w:val="115"/>
          <w:sz w:val="20"/>
        </w:rPr>
        <w:t>LnEX</w:t>
      </w:r>
    </w:p>
    <w:p>
      <w:pPr>
        <w:tabs>
          <w:tab w:pos="2132" w:val="left" w:leader="none"/>
          <w:tab w:pos="3991" w:val="left" w:leader="none"/>
        </w:tabs>
        <w:spacing w:line="186" w:lineRule="exact" w:before="6"/>
        <w:ind w:left="99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w w:val="110"/>
          <w:sz w:val="20"/>
        </w:rPr>
        <w:t></w:t>
      </w:r>
      <w:r>
        <w:rPr>
          <w:spacing w:val="-19"/>
          <w:w w:val="110"/>
          <w:sz w:val="20"/>
        </w:rPr>
        <w:t> </w:t>
      </w:r>
      <w:r>
        <w:rPr>
          <w:rFonts w:ascii="Symbol" w:hAnsi="Symbol"/>
          <w:w w:val="110"/>
          <w:sz w:val="21"/>
        </w:rPr>
        <w:t></w:t>
      </w:r>
      <w:r>
        <w:rPr>
          <w:w w:val="110"/>
          <w:sz w:val="21"/>
        </w:rPr>
        <w:t> </w:t>
      </w:r>
      <w:r>
        <w:rPr>
          <w:spacing w:val="37"/>
          <w:w w:val="110"/>
          <w:sz w:val="21"/>
        </w:rPr>
        <w:t> </w:t>
      </w:r>
      <w:r>
        <w:rPr>
          <w:rFonts w:ascii="Symbol" w:hAnsi="Symbol"/>
          <w:w w:val="110"/>
          <w:sz w:val="20"/>
        </w:rPr>
        <w:t></w:t>
      </w:r>
      <w:r>
        <w:rPr>
          <w:spacing w:val="-11"/>
          <w:w w:val="110"/>
          <w:sz w:val="20"/>
        </w:rPr>
        <w:t> </w:t>
      </w:r>
      <w:r>
        <w:rPr>
          <w:rFonts w:ascii="Symbol" w:hAnsi="Symbol"/>
          <w:w w:val="110"/>
          <w:position w:val="-4"/>
          <w:sz w:val="30"/>
        </w:rPr>
        <w:t></w:t>
      </w:r>
      <w:r>
        <w:rPr>
          <w:rFonts w:ascii="Symbol" w:hAnsi="Symbol"/>
          <w:w w:val="110"/>
          <w:sz w:val="21"/>
        </w:rPr>
        <w:t></w:t>
      </w:r>
      <w:r>
        <w:rPr>
          <w:w w:val="110"/>
          <w:sz w:val="21"/>
        </w:rPr>
        <w:t> </w:t>
      </w:r>
      <w:r>
        <w:rPr>
          <w:spacing w:val="7"/>
          <w:w w:val="110"/>
          <w:sz w:val="21"/>
        </w:rPr>
        <w:t> </w:t>
      </w:r>
      <w:r>
        <w:rPr>
          <w:rFonts w:ascii="Symbol" w:hAnsi="Symbol"/>
          <w:w w:val="110"/>
          <w:sz w:val="20"/>
        </w:rPr>
        <w:t></w:t>
      </w:r>
      <w:r>
        <w:rPr>
          <w:i/>
          <w:w w:val="110"/>
          <w:sz w:val="20"/>
        </w:rPr>
        <w:t>LnEX</w:t>
        <w:tab/>
      </w:r>
      <w:r>
        <w:rPr>
          <w:rFonts w:ascii="Symbol" w:hAnsi="Symbol"/>
          <w:w w:val="110"/>
          <w:sz w:val="20"/>
        </w:rPr>
        <w:t></w:t>
      </w:r>
      <w:r>
        <w:rPr>
          <w:spacing w:val="-9"/>
          <w:w w:val="110"/>
          <w:sz w:val="20"/>
        </w:rPr>
        <w:t> </w:t>
      </w:r>
      <w:r>
        <w:rPr>
          <w:rFonts w:ascii="Symbol" w:hAnsi="Symbol"/>
          <w:w w:val="110"/>
          <w:position w:val="-4"/>
          <w:sz w:val="30"/>
        </w:rPr>
        <w:t></w:t>
      </w:r>
      <w:r>
        <w:rPr>
          <w:rFonts w:ascii="Symbol" w:hAnsi="Symbol"/>
          <w:w w:val="110"/>
          <w:sz w:val="21"/>
        </w:rPr>
        <w:t></w:t>
      </w:r>
      <w:r>
        <w:rPr>
          <w:w w:val="110"/>
          <w:sz w:val="21"/>
        </w:rPr>
        <w:t> </w:t>
      </w:r>
      <w:r>
        <w:rPr>
          <w:spacing w:val="42"/>
          <w:w w:val="110"/>
          <w:sz w:val="21"/>
        </w:rPr>
        <w:t> </w:t>
      </w:r>
      <w:r>
        <w:rPr>
          <w:rFonts w:ascii="Symbol" w:hAnsi="Symbol"/>
          <w:w w:val="110"/>
          <w:sz w:val="20"/>
        </w:rPr>
        <w:t></w:t>
      </w:r>
      <w:r>
        <w:rPr>
          <w:i/>
          <w:w w:val="110"/>
          <w:sz w:val="20"/>
        </w:rPr>
        <w:t>LnREER</w:t>
        <w:tab/>
      </w:r>
      <w:r>
        <w:rPr>
          <w:rFonts w:ascii="Symbol" w:hAnsi="Symbol"/>
          <w:w w:val="110"/>
          <w:sz w:val="20"/>
        </w:rPr>
        <w:t></w:t>
      </w:r>
      <w:r>
        <w:rPr>
          <w:spacing w:val="-3"/>
          <w:w w:val="110"/>
          <w:sz w:val="20"/>
        </w:rPr>
        <w:t> </w:t>
      </w:r>
      <w:r>
        <w:rPr>
          <w:rFonts w:ascii="Symbol" w:hAnsi="Symbol"/>
          <w:w w:val="110"/>
          <w:position w:val="-4"/>
          <w:sz w:val="30"/>
        </w:rPr>
        <w:t></w:t>
      </w:r>
      <w:r>
        <w:rPr>
          <w:rFonts w:ascii="Symbol" w:hAnsi="Symbol"/>
          <w:w w:val="110"/>
          <w:sz w:val="21"/>
        </w:rPr>
        <w:t></w:t>
      </w:r>
      <w:r>
        <w:rPr>
          <w:w w:val="110"/>
          <w:sz w:val="21"/>
        </w:rPr>
        <w:t> </w:t>
      </w:r>
      <w:r>
        <w:rPr>
          <w:spacing w:val="53"/>
          <w:w w:val="110"/>
          <w:sz w:val="21"/>
        </w:rPr>
        <w:t> </w:t>
      </w:r>
      <w:r>
        <w:rPr>
          <w:rFonts w:ascii="Symbol" w:hAnsi="Symbol"/>
          <w:w w:val="110"/>
          <w:sz w:val="20"/>
        </w:rPr>
        <w:t></w:t>
      </w:r>
      <w:r>
        <w:rPr>
          <w:i/>
          <w:w w:val="110"/>
          <w:sz w:val="20"/>
        </w:rPr>
        <w:t>LnGDP</w:t>
      </w:r>
      <w:r>
        <w:rPr>
          <w:i/>
          <w:w w:val="110"/>
          <w:sz w:val="20"/>
          <w:vertAlign w:val="superscript"/>
        </w:rPr>
        <w:t>d</w:t>
      </w:r>
      <w:r>
        <w:rPr>
          <w:i/>
          <w:w w:val="110"/>
          <w:sz w:val="20"/>
          <w:vertAlign w:val="baseline"/>
        </w:rPr>
        <w:t> </w:t>
      </w:r>
      <w:r>
        <w:rPr>
          <w:i/>
          <w:spacing w:val="2"/>
          <w:w w:val="110"/>
          <w:sz w:val="20"/>
          <w:vertAlign w:val="baseline"/>
        </w:rPr>
        <w:t> </w:t>
      </w:r>
      <w:r>
        <w:rPr>
          <w:rFonts w:ascii="Symbol" w:hAnsi="Symbol"/>
          <w:w w:val="110"/>
          <w:sz w:val="20"/>
          <w:vertAlign w:val="baseline"/>
        </w:rPr>
        <w:t></w:t>
      </w:r>
      <w:r>
        <w:rPr>
          <w:rFonts w:ascii="Symbol" w:hAnsi="Symbol"/>
          <w:w w:val="110"/>
          <w:position w:val="-4"/>
          <w:sz w:val="30"/>
          <w:vertAlign w:val="baseline"/>
        </w:rPr>
        <w:t></w:t>
      </w:r>
      <w:r>
        <w:rPr>
          <w:rFonts w:ascii="Symbol" w:hAnsi="Symbol"/>
          <w:w w:val="110"/>
          <w:sz w:val="21"/>
          <w:vertAlign w:val="baseline"/>
        </w:rPr>
        <w:t></w:t>
      </w:r>
    </w:p>
    <w:p>
      <w:pPr>
        <w:spacing w:line="136" w:lineRule="exact" w:before="57"/>
        <w:ind w:left="95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w w:val="110"/>
          <w:sz w:val="20"/>
        </w:rPr>
        <w:t></w:t>
      </w:r>
      <w:r>
        <w:rPr>
          <w:i/>
          <w:w w:val="110"/>
          <w:sz w:val="20"/>
        </w:rPr>
        <w:t>LnGDP</w:t>
      </w:r>
      <w:r>
        <w:rPr>
          <w:i/>
          <w:spacing w:val="9"/>
          <w:w w:val="110"/>
          <w:sz w:val="20"/>
        </w:rPr>
        <w:t> </w:t>
      </w:r>
      <w:r>
        <w:rPr>
          <w:i/>
          <w:w w:val="110"/>
          <w:sz w:val="20"/>
          <w:vertAlign w:val="superscript"/>
        </w:rPr>
        <w:t>f</w:t>
      </w:r>
    </w:p>
    <w:p>
      <w:pPr>
        <w:spacing w:after="0" w:line="136" w:lineRule="exact"/>
        <w:jc w:val="left"/>
        <w:rPr>
          <w:sz w:val="20"/>
        </w:rPr>
        <w:sectPr>
          <w:type w:val="continuous"/>
          <w:pgSz w:w="12240" w:h="15840"/>
          <w:pgMar w:top="1500" w:bottom="1200" w:left="1320" w:right="440"/>
          <w:cols w:num="3" w:equalWidth="0">
            <w:col w:w="1508" w:space="40"/>
            <w:col w:w="6237" w:space="39"/>
            <w:col w:w="2656"/>
          </w:cols>
        </w:sectPr>
      </w:pPr>
    </w:p>
    <w:p>
      <w:pPr>
        <w:tabs>
          <w:tab w:pos="1964" w:val="left" w:leader="none"/>
          <w:tab w:pos="2657" w:val="left" w:leader="none"/>
          <w:tab w:pos="3451" w:val="left" w:leader="none"/>
        </w:tabs>
        <w:spacing w:line="247" w:lineRule="auto" w:before="7"/>
        <w:ind w:left="2293" w:right="0" w:hanging="767"/>
        <w:jc w:val="left"/>
        <w:rPr>
          <w:sz w:val="11"/>
        </w:rPr>
      </w:pPr>
      <w:r>
        <w:rPr>
          <w:i/>
          <w:w w:val="120"/>
          <w:sz w:val="11"/>
        </w:rPr>
        <w:t>t</w:t>
        <w:tab/>
      </w:r>
      <w:r>
        <w:rPr>
          <w:w w:val="120"/>
          <w:sz w:val="11"/>
        </w:rPr>
        <w:t>0</w:t>
        <w:tab/>
        <w:tab/>
        <w:t>1</w:t>
      </w:r>
      <w:r>
        <w:rPr>
          <w:i/>
          <w:w w:val="120"/>
          <w:sz w:val="11"/>
        </w:rPr>
        <w:t>i</w:t>
        <w:tab/>
      </w:r>
      <w:r>
        <w:rPr>
          <w:i/>
          <w:spacing w:val="-5"/>
          <w:w w:val="120"/>
          <w:sz w:val="11"/>
        </w:rPr>
        <w:t>t </w:t>
      </w:r>
      <w:r>
        <w:rPr>
          <w:rFonts w:ascii="Symbol" w:hAnsi="Symbol"/>
          <w:spacing w:val="-5"/>
          <w:w w:val="120"/>
          <w:sz w:val="11"/>
        </w:rPr>
        <w:t></w:t>
      </w:r>
      <w:r>
        <w:rPr>
          <w:i/>
          <w:spacing w:val="-5"/>
          <w:w w:val="120"/>
          <w:sz w:val="11"/>
        </w:rPr>
        <w:t>i</w:t>
      </w:r>
      <w:r>
        <w:rPr>
          <w:i/>
          <w:spacing w:val="-30"/>
          <w:w w:val="120"/>
          <w:sz w:val="11"/>
        </w:rPr>
        <w:t> </w:t>
      </w:r>
      <w:r>
        <w:rPr>
          <w:i/>
          <w:w w:val="120"/>
          <w:sz w:val="11"/>
        </w:rPr>
        <w:t>i</w:t>
      </w:r>
      <w:r>
        <w:rPr>
          <w:rFonts w:ascii="Symbol" w:hAnsi="Symbol"/>
          <w:w w:val="120"/>
          <w:sz w:val="11"/>
        </w:rPr>
        <w:t></w:t>
      </w:r>
      <w:r>
        <w:rPr>
          <w:w w:val="120"/>
          <w:sz w:val="11"/>
        </w:rPr>
        <w:t>1</w:t>
      </w:r>
    </w:p>
    <w:p>
      <w:pPr>
        <w:spacing w:before="146"/>
        <w:ind w:left="215" w:right="0" w:firstLine="0"/>
        <w:jc w:val="left"/>
        <w:rPr>
          <w:sz w:val="11"/>
        </w:rPr>
      </w:pPr>
      <w:r>
        <w:rPr/>
        <w:br w:type="column"/>
      </w:r>
      <w:r>
        <w:rPr>
          <w:i/>
          <w:w w:val="120"/>
          <w:sz w:val="11"/>
        </w:rPr>
        <w:t>i</w:t>
      </w:r>
      <w:r>
        <w:rPr>
          <w:rFonts w:ascii="Symbol" w:hAnsi="Symbol"/>
          <w:w w:val="120"/>
          <w:sz w:val="11"/>
        </w:rPr>
        <w:t></w:t>
      </w:r>
      <w:r>
        <w:rPr>
          <w:w w:val="120"/>
          <w:sz w:val="11"/>
        </w:rPr>
        <w:t>0</w:t>
      </w:r>
    </w:p>
    <w:p>
      <w:pPr>
        <w:tabs>
          <w:tab w:pos="1207" w:val="left" w:leader="none"/>
        </w:tabs>
        <w:spacing w:before="7"/>
        <w:ind w:left="157" w:right="0" w:firstLine="0"/>
        <w:jc w:val="left"/>
        <w:rPr>
          <w:i/>
          <w:sz w:val="11"/>
        </w:rPr>
      </w:pPr>
      <w:r>
        <w:rPr/>
        <w:br w:type="column"/>
      </w:r>
      <w:r>
        <w:rPr>
          <w:w w:val="120"/>
          <w:sz w:val="11"/>
        </w:rPr>
        <w:t>2</w:t>
      </w:r>
      <w:r>
        <w:rPr>
          <w:i/>
          <w:w w:val="120"/>
          <w:sz w:val="11"/>
        </w:rPr>
        <w:t>i</w:t>
        <w:tab/>
      </w:r>
      <w:r>
        <w:rPr>
          <w:i/>
          <w:spacing w:val="-5"/>
          <w:w w:val="120"/>
          <w:sz w:val="11"/>
        </w:rPr>
        <w:t>t</w:t>
      </w:r>
      <w:r>
        <w:rPr>
          <w:i/>
          <w:spacing w:val="-20"/>
          <w:w w:val="120"/>
          <w:sz w:val="11"/>
        </w:rPr>
        <w:t> </w:t>
      </w:r>
      <w:r>
        <w:rPr>
          <w:rFonts w:ascii="Symbol" w:hAnsi="Symbol"/>
          <w:spacing w:val="-5"/>
          <w:w w:val="120"/>
          <w:sz w:val="11"/>
        </w:rPr>
        <w:t></w:t>
      </w:r>
      <w:r>
        <w:rPr>
          <w:i/>
          <w:spacing w:val="-5"/>
          <w:w w:val="120"/>
          <w:sz w:val="11"/>
        </w:rPr>
        <w:t>i</w:t>
      </w:r>
    </w:p>
    <w:p>
      <w:pPr>
        <w:spacing w:before="15"/>
        <w:ind w:left="601" w:right="0" w:firstLine="0"/>
        <w:jc w:val="left"/>
        <w:rPr>
          <w:i/>
          <w:sz w:val="11"/>
        </w:rPr>
      </w:pPr>
      <w:r>
        <w:rPr/>
        <w:br w:type="column"/>
      </w:r>
      <w:r>
        <w:rPr>
          <w:w w:val="120"/>
          <w:sz w:val="11"/>
        </w:rPr>
        <w:t>3</w:t>
      </w:r>
      <w:r>
        <w:rPr>
          <w:i/>
          <w:w w:val="120"/>
          <w:sz w:val="11"/>
        </w:rPr>
        <w:t>i</w:t>
      </w:r>
    </w:p>
    <w:p>
      <w:pPr>
        <w:spacing w:before="4"/>
        <w:ind w:left="215" w:right="0" w:firstLine="0"/>
        <w:jc w:val="left"/>
        <w:rPr>
          <w:sz w:val="11"/>
        </w:rPr>
      </w:pPr>
      <w:r>
        <w:rPr>
          <w:i/>
          <w:w w:val="120"/>
          <w:sz w:val="11"/>
        </w:rPr>
        <w:t>i</w:t>
      </w:r>
      <w:r>
        <w:rPr>
          <w:rFonts w:ascii="Symbol" w:hAnsi="Symbol"/>
          <w:w w:val="120"/>
          <w:sz w:val="11"/>
        </w:rPr>
        <w:t></w:t>
      </w:r>
      <w:r>
        <w:rPr>
          <w:w w:val="120"/>
          <w:sz w:val="11"/>
        </w:rPr>
        <w:t>0</w:t>
      </w:r>
    </w:p>
    <w:p>
      <w:pPr>
        <w:spacing w:before="67"/>
        <w:ind w:left="0" w:right="0" w:firstLine="0"/>
        <w:jc w:val="right"/>
        <w:rPr>
          <w:i/>
          <w:sz w:val="8"/>
        </w:rPr>
      </w:pPr>
      <w:r>
        <w:rPr/>
        <w:br w:type="column"/>
      </w:r>
      <w:r>
        <w:rPr>
          <w:i/>
          <w:w w:val="120"/>
          <w:sz w:val="8"/>
        </w:rPr>
        <w:t>t</w:t>
      </w:r>
      <w:r>
        <w:rPr>
          <w:rFonts w:ascii="Symbol" w:hAnsi="Symbol"/>
          <w:w w:val="120"/>
          <w:sz w:val="8"/>
        </w:rPr>
        <w:t></w:t>
      </w:r>
      <w:r>
        <w:rPr>
          <w:i/>
          <w:w w:val="120"/>
          <w:sz w:val="8"/>
        </w:rPr>
        <w:t>i</w:t>
      </w:r>
      <w:r>
        <w:rPr>
          <w:i/>
          <w:sz w:val="8"/>
        </w:rPr>
        <w:t>  </w:t>
      </w:r>
      <w:r>
        <w:rPr>
          <w:i/>
          <w:spacing w:val="-1"/>
          <w:sz w:val="8"/>
        </w:rPr>
        <w:t> </w:t>
      </w:r>
    </w:p>
    <w:p>
      <w:pPr>
        <w:spacing w:before="146"/>
        <w:ind w:left="137" w:right="0" w:firstLine="0"/>
        <w:jc w:val="left"/>
        <w:rPr>
          <w:sz w:val="11"/>
        </w:rPr>
      </w:pPr>
      <w:r>
        <w:rPr/>
        <w:br w:type="column"/>
      </w:r>
      <w:r>
        <w:rPr>
          <w:i/>
          <w:w w:val="120"/>
          <w:sz w:val="11"/>
        </w:rPr>
        <w:t>i</w:t>
      </w:r>
      <w:r>
        <w:rPr>
          <w:rFonts w:ascii="Symbol" w:hAnsi="Symbol"/>
          <w:w w:val="120"/>
          <w:sz w:val="11"/>
        </w:rPr>
        <w:t></w:t>
      </w:r>
      <w:r>
        <w:rPr>
          <w:w w:val="120"/>
          <w:sz w:val="11"/>
        </w:rPr>
        <w:t>0</w:t>
      </w:r>
    </w:p>
    <w:p>
      <w:pPr>
        <w:tabs>
          <w:tab w:pos="1089" w:val="left" w:leader="none"/>
        </w:tabs>
        <w:spacing w:before="7"/>
        <w:ind w:left="157" w:right="0" w:firstLine="0"/>
        <w:jc w:val="left"/>
        <w:rPr>
          <w:i/>
          <w:sz w:val="11"/>
        </w:rPr>
      </w:pPr>
      <w:r>
        <w:rPr/>
        <w:br w:type="column"/>
      </w:r>
      <w:r>
        <w:rPr>
          <w:w w:val="120"/>
          <w:sz w:val="11"/>
        </w:rPr>
        <w:t>4</w:t>
      </w:r>
      <w:r>
        <w:rPr>
          <w:i/>
          <w:w w:val="120"/>
          <w:sz w:val="11"/>
        </w:rPr>
        <w:t>i</w:t>
        <w:tab/>
        <w:t>t</w:t>
      </w:r>
      <w:r>
        <w:rPr>
          <w:i/>
          <w:spacing w:val="-16"/>
          <w:w w:val="120"/>
          <w:sz w:val="11"/>
        </w:rPr>
        <w:t> </w:t>
      </w:r>
      <w:r>
        <w:rPr>
          <w:rFonts w:ascii="Symbol" w:hAnsi="Symbol"/>
          <w:w w:val="120"/>
          <w:sz w:val="11"/>
        </w:rPr>
        <w:t></w:t>
      </w:r>
      <w:r>
        <w:rPr>
          <w:i/>
          <w:w w:val="120"/>
          <w:sz w:val="11"/>
        </w:rPr>
        <w:t>i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top="1500" w:bottom="1200" w:left="1320" w:right="440"/>
          <w:cols w:num="7" w:equalWidth="0">
            <w:col w:w="3616" w:space="40"/>
            <w:col w:w="408" w:space="39"/>
            <w:col w:w="1372" w:space="40"/>
            <w:col w:w="706" w:space="39"/>
            <w:col w:w="970" w:space="40"/>
            <w:col w:w="331" w:space="39"/>
            <w:col w:w="2840"/>
          </w:cols>
        </w:sectPr>
      </w:pPr>
    </w:p>
    <w:p>
      <w:pPr>
        <w:spacing w:line="326" w:lineRule="exact" w:before="118"/>
        <w:ind w:left="846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78014464">
            <wp:simplePos x="0" y="0"/>
            <wp:positionH relativeFrom="page">
              <wp:posOffset>1485138</wp:posOffset>
            </wp:positionH>
            <wp:positionV relativeFrom="paragraph">
              <wp:posOffset>49715</wp:posOffset>
            </wp:positionV>
            <wp:extent cx="5102225" cy="5044439"/>
            <wp:effectExtent l="0" t="0" r="0" b="0"/>
            <wp:wrapNone/>
            <wp:docPr id="2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9.371254pt;margin-top:3.007457pt;width:168.4pt;height:6.5pt;mso-position-horizontal-relative:page;mso-position-vertical-relative:paragraph;z-index:-25300480" type="#_x0000_t202" filled="false" stroked="false">
            <v:textbox inset="0,0,0,0">
              <w:txbxContent>
                <w:p>
                  <w:pPr>
                    <w:tabs>
                      <w:tab w:pos="1689" w:val="left" w:leader="none"/>
                      <w:tab w:pos="3308" w:val="left" w:leader="none"/>
                    </w:tabs>
                    <w:spacing w:before="1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w w:val="120"/>
                      <w:sz w:val="11"/>
                    </w:rPr>
                    <w:t>k</w:t>
                    <w:tab/>
                    <w:t>k</w:t>
                    <w:tab/>
                  </w:r>
                  <w:r>
                    <w:rPr>
                      <w:i/>
                      <w:spacing w:val="-6"/>
                      <w:w w:val="120"/>
                      <w:sz w:val="11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6"/>
          <w:w w:val="115"/>
          <w:sz w:val="20"/>
        </w:rPr>
        <w:t></w:t>
      </w:r>
      <w:r>
        <w:rPr>
          <w:rFonts w:ascii="Symbol" w:hAnsi="Symbol"/>
          <w:spacing w:val="10"/>
          <w:w w:val="115"/>
          <w:position w:val="-4"/>
          <w:sz w:val="30"/>
        </w:rPr>
        <w:t></w:t>
      </w:r>
      <w:r>
        <w:rPr>
          <w:rFonts w:ascii="Symbol" w:hAnsi="Symbol"/>
          <w:spacing w:val="9"/>
          <w:w w:val="109"/>
          <w:sz w:val="21"/>
        </w:rPr>
        <w:t></w:t>
      </w:r>
      <w:r>
        <w:rPr>
          <w:spacing w:val="2"/>
          <w:w w:val="121"/>
          <w:position w:val="-4"/>
          <w:sz w:val="11"/>
        </w:rPr>
        <w:t>5</w:t>
      </w:r>
      <w:r>
        <w:rPr>
          <w:i/>
          <w:w w:val="121"/>
          <w:position w:val="-4"/>
          <w:sz w:val="11"/>
        </w:rPr>
        <w:t>i</w:t>
      </w:r>
      <w:r>
        <w:rPr>
          <w:i/>
          <w:spacing w:val="-13"/>
          <w:position w:val="-4"/>
          <w:sz w:val="11"/>
        </w:rPr>
        <w:t> </w:t>
      </w:r>
      <w:r>
        <w:rPr>
          <w:rFonts w:ascii="Symbol" w:hAnsi="Symbol"/>
          <w:spacing w:val="-3"/>
          <w:w w:val="115"/>
          <w:sz w:val="20"/>
        </w:rPr>
        <w:t></w:t>
      </w:r>
      <w:r>
        <w:rPr>
          <w:i/>
          <w:w w:val="115"/>
          <w:sz w:val="20"/>
        </w:rPr>
        <w:t>L</w:t>
      </w:r>
      <w:r>
        <w:rPr>
          <w:i/>
          <w:spacing w:val="-2"/>
          <w:w w:val="115"/>
          <w:sz w:val="20"/>
        </w:rPr>
        <w:t>n</w:t>
      </w:r>
      <w:r>
        <w:rPr>
          <w:i/>
          <w:spacing w:val="-4"/>
          <w:w w:val="115"/>
          <w:sz w:val="20"/>
        </w:rPr>
        <w:t>W</w:t>
      </w:r>
      <w:r>
        <w:rPr>
          <w:i/>
          <w:spacing w:val="-2"/>
          <w:w w:val="115"/>
          <w:sz w:val="20"/>
        </w:rPr>
        <w:t>P</w:t>
      </w:r>
      <w:r>
        <w:rPr>
          <w:i/>
          <w:spacing w:val="8"/>
          <w:w w:val="115"/>
          <w:sz w:val="20"/>
        </w:rPr>
        <w:t>I</w:t>
      </w:r>
      <w:r>
        <w:rPr>
          <w:i/>
          <w:w w:val="121"/>
          <w:position w:val="-4"/>
          <w:sz w:val="11"/>
        </w:rPr>
        <w:t>t</w:t>
      </w:r>
      <w:r>
        <w:rPr>
          <w:i/>
          <w:spacing w:val="-14"/>
          <w:position w:val="-4"/>
          <w:sz w:val="11"/>
        </w:rPr>
        <w:t> </w:t>
      </w:r>
      <w:r>
        <w:rPr>
          <w:rFonts w:ascii="Symbol" w:hAnsi="Symbol"/>
          <w:spacing w:val="2"/>
          <w:w w:val="121"/>
          <w:position w:val="-4"/>
          <w:sz w:val="11"/>
        </w:rPr>
        <w:t></w:t>
      </w:r>
      <w:r>
        <w:rPr>
          <w:i/>
          <w:w w:val="121"/>
          <w:position w:val="-4"/>
          <w:sz w:val="11"/>
        </w:rPr>
        <w:t>i</w:t>
      </w:r>
      <w:r>
        <w:rPr>
          <w:i/>
          <w:position w:val="-4"/>
          <w:sz w:val="11"/>
        </w:rPr>
        <w:t> </w:t>
      </w:r>
      <w:r>
        <w:rPr>
          <w:i/>
          <w:spacing w:val="10"/>
          <w:position w:val="-4"/>
          <w:sz w:val="11"/>
        </w:rPr>
        <w:t> </w:t>
      </w:r>
      <w:r>
        <w:rPr>
          <w:rFonts w:ascii="Symbol" w:hAnsi="Symbol"/>
          <w:spacing w:val="6"/>
          <w:w w:val="115"/>
          <w:sz w:val="20"/>
        </w:rPr>
        <w:t></w:t>
      </w:r>
      <w:r>
        <w:rPr>
          <w:rFonts w:ascii="Symbol" w:hAnsi="Symbol"/>
          <w:spacing w:val="10"/>
          <w:w w:val="115"/>
          <w:position w:val="-4"/>
          <w:sz w:val="30"/>
        </w:rPr>
        <w:t></w:t>
      </w:r>
      <w:r>
        <w:rPr>
          <w:rFonts w:ascii="Symbol" w:hAnsi="Symbol"/>
          <w:spacing w:val="11"/>
          <w:w w:val="109"/>
          <w:sz w:val="21"/>
        </w:rPr>
        <w:t></w:t>
      </w:r>
      <w:r>
        <w:rPr>
          <w:spacing w:val="4"/>
          <w:w w:val="121"/>
          <w:position w:val="-4"/>
          <w:sz w:val="11"/>
        </w:rPr>
        <w:t>6</w:t>
      </w:r>
      <w:r>
        <w:rPr>
          <w:i/>
          <w:w w:val="121"/>
          <w:position w:val="-4"/>
          <w:sz w:val="11"/>
        </w:rPr>
        <w:t>i</w:t>
      </w:r>
      <w:r>
        <w:rPr>
          <w:i/>
          <w:spacing w:val="-13"/>
          <w:position w:val="-4"/>
          <w:sz w:val="11"/>
        </w:rPr>
        <w:t> </w:t>
      </w:r>
      <w:r>
        <w:rPr>
          <w:rFonts w:ascii="Symbol" w:hAnsi="Symbol"/>
          <w:spacing w:val="-3"/>
          <w:w w:val="115"/>
          <w:sz w:val="20"/>
        </w:rPr>
        <w:t></w:t>
      </w:r>
      <w:r>
        <w:rPr>
          <w:i/>
          <w:w w:val="115"/>
          <w:sz w:val="20"/>
        </w:rPr>
        <w:t>L</w:t>
      </w:r>
      <w:r>
        <w:rPr>
          <w:i/>
          <w:spacing w:val="-2"/>
          <w:w w:val="115"/>
          <w:sz w:val="20"/>
        </w:rPr>
        <w:t>n</w:t>
      </w:r>
      <w:r>
        <w:rPr>
          <w:i/>
          <w:spacing w:val="-4"/>
          <w:w w:val="115"/>
          <w:sz w:val="20"/>
        </w:rPr>
        <w:t>M</w:t>
      </w:r>
      <w:r>
        <w:rPr>
          <w:i/>
          <w:spacing w:val="2"/>
          <w:w w:val="115"/>
          <w:sz w:val="20"/>
        </w:rPr>
        <w:t>S</w:t>
      </w:r>
      <w:r>
        <w:rPr>
          <w:i/>
          <w:w w:val="121"/>
          <w:position w:val="-4"/>
          <w:sz w:val="11"/>
        </w:rPr>
        <w:t>t</w:t>
      </w:r>
      <w:r>
        <w:rPr>
          <w:i/>
          <w:spacing w:val="-14"/>
          <w:position w:val="-4"/>
          <w:sz w:val="11"/>
        </w:rPr>
        <w:t> </w:t>
      </w:r>
      <w:r>
        <w:rPr>
          <w:rFonts w:ascii="Symbol" w:hAnsi="Symbol"/>
          <w:spacing w:val="2"/>
          <w:w w:val="121"/>
          <w:position w:val="-4"/>
          <w:sz w:val="11"/>
        </w:rPr>
        <w:t></w:t>
      </w:r>
      <w:r>
        <w:rPr>
          <w:i/>
          <w:w w:val="121"/>
          <w:position w:val="-4"/>
          <w:sz w:val="11"/>
        </w:rPr>
        <w:t>i</w:t>
      </w:r>
      <w:r>
        <w:rPr>
          <w:i/>
          <w:position w:val="-4"/>
          <w:sz w:val="11"/>
        </w:rPr>
        <w:t> </w:t>
      </w:r>
      <w:r>
        <w:rPr>
          <w:i/>
          <w:spacing w:val="9"/>
          <w:position w:val="-4"/>
          <w:sz w:val="11"/>
        </w:rPr>
        <w:t> </w:t>
      </w:r>
      <w:r>
        <w:rPr>
          <w:rFonts w:ascii="Symbol" w:hAnsi="Symbol"/>
          <w:w w:val="115"/>
          <w:sz w:val="20"/>
        </w:rPr>
        <w:t></w:t>
      </w:r>
      <w:r>
        <w:rPr>
          <w:spacing w:val="-11"/>
          <w:sz w:val="20"/>
        </w:rPr>
        <w:t> </w:t>
      </w:r>
      <w:r>
        <w:rPr>
          <w:rFonts w:ascii="Symbol" w:hAnsi="Symbol"/>
          <w:spacing w:val="10"/>
          <w:w w:val="115"/>
          <w:position w:val="-4"/>
          <w:sz w:val="30"/>
        </w:rPr>
        <w:t></w:t>
      </w:r>
      <w:r>
        <w:rPr>
          <w:rFonts w:ascii="Symbol" w:hAnsi="Symbol"/>
          <w:spacing w:val="11"/>
          <w:w w:val="109"/>
          <w:sz w:val="21"/>
        </w:rPr>
        <w:t></w:t>
      </w:r>
      <w:r>
        <w:rPr>
          <w:spacing w:val="6"/>
          <w:w w:val="121"/>
          <w:position w:val="-4"/>
          <w:sz w:val="11"/>
        </w:rPr>
        <w:t>7</w:t>
      </w:r>
      <w:r>
        <w:rPr>
          <w:i/>
          <w:w w:val="121"/>
          <w:position w:val="-4"/>
          <w:sz w:val="11"/>
        </w:rPr>
        <w:t>i</w:t>
      </w:r>
      <w:r>
        <w:rPr>
          <w:i/>
          <w:spacing w:val="-14"/>
          <w:position w:val="-4"/>
          <w:sz w:val="11"/>
        </w:rPr>
        <w:t> </w:t>
      </w:r>
      <w:r>
        <w:rPr>
          <w:rFonts w:ascii="Symbol" w:hAnsi="Symbol"/>
          <w:spacing w:val="-3"/>
          <w:w w:val="115"/>
          <w:sz w:val="20"/>
        </w:rPr>
        <w:t></w:t>
      </w:r>
      <w:r>
        <w:rPr>
          <w:i/>
          <w:w w:val="115"/>
          <w:sz w:val="20"/>
        </w:rPr>
        <w:t>L</w:t>
      </w:r>
      <w:r>
        <w:rPr>
          <w:i/>
          <w:spacing w:val="-2"/>
          <w:w w:val="115"/>
          <w:sz w:val="20"/>
        </w:rPr>
        <w:t>n</w:t>
      </w:r>
      <w:r>
        <w:rPr>
          <w:i/>
          <w:spacing w:val="-2"/>
          <w:w w:val="115"/>
          <w:sz w:val="20"/>
        </w:rPr>
        <w:t>I</w:t>
      </w:r>
      <w:r>
        <w:rPr>
          <w:i/>
          <w:spacing w:val="-12"/>
          <w:w w:val="115"/>
          <w:sz w:val="20"/>
        </w:rPr>
        <w:t>R</w:t>
      </w:r>
      <w:r>
        <w:rPr>
          <w:i/>
          <w:w w:val="121"/>
          <w:position w:val="-4"/>
          <w:sz w:val="11"/>
        </w:rPr>
        <w:t>t</w:t>
      </w:r>
      <w:r>
        <w:rPr>
          <w:i/>
          <w:spacing w:val="-14"/>
          <w:position w:val="-4"/>
          <w:sz w:val="11"/>
        </w:rPr>
        <w:t> </w:t>
      </w:r>
      <w:r>
        <w:rPr>
          <w:rFonts w:ascii="Symbol" w:hAnsi="Symbol"/>
          <w:spacing w:val="2"/>
          <w:w w:val="121"/>
          <w:position w:val="-4"/>
          <w:sz w:val="11"/>
        </w:rPr>
        <w:t></w:t>
      </w:r>
      <w:r>
        <w:rPr>
          <w:i/>
          <w:w w:val="121"/>
          <w:position w:val="-4"/>
          <w:sz w:val="11"/>
        </w:rPr>
        <w:t>i</w:t>
      </w:r>
      <w:r>
        <w:rPr>
          <w:i/>
          <w:position w:val="-4"/>
          <w:sz w:val="11"/>
        </w:rPr>
        <w:t> </w:t>
      </w:r>
      <w:r>
        <w:rPr>
          <w:i/>
          <w:spacing w:val="9"/>
          <w:position w:val="-4"/>
          <w:sz w:val="11"/>
        </w:rPr>
        <w:t> </w:t>
      </w:r>
      <w:r>
        <w:rPr>
          <w:rFonts w:ascii="Symbol" w:hAnsi="Symbol"/>
          <w:w w:val="115"/>
          <w:sz w:val="20"/>
        </w:rPr>
        <w:t></w:t>
      </w:r>
      <w:r>
        <w:rPr>
          <w:spacing w:val="-27"/>
          <w:sz w:val="20"/>
        </w:rPr>
        <w:t> </w:t>
      </w:r>
      <w:r>
        <w:rPr>
          <w:rFonts w:ascii="Symbol" w:hAnsi="Symbol"/>
          <w:spacing w:val="8"/>
          <w:w w:val="109"/>
          <w:sz w:val="21"/>
        </w:rPr>
        <w:t></w:t>
      </w:r>
      <w:r>
        <w:rPr>
          <w:w w:val="121"/>
          <w:position w:val="-4"/>
          <w:sz w:val="11"/>
        </w:rPr>
        <w:t>8</w:t>
      </w:r>
      <w:r>
        <w:rPr>
          <w:spacing w:val="-14"/>
          <w:position w:val="-4"/>
          <w:sz w:val="11"/>
        </w:rPr>
        <w:t> </w:t>
      </w:r>
      <w:r>
        <w:rPr>
          <w:i/>
          <w:spacing w:val="-13"/>
          <w:w w:val="115"/>
          <w:sz w:val="20"/>
        </w:rPr>
        <w:t>D</w:t>
      </w:r>
      <w:r>
        <w:rPr>
          <w:i/>
          <w:w w:val="121"/>
          <w:position w:val="-4"/>
          <w:sz w:val="11"/>
        </w:rPr>
        <w:t>i</w:t>
      </w:r>
      <w:r>
        <w:rPr>
          <w:i/>
          <w:position w:val="-4"/>
          <w:sz w:val="11"/>
        </w:rPr>
        <w:t> </w:t>
      </w:r>
      <w:r>
        <w:rPr>
          <w:i/>
          <w:spacing w:val="9"/>
          <w:position w:val="-4"/>
          <w:sz w:val="11"/>
        </w:rPr>
        <w:t> </w:t>
      </w:r>
      <w:r>
        <w:rPr>
          <w:rFonts w:ascii="Symbol" w:hAnsi="Symbol"/>
          <w:w w:val="115"/>
          <w:sz w:val="20"/>
        </w:rPr>
        <w:t></w:t>
      </w:r>
    </w:p>
    <w:p>
      <w:pPr>
        <w:tabs>
          <w:tab w:pos="2694" w:val="left" w:leader="none"/>
          <w:tab w:pos="4313" w:val="left" w:leader="none"/>
        </w:tabs>
        <w:spacing w:before="6"/>
        <w:ind w:left="1005" w:right="0" w:firstLine="0"/>
        <w:jc w:val="left"/>
        <w:rPr>
          <w:sz w:val="11"/>
        </w:rPr>
      </w:pPr>
      <w:r>
        <w:rPr>
          <w:i/>
          <w:w w:val="120"/>
          <w:sz w:val="11"/>
        </w:rPr>
        <w:t>i</w:t>
      </w:r>
      <w:r>
        <w:rPr>
          <w:rFonts w:ascii="Symbol" w:hAnsi="Symbol"/>
          <w:w w:val="120"/>
          <w:sz w:val="11"/>
        </w:rPr>
        <w:t></w:t>
      </w:r>
      <w:r>
        <w:rPr>
          <w:w w:val="120"/>
          <w:sz w:val="11"/>
        </w:rPr>
        <w:t>0</w:t>
        <w:tab/>
      </w:r>
      <w:r>
        <w:rPr>
          <w:i/>
          <w:w w:val="120"/>
          <w:sz w:val="11"/>
        </w:rPr>
        <w:t>i</w:t>
      </w:r>
      <w:r>
        <w:rPr>
          <w:rFonts w:ascii="Symbol" w:hAnsi="Symbol"/>
          <w:w w:val="120"/>
          <w:sz w:val="11"/>
        </w:rPr>
        <w:t></w:t>
      </w:r>
      <w:r>
        <w:rPr>
          <w:w w:val="120"/>
          <w:sz w:val="11"/>
        </w:rPr>
        <w:t>0</w:t>
        <w:tab/>
      </w:r>
      <w:r>
        <w:rPr>
          <w:i/>
          <w:w w:val="120"/>
          <w:sz w:val="11"/>
        </w:rPr>
        <w:t>i</w:t>
      </w:r>
      <w:r>
        <w:rPr>
          <w:rFonts w:ascii="Symbol" w:hAnsi="Symbol"/>
          <w:w w:val="120"/>
          <w:sz w:val="11"/>
        </w:rPr>
        <w:t></w:t>
      </w:r>
      <w:r>
        <w:rPr>
          <w:w w:val="120"/>
          <w:sz w:val="11"/>
        </w:rPr>
        <w:t>0</w:t>
      </w:r>
    </w:p>
    <w:p>
      <w:pPr>
        <w:tabs>
          <w:tab w:pos="1935" w:val="left" w:leader="none"/>
          <w:tab w:pos="3325" w:val="left" w:leader="none"/>
          <w:tab w:pos="7090" w:val="left" w:leader="none"/>
        </w:tabs>
        <w:spacing w:line="146" w:lineRule="exact" w:before="47"/>
        <w:ind w:left="846" w:right="0" w:firstLine="0"/>
        <w:jc w:val="left"/>
        <w:rPr>
          <w:rFonts w:ascii="Symbol" w:hAnsi="Symbol"/>
          <w:sz w:val="21"/>
        </w:rPr>
      </w:pPr>
      <w:r>
        <w:rPr>
          <w:rFonts w:ascii="Symbol" w:hAnsi="Symbol"/>
          <w:w w:val="115"/>
          <w:sz w:val="20"/>
        </w:rPr>
        <w:t></w:t>
      </w:r>
      <w:r>
        <w:rPr>
          <w:rFonts w:ascii="Symbol" w:hAnsi="Symbol"/>
          <w:w w:val="115"/>
          <w:sz w:val="21"/>
        </w:rPr>
        <w:t></w:t>
      </w:r>
      <w:r>
        <w:rPr>
          <w:spacing w:val="-7"/>
          <w:w w:val="115"/>
          <w:sz w:val="21"/>
        </w:rPr>
        <w:t> </w:t>
      </w:r>
      <w:r>
        <w:rPr>
          <w:i/>
          <w:w w:val="115"/>
          <w:sz w:val="20"/>
        </w:rPr>
        <w:t>LnEX</w:t>
        <w:tab/>
      </w:r>
      <w:r>
        <w:rPr>
          <w:rFonts w:ascii="Symbol" w:hAnsi="Symbol"/>
          <w:spacing w:val="-2"/>
          <w:w w:val="115"/>
          <w:sz w:val="20"/>
        </w:rPr>
        <w:t></w:t>
      </w:r>
      <w:r>
        <w:rPr>
          <w:spacing w:val="-20"/>
          <w:w w:val="115"/>
          <w:sz w:val="20"/>
        </w:rPr>
        <w:t> </w:t>
      </w:r>
      <w:r>
        <w:rPr>
          <w:rFonts w:ascii="Symbol" w:hAnsi="Symbol"/>
          <w:spacing w:val="-2"/>
          <w:w w:val="115"/>
          <w:sz w:val="21"/>
        </w:rPr>
        <w:t></w:t>
      </w:r>
      <w:r>
        <w:rPr>
          <w:spacing w:val="20"/>
          <w:w w:val="115"/>
          <w:sz w:val="21"/>
        </w:rPr>
        <w:t> </w:t>
      </w:r>
      <w:r>
        <w:rPr>
          <w:i/>
          <w:spacing w:val="-2"/>
          <w:w w:val="115"/>
          <w:sz w:val="20"/>
        </w:rPr>
        <w:t>LnREER</w:t>
        <w:tab/>
      </w:r>
      <w:r>
        <w:rPr>
          <w:rFonts w:ascii="Symbol" w:hAnsi="Symbol"/>
          <w:w w:val="110"/>
          <w:sz w:val="20"/>
        </w:rPr>
        <w:t></w:t>
      </w:r>
      <w:r>
        <w:rPr>
          <w:spacing w:val="-13"/>
          <w:w w:val="110"/>
          <w:sz w:val="20"/>
        </w:rPr>
        <w:t> </w:t>
      </w:r>
      <w:r>
        <w:rPr>
          <w:rFonts w:ascii="Symbol" w:hAnsi="Symbol"/>
          <w:w w:val="110"/>
          <w:sz w:val="21"/>
        </w:rPr>
        <w:t></w:t>
      </w:r>
      <w:r>
        <w:rPr>
          <w:spacing w:val="22"/>
          <w:w w:val="110"/>
          <w:sz w:val="21"/>
        </w:rPr>
        <w:t> </w:t>
      </w:r>
      <w:r>
        <w:rPr>
          <w:i/>
          <w:w w:val="110"/>
          <w:sz w:val="20"/>
        </w:rPr>
        <w:t>LnGDP</w:t>
      </w:r>
      <w:r>
        <w:rPr>
          <w:i/>
          <w:w w:val="110"/>
          <w:sz w:val="20"/>
          <w:vertAlign w:val="superscript"/>
        </w:rPr>
        <w:t>d</w:t>
      </w:r>
      <w:r>
        <w:rPr>
          <w:i/>
          <w:spacing w:val="45"/>
          <w:w w:val="110"/>
          <w:sz w:val="20"/>
          <w:vertAlign w:val="baseline"/>
        </w:rPr>
        <w:t> </w:t>
      </w:r>
      <w:r>
        <w:rPr>
          <w:rFonts w:ascii="Symbol" w:hAnsi="Symbol"/>
          <w:w w:val="110"/>
          <w:sz w:val="20"/>
          <w:vertAlign w:val="baseline"/>
        </w:rPr>
        <w:t></w:t>
      </w:r>
      <w:r>
        <w:rPr>
          <w:spacing w:val="-12"/>
          <w:w w:val="110"/>
          <w:sz w:val="20"/>
          <w:vertAlign w:val="baseline"/>
        </w:rPr>
        <w:t> </w:t>
      </w:r>
      <w:r>
        <w:rPr>
          <w:rFonts w:ascii="Symbol" w:hAnsi="Symbol"/>
          <w:w w:val="110"/>
          <w:sz w:val="21"/>
          <w:vertAlign w:val="baseline"/>
        </w:rPr>
        <w:t></w:t>
      </w:r>
      <w:r>
        <w:rPr>
          <w:spacing w:val="31"/>
          <w:w w:val="110"/>
          <w:sz w:val="21"/>
          <w:vertAlign w:val="baseline"/>
        </w:rPr>
        <w:t> </w:t>
      </w:r>
      <w:r>
        <w:rPr>
          <w:i/>
          <w:w w:val="110"/>
          <w:sz w:val="20"/>
          <w:vertAlign w:val="baseline"/>
        </w:rPr>
        <w:t>LnGDP</w:t>
      </w:r>
      <w:r>
        <w:rPr>
          <w:i/>
          <w:spacing w:val="-14"/>
          <w:w w:val="110"/>
          <w:sz w:val="20"/>
          <w:vertAlign w:val="baseline"/>
        </w:rPr>
        <w:t> </w:t>
      </w:r>
      <w:r>
        <w:rPr>
          <w:i/>
          <w:w w:val="110"/>
          <w:sz w:val="20"/>
          <w:vertAlign w:val="superscript"/>
        </w:rPr>
        <w:t>f</w:t>
      </w:r>
      <w:r>
        <w:rPr>
          <w:i/>
          <w:w w:val="110"/>
          <w:sz w:val="20"/>
          <w:vertAlign w:val="baseline"/>
        </w:rPr>
        <w:t> </w:t>
      </w:r>
      <w:r>
        <w:rPr>
          <w:i/>
          <w:spacing w:val="25"/>
          <w:w w:val="110"/>
          <w:sz w:val="20"/>
          <w:vertAlign w:val="baseline"/>
        </w:rPr>
        <w:t> </w:t>
      </w:r>
      <w:r>
        <w:rPr>
          <w:rFonts w:ascii="Symbol" w:hAnsi="Symbol"/>
          <w:w w:val="110"/>
          <w:sz w:val="20"/>
          <w:vertAlign w:val="baseline"/>
        </w:rPr>
        <w:t></w:t>
      </w:r>
      <w:r>
        <w:rPr>
          <w:spacing w:val="-13"/>
          <w:w w:val="110"/>
          <w:sz w:val="20"/>
          <w:vertAlign w:val="baseline"/>
        </w:rPr>
        <w:t> </w:t>
      </w:r>
      <w:r>
        <w:rPr>
          <w:rFonts w:ascii="Symbol" w:hAnsi="Symbol"/>
          <w:w w:val="110"/>
          <w:sz w:val="21"/>
          <w:vertAlign w:val="baseline"/>
        </w:rPr>
        <w:t></w:t>
      </w:r>
      <w:r>
        <w:rPr>
          <w:spacing w:val="25"/>
          <w:w w:val="110"/>
          <w:sz w:val="21"/>
          <w:vertAlign w:val="baseline"/>
        </w:rPr>
        <w:t> </w:t>
      </w:r>
      <w:r>
        <w:rPr>
          <w:i/>
          <w:w w:val="110"/>
          <w:sz w:val="20"/>
          <w:vertAlign w:val="baseline"/>
        </w:rPr>
        <w:t>LnWPI</w:t>
        <w:tab/>
      </w:r>
      <w:r>
        <w:rPr>
          <w:rFonts w:ascii="Symbol" w:hAnsi="Symbol"/>
          <w:w w:val="110"/>
          <w:sz w:val="20"/>
          <w:vertAlign w:val="baseline"/>
        </w:rPr>
        <w:t></w:t>
      </w:r>
      <w:r>
        <w:rPr>
          <w:spacing w:val="-23"/>
          <w:w w:val="110"/>
          <w:sz w:val="20"/>
          <w:vertAlign w:val="baseline"/>
        </w:rPr>
        <w:t> </w:t>
      </w:r>
      <w:r>
        <w:rPr>
          <w:rFonts w:ascii="Symbol" w:hAnsi="Symbol"/>
          <w:w w:val="110"/>
          <w:sz w:val="21"/>
          <w:vertAlign w:val="baseline"/>
        </w:rPr>
        <w:t></w:t>
      </w:r>
    </w:p>
    <w:p>
      <w:pPr>
        <w:spacing w:after="0" w:line="146" w:lineRule="exact"/>
        <w:jc w:val="left"/>
        <w:rPr>
          <w:rFonts w:ascii="Symbol" w:hAnsi="Symbol"/>
          <w:sz w:val="21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1701" w:val="left" w:leader="none"/>
          <w:tab w:pos="2287" w:val="right" w:leader="none"/>
        </w:tabs>
        <w:spacing w:before="7"/>
        <w:ind w:left="1085" w:right="0" w:firstLine="0"/>
        <w:jc w:val="left"/>
        <w:rPr>
          <w:sz w:val="11"/>
        </w:rPr>
      </w:pPr>
      <w:r>
        <w:rPr>
          <w:w w:val="120"/>
          <w:sz w:val="11"/>
        </w:rPr>
        <w:t>1</w:t>
        <w:tab/>
      </w:r>
      <w:r>
        <w:rPr>
          <w:i/>
          <w:spacing w:val="-2"/>
          <w:w w:val="120"/>
          <w:sz w:val="11"/>
        </w:rPr>
        <w:t>t</w:t>
      </w:r>
      <w:r>
        <w:rPr>
          <w:i/>
          <w:spacing w:val="-20"/>
          <w:w w:val="120"/>
          <w:sz w:val="11"/>
        </w:rPr>
        <w:t> </w:t>
      </w:r>
      <w:r>
        <w:rPr>
          <w:rFonts w:ascii="Symbol" w:hAnsi="Symbol"/>
          <w:spacing w:val="-2"/>
          <w:w w:val="120"/>
          <w:sz w:val="11"/>
        </w:rPr>
        <w:t></w:t>
      </w:r>
      <w:r>
        <w:rPr>
          <w:spacing w:val="-2"/>
          <w:w w:val="120"/>
          <w:sz w:val="11"/>
        </w:rPr>
        <w:t>1</w:t>
        <w:tab/>
      </w:r>
      <w:r>
        <w:rPr>
          <w:spacing w:val="-1"/>
          <w:w w:val="120"/>
          <w:sz w:val="11"/>
        </w:rPr>
        <w:t>2</w:t>
      </w:r>
    </w:p>
    <w:p>
      <w:pPr>
        <w:tabs>
          <w:tab w:pos="1346" w:val="right" w:leader="none"/>
        </w:tabs>
        <w:spacing w:before="7"/>
        <w:ind w:left="764" w:right="0" w:firstLine="0"/>
        <w:jc w:val="left"/>
        <w:rPr>
          <w:sz w:val="11"/>
        </w:rPr>
      </w:pPr>
      <w:r>
        <w:rPr/>
        <w:br w:type="column"/>
      </w:r>
      <w:r>
        <w:rPr>
          <w:i/>
          <w:spacing w:val="-2"/>
          <w:w w:val="120"/>
          <w:sz w:val="11"/>
        </w:rPr>
        <w:t>t</w:t>
      </w:r>
      <w:r>
        <w:rPr>
          <w:i/>
          <w:spacing w:val="-20"/>
          <w:w w:val="120"/>
          <w:sz w:val="11"/>
        </w:rPr>
        <w:t> </w:t>
      </w:r>
      <w:r>
        <w:rPr>
          <w:rFonts w:ascii="Symbol" w:hAnsi="Symbol"/>
          <w:spacing w:val="-2"/>
          <w:w w:val="120"/>
          <w:sz w:val="11"/>
        </w:rPr>
        <w:t></w:t>
      </w:r>
      <w:r>
        <w:rPr>
          <w:spacing w:val="-2"/>
          <w:w w:val="120"/>
          <w:sz w:val="11"/>
        </w:rPr>
        <w:t>1</w:t>
        <w:tab/>
      </w:r>
      <w:r>
        <w:rPr>
          <w:spacing w:val="-1"/>
          <w:w w:val="120"/>
          <w:sz w:val="11"/>
        </w:rPr>
        <w:t>3</w:t>
      </w:r>
    </w:p>
    <w:p>
      <w:pPr>
        <w:tabs>
          <w:tab w:pos="1202" w:val="right" w:leader="none"/>
        </w:tabs>
        <w:spacing w:before="15"/>
        <w:ind w:left="655" w:right="0" w:firstLine="0"/>
        <w:jc w:val="left"/>
        <w:rPr>
          <w:sz w:val="11"/>
        </w:rPr>
      </w:pPr>
      <w:r>
        <w:rPr/>
        <w:br w:type="column"/>
      </w:r>
      <w:r>
        <w:rPr>
          <w:i/>
          <w:w w:val="120"/>
          <w:sz w:val="8"/>
        </w:rPr>
        <w:t>t</w:t>
      </w:r>
      <w:r>
        <w:rPr>
          <w:rFonts w:ascii="Symbol" w:hAnsi="Symbol"/>
          <w:w w:val="120"/>
          <w:sz w:val="8"/>
        </w:rPr>
        <w:t></w:t>
      </w:r>
      <w:r>
        <w:rPr>
          <w:w w:val="120"/>
          <w:sz w:val="8"/>
        </w:rPr>
        <w:t>1</w:t>
        <w:tab/>
      </w:r>
      <w:r>
        <w:rPr>
          <w:w w:val="120"/>
          <w:position w:val="3"/>
          <w:sz w:val="11"/>
        </w:rPr>
        <w:t>4</w:t>
      </w:r>
    </w:p>
    <w:p>
      <w:pPr>
        <w:tabs>
          <w:tab w:pos="1228" w:val="right" w:leader="none"/>
        </w:tabs>
        <w:spacing w:before="7"/>
        <w:ind w:left="647" w:right="0" w:firstLine="0"/>
        <w:jc w:val="left"/>
        <w:rPr>
          <w:sz w:val="11"/>
        </w:rPr>
      </w:pPr>
      <w:r>
        <w:rPr/>
        <w:br w:type="column"/>
      </w:r>
      <w:r>
        <w:rPr>
          <w:i/>
          <w:spacing w:val="-2"/>
          <w:w w:val="120"/>
          <w:sz w:val="11"/>
        </w:rPr>
        <w:t>t</w:t>
      </w:r>
      <w:r>
        <w:rPr>
          <w:i/>
          <w:spacing w:val="-20"/>
          <w:w w:val="120"/>
          <w:sz w:val="11"/>
        </w:rPr>
        <w:t> </w:t>
      </w:r>
      <w:r>
        <w:rPr>
          <w:rFonts w:ascii="Symbol" w:hAnsi="Symbol"/>
          <w:spacing w:val="-2"/>
          <w:w w:val="120"/>
          <w:sz w:val="11"/>
        </w:rPr>
        <w:t></w:t>
      </w:r>
      <w:r>
        <w:rPr>
          <w:spacing w:val="-2"/>
          <w:w w:val="120"/>
          <w:sz w:val="11"/>
        </w:rPr>
        <w:t>1</w:t>
        <w:tab/>
      </w:r>
      <w:r>
        <w:rPr>
          <w:spacing w:val="-1"/>
          <w:w w:val="120"/>
          <w:sz w:val="11"/>
        </w:rPr>
        <w:t>5</w:t>
      </w:r>
    </w:p>
    <w:p>
      <w:pPr>
        <w:tabs>
          <w:tab w:pos="1138" w:val="left" w:leader="none"/>
        </w:tabs>
        <w:spacing w:before="7"/>
        <w:ind w:left="632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spacing w:val="-3"/>
          <w:w w:val="120"/>
          <w:sz w:val="11"/>
        </w:rPr>
        <w:t>t</w:t>
      </w:r>
      <w:r>
        <w:rPr>
          <w:i/>
          <w:spacing w:val="-20"/>
          <w:w w:val="120"/>
          <w:sz w:val="11"/>
        </w:rPr>
        <w:t> </w:t>
      </w:r>
      <w:r>
        <w:rPr>
          <w:rFonts w:ascii="Symbol" w:hAnsi="Symbol"/>
          <w:spacing w:val="-3"/>
          <w:w w:val="120"/>
          <w:sz w:val="11"/>
        </w:rPr>
        <w:t></w:t>
      </w:r>
      <w:r>
        <w:rPr>
          <w:spacing w:val="-3"/>
          <w:w w:val="120"/>
          <w:sz w:val="11"/>
        </w:rPr>
        <w:t>1</w:t>
        <w:tab/>
      </w:r>
      <w:r>
        <w:rPr>
          <w:i/>
          <w:w w:val="120"/>
          <w:sz w:val="11"/>
        </w:rPr>
        <w:t>i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top="1500" w:bottom="1200" w:left="1320" w:right="440"/>
          <w:cols w:num="5" w:equalWidth="0">
            <w:col w:w="2288" w:space="40"/>
            <w:col w:w="1347" w:space="39"/>
            <w:col w:w="1203" w:space="40"/>
            <w:col w:w="1229" w:space="39"/>
            <w:col w:w="4255"/>
          </w:cols>
        </w:sectPr>
      </w:pPr>
    </w:p>
    <w:p>
      <w:pPr>
        <w:pStyle w:val="Heading2"/>
        <w:spacing w:before="271"/>
      </w:pPr>
      <w:r>
        <w:rPr/>
        <w:t>Imports</w:t>
      </w:r>
      <w:r>
        <w:rPr>
          <w:spacing w:val="-1"/>
        </w:rPr>
        <w:t> </w:t>
      </w:r>
      <w:r>
        <w:rPr/>
        <w:t>Equation</w:t>
      </w:r>
    </w:p>
    <w:p>
      <w:pPr>
        <w:tabs>
          <w:tab w:pos="4607" w:val="left" w:leader="none"/>
          <w:tab w:pos="6644" w:val="left" w:leader="none"/>
        </w:tabs>
        <w:spacing w:line="48" w:lineRule="exact" w:before="266"/>
        <w:ind w:left="2675" w:right="0" w:firstLine="0"/>
        <w:jc w:val="left"/>
        <w:rPr>
          <w:i/>
          <w:sz w:val="10"/>
        </w:rPr>
      </w:pPr>
      <w:r>
        <w:rPr>
          <w:i/>
          <w:w w:val="165"/>
          <w:sz w:val="10"/>
        </w:rPr>
        <w:t>k</w:t>
        <w:tab/>
        <w:t>k</w:t>
        <w:tab/>
        <w:t>k</w:t>
      </w:r>
    </w:p>
    <w:p>
      <w:pPr>
        <w:spacing w:after="0" w:line="48" w:lineRule="exact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line="114" w:lineRule="exact" w:before="53"/>
        <w:ind w:left="854" w:right="0" w:firstLine="0"/>
        <w:jc w:val="left"/>
        <w:rPr>
          <w:i/>
          <w:sz w:val="17"/>
        </w:rPr>
      </w:pPr>
      <w:r>
        <w:rPr>
          <w:rFonts w:ascii="Symbol" w:hAnsi="Symbol"/>
          <w:w w:val="165"/>
          <w:sz w:val="17"/>
        </w:rPr>
        <w:t></w:t>
      </w:r>
      <w:r>
        <w:rPr>
          <w:i/>
          <w:w w:val="165"/>
          <w:sz w:val="17"/>
        </w:rPr>
        <w:t>LnIM</w:t>
      </w:r>
    </w:p>
    <w:p>
      <w:pPr>
        <w:tabs>
          <w:tab w:pos="2605" w:val="left" w:leader="none"/>
          <w:tab w:pos="4846" w:val="left" w:leader="none"/>
        </w:tabs>
        <w:spacing w:line="165" w:lineRule="exact" w:before="2"/>
        <w:ind w:left="129" w:right="0" w:firstLine="0"/>
        <w:jc w:val="left"/>
        <w:rPr>
          <w:rFonts w:ascii="Symbol" w:hAnsi="Symbol"/>
          <w:sz w:val="17"/>
        </w:rPr>
      </w:pPr>
      <w:r>
        <w:rPr/>
        <w:br w:type="column"/>
      </w:r>
      <w:r>
        <w:rPr>
          <w:rFonts w:ascii="Symbol" w:hAnsi="Symbol"/>
          <w:w w:val="160"/>
          <w:sz w:val="17"/>
        </w:rPr>
        <w:t></w:t>
      </w:r>
      <w:r>
        <w:rPr>
          <w:spacing w:val="-1"/>
          <w:w w:val="160"/>
          <w:sz w:val="17"/>
        </w:rPr>
        <w:t> </w:t>
      </w:r>
      <w:r>
        <w:rPr>
          <w:rFonts w:ascii="Symbol" w:hAnsi="Symbol"/>
          <w:w w:val="160"/>
          <w:sz w:val="20"/>
        </w:rPr>
        <w:t></w:t>
      </w:r>
      <w:r>
        <w:rPr>
          <w:w w:val="160"/>
          <w:sz w:val="20"/>
        </w:rPr>
        <w:t> </w:t>
      </w:r>
      <w:r>
        <w:rPr>
          <w:spacing w:val="5"/>
          <w:w w:val="160"/>
          <w:sz w:val="20"/>
        </w:rPr>
        <w:t> </w:t>
      </w:r>
      <w:r>
        <w:rPr>
          <w:rFonts w:ascii="Symbol" w:hAnsi="Symbol"/>
          <w:w w:val="160"/>
          <w:sz w:val="17"/>
        </w:rPr>
        <w:t></w:t>
      </w:r>
      <w:r>
        <w:rPr>
          <w:spacing w:val="-20"/>
          <w:w w:val="160"/>
          <w:sz w:val="17"/>
        </w:rPr>
        <w:t> </w:t>
      </w:r>
      <w:r>
        <w:rPr>
          <w:rFonts w:ascii="Symbol" w:hAnsi="Symbol"/>
          <w:w w:val="160"/>
          <w:position w:val="-3"/>
          <w:sz w:val="26"/>
        </w:rPr>
        <w:t></w:t>
      </w:r>
      <w:r>
        <w:rPr>
          <w:spacing w:val="-66"/>
          <w:w w:val="160"/>
          <w:position w:val="-3"/>
          <w:sz w:val="26"/>
        </w:rPr>
        <w:t> </w:t>
      </w:r>
      <w:r>
        <w:rPr>
          <w:rFonts w:ascii="Symbol" w:hAnsi="Symbol"/>
          <w:w w:val="160"/>
          <w:sz w:val="20"/>
        </w:rPr>
        <w:t></w:t>
      </w:r>
      <w:r>
        <w:rPr>
          <w:spacing w:val="54"/>
          <w:w w:val="160"/>
          <w:sz w:val="20"/>
        </w:rPr>
        <w:t> </w:t>
      </w:r>
      <w:r>
        <w:rPr>
          <w:rFonts w:ascii="Symbol" w:hAnsi="Symbol"/>
          <w:w w:val="160"/>
          <w:sz w:val="17"/>
        </w:rPr>
        <w:t></w:t>
      </w:r>
      <w:r>
        <w:rPr>
          <w:i/>
          <w:w w:val="160"/>
          <w:sz w:val="17"/>
        </w:rPr>
        <w:t>LnIM</w:t>
        <w:tab/>
      </w:r>
      <w:r>
        <w:rPr>
          <w:rFonts w:ascii="Symbol" w:hAnsi="Symbol"/>
          <w:w w:val="160"/>
          <w:sz w:val="17"/>
        </w:rPr>
        <w:t></w:t>
      </w:r>
      <w:r>
        <w:rPr>
          <w:spacing w:val="-17"/>
          <w:w w:val="160"/>
          <w:sz w:val="17"/>
        </w:rPr>
        <w:t> </w:t>
      </w:r>
      <w:r>
        <w:rPr>
          <w:rFonts w:ascii="Symbol" w:hAnsi="Symbol"/>
          <w:w w:val="160"/>
          <w:position w:val="-3"/>
          <w:sz w:val="26"/>
        </w:rPr>
        <w:t></w:t>
      </w:r>
      <w:r>
        <w:rPr>
          <w:spacing w:val="-64"/>
          <w:w w:val="160"/>
          <w:position w:val="-3"/>
          <w:sz w:val="26"/>
        </w:rPr>
        <w:t> </w:t>
      </w:r>
      <w:r>
        <w:rPr>
          <w:rFonts w:ascii="Symbol" w:hAnsi="Symbol"/>
          <w:w w:val="160"/>
          <w:sz w:val="20"/>
        </w:rPr>
        <w:t></w:t>
      </w:r>
      <w:r>
        <w:rPr>
          <w:w w:val="160"/>
          <w:sz w:val="20"/>
        </w:rPr>
        <w:t> </w:t>
      </w:r>
      <w:r>
        <w:rPr>
          <w:spacing w:val="12"/>
          <w:w w:val="160"/>
          <w:sz w:val="20"/>
        </w:rPr>
        <w:t> </w:t>
      </w:r>
      <w:r>
        <w:rPr>
          <w:rFonts w:ascii="Symbol" w:hAnsi="Symbol"/>
          <w:w w:val="160"/>
          <w:sz w:val="17"/>
        </w:rPr>
        <w:t></w:t>
      </w:r>
      <w:r>
        <w:rPr>
          <w:i/>
          <w:w w:val="160"/>
          <w:sz w:val="17"/>
        </w:rPr>
        <w:t>LnREER</w:t>
        <w:tab/>
      </w:r>
      <w:r>
        <w:rPr>
          <w:rFonts w:ascii="Symbol" w:hAnsi="Symbol"/>
          <w:w w:val="160"/>
          <w:position w:val="-3"/>
          <w:sz w:val="26"/>
        </w:rPr>
        <w:t></w:t>
      </w:r>
      <w:r>
        <w:rPr>
          <w:spacing w:val="-62"/>
          <w:w w:val="160"/>
          <w:position w:val="-3"/>
          <w:sz w:val="26"/>
        </w:rPr>
        <w:t> </w:t>
      </w:r>
      <w:r>
        <w:rPr>
          <w:rFonts w:ascii="Symbol" w:hAnsi="Symbol"/>
          <w:w w:val="160"/>
          <w:sz w:val="20"/>
        </w:rPr>
        <w:t></w:t>
      </w:r>
      <w:r>
        <w:rPr>
          <w:w w:val="160"/>
          <w:sz w:val="20"/>
        </w:rPr>
        <w:t> </w:t>
      </w:r>
      <w:r>
        <w:rPr>
          <w:spacing w:val="7"/>
          <w:w w:val="160"/>
          <w:sz w:val="20"/>
        </w:rPr>
        <w:t> </w:t>
      </w:r>
      <w:r>
        <w:rPr>
          <w:rFonts w:ascii="Symbol" w:hAnsi="Symbol"/>
          <w:w w:val="160"/>
          <w:sz w:val="17"/>
        </w:rPr>
        <w:t></w:t>
      </w:r>
      <w:r>
        <w:rPr>
          <w:i/>
          <w:w w:val="160"/>
          <w:sz w:val="17"/>
        </w:rPr>
        <w:t>LnGDP</w:t>
      </w:r>
      <w:r>
        <w:rPr>
          <w:i/>
          <w:w w:val="160"/>
          <w:sz w:val="17"/>
          <w:vertAlign w:val="superscript"/>
        </w:rPr>
        <w:t>d</w:t>
      </w:r>
      <w:r>
        <w:rPr>
          <w:i/>
          <w:spacing w:val="47"/>
          <w:w w:val="160"/>
          <w:sz w:val="17"/>
          <w:vertAlign w:val="baseline"/>
        </w:rPr>
        <w:t> </w:t>
      </w:r>
      <w:r>
        <w:rPr>
          <w:rFonts w:ascii="Symbol" w:hAnsi="Symbol"/>
          <w:w w:val="160"/>
          <w:sz w:val="17"/>
          <w:vertAlign w:val="baseline"/>
        </w:rPr>
        <w:t></w:t>
      </w:r>
    </w:p>
    <w:p>
      <w:pPr>
        <w:spacing w:after="0" w:line="165" w:lineRule="exact"/>
        <w:jc w:val="left"/>
        <w:rPr>
          <w:rFonts w:ascii="Symbol" w:hAnsi="Symbol"/>
          <w:sz w:val="17"/>
        </w:rPr>
        <w:sectPr>
          <w:type w:val="continuous"/>
          <w:pgSz w:w="12240" w:h="15840"/>
          <w:pgMar w:top="1500" w:bottom="1200" w:left="1320" w:right="440"/>
          <w:cols w:num="2" w:equalWidth="0">
            <w:col w:w="1651" w:space="40"/>
            <w:col w:w="8789"/>
          </w:cols>
        </w:sectPr>
      </w:pPr>
    </w:p>
    <w:p>
      <w:pPr>
        <w:tabs>
          <w:tab w:pos="2208" w:val="left" w:leader="none"/>
          <w:tab w:pos="3058" w:val="left" w:leader="none"/>
          <w:tab w:pos="4015" w:val="left" w:leader="none"/>
        </w:tabs>
        <w:spacing w:before="1"/>
        <w:ind w:left="2612" w:right="0" w:hanging="940"/>
        <w:jc w:val="left"/>
        <w:rPr>
          <w:sz w:val="10"/>
        </w:rPr>
      </w:pPr>
      <w:r>
        <w:rPr>
          <w:i/>
          <w:w w:val="165"/>
          <w:sz w:val="10"/>
        </w:rPr>
        <w:t>t</w:t>
        <w:tab/>
      </w:r>
      <w:r>
        <w:rPr>
          <w:w w:val="165"/>
          <w:sz w:val="10"/>
        </w:rPr>
        <w:t>0</w:t>
        <w:tab/>
        <w:tab/>
        <w:t>1</w:t>
      </w:r>
      <w:r>
        <w:rPr>
          <w:i/>
          <w:w w:val="165"/>
          <w:sz w:val="10"/>
        </w:rPr>
        <w:t>i</w:t>
        <w:tab/>
      </w:r>
      <w:r>
        <w:rPr>
          <w:i/>
          <w:spacing w:val="-4"/>
          <w:w w:val="160"/>
          <w:sz w:val="10"/>
        </w:rPr>
        <w:t>t </w:t>
      </w:r>
      <w:r>
        <w:rPr>
          <w:rFonts w:ascii="Symbol" w:hAnsi="Symbol"/>
          <w:spacing w:val="-4"/>
          <w:w w:val="160"/>
          <w:sz w:val="10"/>
        </w:rPr>
        <w:t></w:t>
      </w:r>
      <w:r>
        <w:rPr>
          <w:i/>
          <w:spacing w:val="-4"/>
          <w:w w:val="160"/>
          <w:sz w:val="10"/>
        </w:rPr>
        <w:t>i</w:t>
      </w:r>
      <w:r>
        <w:rPr>
          <w:i/>
          <w:spacing w:val="-38"/>
          <w:w w:val="160"/>
          <w:sz w:val="10"/>
        </w:rPr>
        <w:t> </w:t>
      </w:r>
      <w:r>
        <w:rPr>
          <w:i/>
          <w:w w:val="165"/>
          <w:sz w:val="10"/>
        </w:rPr>
        <w:t>i</w:t>
      </w:r>
      <w:r>
        <w:rPr>
          <w:i/>
          <w:spacing w:val="-30"/>
          <w:w w:val="165"/>
          <w:sz w:val="10"/>
        </w:rPr>
        <w:t> </w:t>
      </w:r>
      <w:r>
        <w:rPr>
          <w:rFonts w:ascii="Symbol" w:hAnsi="Symbol"/>
          <w:w w:val="165"/>
          <w:sz w:val="10"/>
        </w:rPr>
        <w:t></w:t>
      </w:r>
      <w:r>
        <w:rPr>
          <w:w w:val="165"/>
          <w:sz w:val="10"/>
        </w:rPr>
        <w:t>1</w:t>
      </w:r>
    </w:p>
    <w:p>
      <w:pPr>
        <w:spacing w:before="122"/>
        <w:ind w:left="274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3"/>
          <w:w w:val="160"/>
          <w:sz w:val="10"/>
        </w:rPr>
        <w:t>i</w:t>
      </w:r>
      <w:r>
        <w:rPr>
          <w:i/>
          <w:spacing w:val="-28"/>
          <w:w w:val="160"/>
          <w:sz w:val="10"/>
        </w:rPr>
        <w:t> </w:t>
      </w:r>
      <w:r>
        <w:rPr>
          <w:rFonts w:ascii="Symbol" w:hAnsi="Symbol"/>
          <w:spacing w:val="-3"/>
          <w:w w:val="160"/>
          <w:sz w:val="10"/>
        </w:rPr>
        <w:t></w:t>
      </w:r>
      <w:r>
        <w:rPr>
          <w:spacing w:val="-3"/>
          <w:w w:val="160"/>
          <w:sz w:val="10"/>
        </w:rPr>
        <w:t>0</w:t>
      </w:r>
    </w:p>
    <w:p>
      <w:pPr>
        <w:tabs>
          <w:tab w:pos="1490" w:val="left" w:leader="none"/>
        </w:tabs>
        <w:spacing w:before="1"/>
        <w:ind w:left="201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65"/>
          <w:sz w:val="10"/>
        </w:rPr>
        <w:t>2</w:t>
      </w:r>
      <w:r>
        <w:rPr>
          <w:i/>
          <w:w w:val="165"/>
          <w:sz w:val="10"/>
        </w:rPr>
        <w:t>i</w:t>
        <w:tab/>
      </w:r>
      <w:r>
        <w:rPr>
          <w:i/>
          <w:spacing w:val="-4"/>
          <w:w w:val="160"/>
          <w:sz w:val="10"/>
        </w:rPr>
        <w:t>t</w:t>
      </w:r>
      <w:r>
        <w:rPr>
          <w:i/>
          <w:spacing w:val="-23"/>
          <w:w w:val="160"/>
          <w:sz w:val="10"/>
        </w:rPr>
        <w:t> </w:t>
      </w:r>
      <w:r>
        <w:rPr>
          <w:rFonts w:ascii="Symbol" w:hAnsi="Symbol"/>
          <w:spacing w:val="-4"/>
          <w:w w:val="160"/>
          <w:sz w:val="10"/>
        </w:rPr>
        <w:t></w:t>
      </w:r>
      <w:r>
        <w:rPr>
          <w:i/>
          <w:spacing w:val="-4"/>
          <w:w w:val="160"/>
          <w:sz w:val="10"/>
        </w:rPr>
        <w:t>i</w:t>
      </w:r>
    </w:p>
    <w:p>
      <w:pPr>
        <w:spacing w:line="114" w:lineRule="exact" w:before="8"/>
        <w:ind w:left="501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65"/>
          <w:sz w:val="10"/>
        </w:rPr>
        <w:t>3</w:t>
      </w:r>
      <w:r>
        <w:rPr>
          <w:i/>
          <w:w w:val="165"/>
          <w:sz w:val="10"/>
        </w:rPr>
        <w:t>i</w:t>
      </w:r>
    </w:p>
    <w:p>
      <w:pPr>
        <w:spacing w:line="122" w:lineRule="exact" w:before="0"/>
        <w:ind w:left="29" w:right="0" w:firstLine="0"/>
        <w:jc w:val="left"/>
        <w:rPr>
          <w:sz w:val="10"/>
        </w:rPr>
      </w:pPr>
      <w:r>
        <w:rPr>
          <w:i/>
          <w:w w:val="160"/>
          <w:sz w:val="10"/>
        </w:rPr>
        <w:t>i</w:t>
      </w:r>
      <w:r>
        <w:rPr>
          <w:i/>
          <w:spacing w:val="-26"/>
          <w:w w:val="160"/>
          <w:sz w:val="10"/>
        </w:rPr>
        <w:t> </w:t>
      </w:r>
      <w:r>
        <w:rPr>
          <w:rFonts w:ascii="Symbol" w:hAnsi="Symbol"/>
          <w:w w:val="160"/>
          <w:sz w:val="10"/>
        </w:rPr>
        <w:t></w:t>
      </w:r>
      <w:r>
        <w:rPr>
          <w:w w:val="160"/>
          <w:sz w:val="10"/>
        </w:rPr>
        <w:t>0</w:t>
      </w:r>
    </w:p>
    <w:p>
      <w:pPr>
        <w:spacing w:before="57"/>
        <w:ind w:left="986" w:right="0" w:firstLine="0"/>
        <w:jc w:val="left"/>
        <w:rPr>
          <w:i/>
          <w:sz w:val="7"/>
        </w:rPr>
      </w:pPr>
      <w:r>
        <w:rPr/>
        <w:br w:type="column"/>
      </w:r>
      <w:r>
        <w:rPr>
          <w:i/>
          <w:spacing w:val="-1"/>
          <w:w w:val="170"/>
          <w:sz w:val="7"/>
        </w:rPr>
        <w:t>t</w:t>
      </w:r>
      <w:r>
        <w:rPr>
          <w:i/>
          <w:spacing w:val="-20"/>
          <w:w w:val="170"/>
          <w:sz w:val="7"/>
        </w:rPr>
        <w:t> </w:t>
      </w:r>
      <w:r>
        <w:rPr>
          <w:rFonts w:ascii="Symbol" w:hAnsi="Symbol"/>
          <w:spacing w:val="-1"/>
          <w:w w:val="170"/>
          <w:sz w:val="7"/>
        </w:rPr>
        <w:t></w:t>
      </w:r>
      <w:r>
        <w:rPr>
          <w:i/>
          <w:spacing w:val="-1"/>
          <w:w w:val="170"/>
          <w:sz w:val="7"/>
        </w:rPr>
        <w:t>i</w:t>
      </w:r>
      <w:r>
        <w:rPr>
          <w:i/>
          <w:spacing w:val="-1"/>
          <w:sz w:val="7"/>
        </w:rPr>
        <w:t>   </w:t>
      </w:r>
      <w:r>
        <w:rPr>
          <w:i/>
          <w:spacing w:val="2"/>
          <w:sz w:val="7"/>
        </w:rPr>
        <w:t> </w:t>
      </w:r>
    </w:p>
    <w:p>
      <w:pPr>
        <w:spacing w:after="0"/>
        <w:jc w:val="left"/>
        <w:rPr>
          <w:sz w:val="7"/>
        </w:rPr>
        <w:sectPr>
          <w:type w:val="continuous"/>
          <w:pgSz w:w="12240" w:h="15840"/>
          <w:pgMar w:top="1500" w:bottom="1200" w:left="1320" w:right="440"/>
          <w:cols w:num="5" w:equalWidth="0">
            <w:col w:w="4218" w:space="40"/>
            <w:col w:w="510" w:space="39"/>
            <w:col w:w="1693" w:space="39"/>
            <w:col w:w="630" w:space="39"/>
            <w:col w:w="3272"/>
          </w:cols>
        </w:sectPr>
      </w:pPr>
    </w:p>
    <w:p>
      <w:pPr>
        <w:tabs>
          <w:tab w:pos="3224" w:val="left" w:leader="none"/>
          <w:tab w:pos="5298" w:val="left" w:leader="none"/>
          <w:tab w:pos="7284" w:val="left" w:leader="none"/>
        </w:tabs>
        <w:spacing w:line="48" w:lineRule="exact" w:before="49"/>
        <w:ind w:left="1126" w:right="0" w:firstLine="0"/>
        <w:jc w:val="left"/>
        <w:rPr>
          <w:i/>
          <w:sz w:val="10"/>
        </w:rPr>
      </w:pPr>
      <w:r>
        <w:rPr>
          <w:i/>
          <w:w w:val="165"/>
          <w:sz w:val="10"/>
        </w:rPr>
        <w:t>k</w:t>
        <w:tab/>
        <w:t>k</w:t>
        <w:tab/>
        <w:t>k</w:t>
        <w:tab/>
        <w:t>k</w:t>
      </w:r>
    </w:p>
    <w:p>
      <w:pPr>
        <w:spacing w:after="0" w:line="48" w:lineRule="exact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line="303" w:lineRule="exact" w:before="2"/>
        <w:ind w:left="854" w:right="0" w:firstLine="0"/>
        <w:jc w:val="center"/>
        <w:rPr>
          <w:rFonts w:ascii="Symbol" w:hAnsi="Symbol"/>
          <w:sz w:val="20"/>
        </w:rPr>
      </w:pPr>
      <w:r>
        <w:rPr>
          <w:rFonts w:ascii="Symbol" w:hAnsi="Symbol"/>
          <w:w w:val="155"/>
          <w:sz w:val="17"/>
        </w:rPr>
        <w:t></w:t>
      </w:r>
      <w:r>
        <w:rPr>
          <w:rFonts w:ascii="Symbol" w:hAnsi="Symbol"/>
          <w:w w:val="155"/>
          <w:position w:val="-3"/>
          <w:sz w:val="26"/>
        </w:rPr>
        <w:t></w:t>
      </w:r>
      <w:r>
        <w:rPr>
          <w:spacing w:val="-62"/>
          <w:w w:val="155"/>
          <w:position w:val="-3"/>
          <w:sz w:val="26"/>
        </w:rPr>
        <w:t> </w:t>
      </w:r>
      <w:r>
        <w:rPr>
          <w:rFonts w:ascii="Symbol" w:hAnsi="Symbol"/>
          <w:w w:val="155"/>
          <w:sz w:val="20"/>
        </w:rPr>
        <w:t></w:t>
      </w:r>
    </w:p>
    <w:p>
      <w:pPr>
        <w:spacing w:line="107" w:lineRule="exact" w:before="0"/>
        <w:ind w:left="818" w:right="0" w:firstLine="0"/>
        <w:jc w:val="center"/>
        <w:rPr>
          <w:sz w:val="10"/>
        </w:rPr>
      </w:pPr>
      <w:r>
        <w:rPr>
          <w:i/>
          <w:w w:val="160"/>
          <w:sz w:val="10"/>
        </w:rPr>
        <w:t>i</w:t>
      </w:r>
      <w:r>
        <w:rPr>
          <w:i/>
          <w:spacing w:val="-26"/>
          <w:w w:val="160"/>
          <w:sz w:val="10"/>
        </w:rPr>
        <w:t> </w:t>
      </w:r>
      <w:r>
        <w:rPr>
          <w:rFonts w:ascii="Symbol" w:hAnsi="Symbol"/>
          <w:w w:val="160"/>
          <w:sz w:val="10"/>
        </w:rPr>
        <w:t></w:t>
      </w:r>
      <w:r>
        <w:rPr>
          <w:w w:val="160"/>
          <w:sz w:val="10"/>
        </w:rPr>
        <w:t>0</w:t>
      </w:r>
    </w:p>
    <w:p>
      <w:pPr>
        <w:spacing w:before="53"/>
        <w:ind w:left="123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pacing w:val="-4"/>
          <w:w w:val="165"/>
          <w:sz w:val="17"/>
        </w:rPr>
        <w:t></w:t>
      </w:r>
      <w:r>
        <w:rPr>
          <w:i/>
          <w:spacing w:val="-4"/>
          <w:w w:val="165"/>
          <w:sz w:val="17"/>
        </w:rPr>
        <w:t>LnGDP</w:t>
      </w:r>
      <w:r>
        <w:rPr>
          <w:i/>
          <w:spacing w:val="-26"/>
          <w:w w:val="165"/>
          <w:sz w:val="17"/>
        </w:rPr>
        <w:t> </w:t>
      </w:r>
      <w:r>
        <w:rPr>
          <w:i/>
          <w:spacing w:val="-3"/>
          <w:w w:val="165"/>
          <w:sz w:val="17"/>
          <w:vertAlign w:val="superscript"/>
        </w:rPr>
        <w:t>f</w:t>
      </w:r>
    </w:p>
    <w:p>
      <w:pPr>
        <w:spacing w:line="303" w:lineRule="exact" w:before="2"/>
        <w:ind w:left="101" w:right="0" w:firstLine="0"/>
        <w:jc w:val="center"/>
        <w:rPr>
          <w:rFonts w:ascii="Symbol" w:hAnsi="Symbol"/>
          <w:sz w:val="20"/>
        </w:rPr>
      </w:pPr>
      <w:r>
        <w:rPr/>
        <w:br w:type="column"/>
      </w:r>
      <w:r>
        <w:rPr>
          <w:rFonts w:ascii="Symbol" w:hAnsi="Symbol"/>
          <w:w w:val="155"/>
          <w:sz w:val="17"/>
        </w:rPr>
        <w:t></w:t>
      </w:r>
      <w:r>
        <w:rPr>
          <w:rFonts w:ascii="Symbol" w:hAnsi="Symbol"/>
          <w:w w:val="155"/>
          <w:position w:val="-3"/>
          <w:sz w:val="26"/>
        </w:rPr>
        <w:t></w:t>
      </w:r>
      <w:r>
        <w:rPr>
          <w:spacing w:val="-62"/>
          <w:w w:val="155"/>
          <w:position w:val="-3"/>
          <w:sz w:val="26"/>
        </w:rPr>
        <w:t> </w:t>
      </w:r>
      <w:r>
        <w:rPr>
          <w:rFonts w:ascii="Symbol" w:hAnsi="Symbol"/>
          <w:w w:val="155"/>
          <w:sz w:val="20"/>
        </w:rPr>
        <w:t></w:t>
      </w:r>
    </w:p>
    <w:p>
      <w:pPr>
        <w:spacing w:line="107" w:lineRule="exact" w:before="0"/>
        <w:ind w:left="280" w:right="215" w:firstLine="0"/>
        <w:jc w:val="center"/>
        <w:rPr>
          <w:sz w:val="10"/>
        </w:rPr>
      </w:pPr>
      <w:r>
        <w:rPr/>
        <w:pict>
          <v:shape style="position:absolute;margin-left:142.340378pt;margin-top:-6.898494pt;width:67.350pt;height:6.2pt;mso-position-horizontal-relative:page;mso-position-vertical-relative:paragraph;z-index:-25299968" type="#_x0000_t202" filled="false" stroked="false">
            <v:textbox inset="0,0,0,0">
              <w:txbxContent>
                <w:p>
                  <w:pPr>
                    <w:tabs>
                      <w:tab w:pos="1144" w:val="left" w:leader="none"/>
                    </w:tabs>
                    <w:spacing w:before="1"/>
                    <w:ind w:left="0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w w:val="165"/>
                      <w:sz w:val="10"/>
                    </w:rPr>
                    <w:t>4</w:t>
                  </w:r>
                  <w:r>
                    <w:rPr>
                      <w:i/>
                      <w:w w:val="165"/>
                      <w:sz w:val="10"/>
                    </w:rPr>
                    <w:t>i</w:t>
                    <w:tab/>
                  </w:r>
                  <w:r>
                    <w:rPr>
                      <w:i/>
                      <w:spacing w:val="-4"/>
                      <w:w w:val="160"/>
                      <w:sz w:val="10"/>
                    </w:rPr>
                    <w:t>t</w:t>
                  </w:r>
                  <w:r>
                    <w:rPr>
                      <w:i/>
                      <w:spacing w:val="-23"/>
                      <w:w w:val="160"/>
                      <w:sz w:val="10"/>
                    </w:rPr>
                    <w:t> </w:t>
                  </w:r>
                  <w:r>
                    <w:rPr>
                      <w:rFonts w:ascii="Symbol" w:hAnsi="Symbol"/>
                      <w:spacing w:val="-4"/>
                      <w:w w:val="160"/>
                      <w:sz w:val="10"/>
                    </w:rPr>
                    <w:t></w:t>
                  </w:r>
                  <w:r>
                    <w:rPr>
                      <w:i/>
                      <w:spacing w:val="-4"/>
                      <w:w w:val="160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w w:val="160"/>
          <w:sz w:val="10"/>
        </w:rPr>
        <w:t>i</w:t>
      </w:r>
      <w:r>
        <w:rPr>
          <w:i/>
          <w:spacing w:val="-26"/>
          <w:w w:val="160"/>
          <w:sz w:val="10"/>
        </w:rPr>
        <w:t> </w:t>
      </w:r>
      <w:r>
        <w:rPr>
          <w:rFonts w:ascii="Symbol" w:hAnsi="Symbol"/>
          <w:w w:val="160"/>
          <w:sz w:val="10"/>
        </w:rPr>
        <w:t></w:t>
      </w:r>
      <w:r>
        <w:rPr>
          <w:w w:val="160"/>
          <w:sz w:val="10"/>
        </w:rPr>
        <w:t>0</w:t>
      </w:r>
    </w:p>
    <w:p>
      <w:pPr>
        <w:spacing w:before="53"/>
        <w:ind w:left="-34" w:right="0" w:firstLine="0"/>
        <w:jc w:val="left"/>
        <w:rPr>
          <w:i/>
          <w:sz w:val="10"/>
        </w:rPr>
      </w:pPr>
      <w:r>
        <w:rPr/>
        <w:br w:type="column"/>
      </w:r>
      <w:r>
        <w:rPr>
          <w:spacing w:val="-2"/>
          <w:w w:val="165"/>
          <w:sz w:val="17"/>
          <w:vertAlign w:val="subscript"/>
        </w:rPr>
        <w:t>5</w:t>
      </w:r>
      <w:r>
        <w:rPr>
          <w:i/>
          <w:spacing w:val="-2"/>
          <w:w w:val="165"/>
          <w:sz w:val="17"/>
          <w:vertAlign w:val="subscript"/>
        </w:rPr>
        <w:t>i</w:t>
      </w:r>
      <w:r>
        <w:rPr>
          <w:i/>
          <w:spacing w:val="-52"/>
          <w:w w:val="165"/>
          <w:sz w:val="17"/>
          <w:vertAlign w:val="baseline"/>
        </w:rPr>
        <w:t> </w:t>
      </w:r>
      <w:r>
        <w:rPr>
          <w:rFonts w:ascii="Symbol" w:hAnsi="Symbol"/>
          <w:spacing w:val="-2"/>
          <w:w w:val="165"/>
          <w:sz w:val="17"/>
          <w:vertAlign w:val="baseline"/>
        </w:rPr>
        <w:t></w:t>
      </w:r>
      <w:r>
        <w:rPr>
          <w:i/>
          <w:spacing w:val="-2"/>
          <w:w w:val="165"/>
          <w:sz w:val="17"/>
          <w:vertAlign w:val="baseline"/>
        </w:rPr>
        <w:t>LnWPI</w:t>
      </w:r>
      <w:r>
        <w:rPr>
          <w:i/>
          <w:spacing w:val="-2"/>
          <w:w w:val="165"/>
          <w:position w:val="-4"/>
          <w:sz w:val="10"/>
          <w:vertAlign w:val="baseline"/>
        </w:rPr>
        <w:t>t</w:t>
      </w:r>
      <w:r>
        <w:rPr>
          <w:i/>
          <w:spacing w:val="-23"/>
          <w:w w:val="165"/>
          <w:position w:val="-4"/>
          <w:sz w:val="10"/>
          <w:vertAlign w:val="baseline"/>
        </w:rPr>
        <w:t> </w:t>
      </w:r>
      <w:r>
        <w:rPr>
          <w:rFonts w:ascii="Symbol" w:hAnsi="Symbol"/>
          <w:spacing w:val="-1"/>
          <w:w w:val="165"/>
          <w:position w:val="-4"/>
          <w:sz w:val="10"/>
          <w:vertAlign w:val="baseline"/>
        </w:rPr>
        <w:t></w:t>
      </w:r>
      <w:r>
        <w:rPr>
          <w:i/>
          <w:spacing w:val="-1"/>
          <w:w w:val="165"/>
          <w:position w:val="-4"/>
          <w:sz w:val="10"/>
          <w:vertAlign w:val="baseline"/>
        </w:rPr>
        <w:t>i</w:t>
      </w:r>
    </w:p>
    <w:p>
      <w:pPr>
        <w:spacing w:line="303" w:lineRule="exact" w:before="2"/>
        <w:ind w:left="39" w:right="0" w:firstLine="0"/>
        <w:jc w:val="center"/>
        <w:rPr>
          <w:rFonts w:ascii="Symbol" w:hAnsi="Symbol"/>
          <w:sz w:val="20"/>
        </w:rPr>
      </w:pPr>
      <w:r>
        <w:rPr/>
        <w:br w:type="column"/>
      </w:r>
      <w:r>
        <w:rPr>
          <w:rFonts w:ascii="Symbol" w:hAnsi="Symbol"/>
          <w:w w:val="155"/>
          <w:sz w:val="17"/>
        </w:rPr>
        <w:t></w:t>
      </w:r>
      <w:r>
        <w:rPr>
          <w:rFonts w:ascii="Symbol" w:hAnsi="Symbol"/>
          <w:w w:val="155"/>
          <w:position w:val="-3"/>
          <w:sz w:val="26"/>
        </w:rPr>
        <w:t></w:t>
      </w:r>
      <w:r>
        <w:rPr>
          <w:spacing w:val="-62"/>
          <w:w w:val="155"/>
          <w:position w:val="-3"/>
          <w:sz w:val="26"/>
        </w:rPr>
        <w:t> </w:t>
      </w:r>
      <w:r>
        <w:rPr>
          <w:rFonts w:ascii="Symbol" w:hAnsi="Symbol"/>
          <w:w w:val="155"/>
          <w:sz w:val="20"/>
        </w:rPr>
        <w:t></w:t>
      </w:r>
    </w:p>
    <w:p>
      <w:pPr>
        <w:spacing w:line="107" w:lineRule="exact" w:before="0"/>
        <w:ind w:left="4" w:right="0" w:firstLine="0"/>
        <w:jc w:val="center"/>
        <w:rPr>
          <w:sz w:val="10"/>
        </w:rPr>
      </w:pPr>
      <w:r>
        <w:rPr>
          <w:i/>
          <w:w w:val="160"/>
          <w:sz w:val="10"/>
        </w:rPr>
        <w:t>i</w:t>
      </w:r>
      <w:r>
        <w:rPr>
          <w:i/>
          <w:spacing w:val="-26"/>
          <w:w w:val="160"/>
          <w:sz w:val="10"/>
        </w:rPr>
        <w:t> </w:t>
      </w:r>
      <w:r>
        <w:rPr>
          <w:rFonts w:ascii="Symbol" w:hAnsi="Symbol"/>
          <w:w w:val="160"/>
          <w:sz w:val="10"/>
        </w:rPr>
        <w:t></w:t>
      </w:r>
      <w:r>
        <w:rPr>
          <w:w w:val="160"/>
          <w:sz w:val="10"/>
        </w:rPr>
        <w:t>0</w:t>
      </w:r>
    </w:p>
    <w:p>
      <w:pPr>
        <w:spacing w:before="53"/>
        <w:ind w:left="-31" w:right="0" w:firstLine="0"/>
        <w:jc w:val="left"/>
        <w:rPr>
          <w:i/>
          <w:sz w:val="10"/>
        </w:rPr>
      </w:pPr>
      <w:r>
        <w:rPr/>
        <w:br w:type="column"/>
      </w:r>
      <w:r>
        <w:rPr>
          <w:spacing w:val="-1"/>
          <w:w w:val="165"/>
          <w:position w:val="-4"/>
          <w:sz w:val="10"/>
        </w:rPr>
        <w:t>6</w:t>
      </w:r>
      <w:r>
        <w:rPr>
          <w:i/>
          <w:spacing w:val="-1"/>
          <w:w w:val="165"/>
          <w:position w:val="-4"/>
          <w:sz w:val="10"/>
        </w:rPr>
        <w:t>i</w:t>
      </w:r>
      <w:r>
        <w:rPr>
          <w:i/>
          <w:spacing w:val="-24"/>
          <w:w w:val="165"/>
          <w:position w:val="-4"/>
          <w:sz w:val="10"/>
        </w:rPr>
        <w:t> </w:t>
      </w:r>
      <w:r>
        <w:rPr>
          <w:rFonts w:ascii="Symbol" w:hAnsi="Symbol"/>
          <w:spacing w:val="-1"/>
          <w:w w:val="165"/>
          <w:sz w:val="17"/>
        </w:rPr>
        <w:t></w:t>
      </w:r>
      <w:r>
        <w:rPr>
          <w:i/>
          <w:spacing w:val="-1"/>
          <w:w w:val="165"/>
          <w:sz w:val="17"/>
        </w:rPr>
        <w:t>LnMS</w:t>
      </w:r>
      <w:r>
        <w:rPr>
          <w:i/>
          <w:spacing w:val="-1"/>
          <w:w w:val="165"/>
          <w:position w:val="-4"/>
          <w:sz w:val="10"/>
        </w:rPr>
        <w:t>t</w:t>
      </w:r>
      <w:r>
        <w:rPr>
          <w:i/>
          <w:spacing w:val="-24"/>
          <w:w w:val="165"/>
          <w:position w:val="-4"/>
          <w:sz w:val="10"/>
        </w:rPr>
        <w:t> </w:t>
      </w:r>
      <w:r>
        <w:rPr>
          <w:rFonts w:ascii="Symbol" w:hAnsi="Symbol"/>
          <w:spacing w:val="-1"/>
          <w:w w:val="165"/>
          <w:position w:val="-4"/>
          <w:sz w:val="10"/>
        </w:rPr>
        <w:t></w:t>
      </w:r>
      <w:r>
        <w:rPr>
          <w:i/>
          <w:spacing w:val="-1"/>
          <w:w w:val="165"/>
          <w:position w:val="-4"/>
          <w:sz w:val="10"/>
        </w:rPr>
        <w:t>i</w:t>
      </w:r>
    </w:p>
    <w:p>
      <w:pPr>
        <w:spacing w:line="303" w:lineRule="exact" w:before="2"/>
        <w:ind w:left="38" w:right="0" w:firstLine="0"/>
        <w:jc w:val="center"/>
        <w:rPr>
          <w:rFonts w:ascii="Symbol" w:hAnsi="Symbol"/>
          <w:sz w:val="20"/>
        </w:rPr>
      </w:pPr>
      <w:r>
        <w:rPr/>
        <w:br w:type="column"/>
      </w:r>
      <w:r>
        <w:rPr>
          <w:rFonts w:ascii="Symbol" w:hAnsi="Symbol"/>
          <w:spacing w:val="-3"/>
          <w:w w:val="155"/>
          <w:sz w:val="17"/>
        </w:rPr>
        <w:t></w:t>
      </w:r>
      <w:r>
        <w:rPr>
          <w:spacing w:val="-17"/>
          <w:w w:val="155"/>
          <w:sz w:val="17"/>
        </w:rPr>
        <w:t> </w:t>
      </w:r>
      <w:r>
        <w:rPr>
          <w:rFonts w:ascii="Symbol" w:hAnsi="Symbol"/>
          <w:spacing w:val="-3"/>
          <w:w w:val="155"/>
          <w:position w:val="-3"/>
          <w:sz w:val="26"/>
        </w:rPr>
        <w:t></w:t>
      </w:r>
      <w:r>
        <w:rPr>
          <w:spacing w:val="-62"/>
          <w:w w:val="155"/>
          <w:position w:val="-3"/>
          <w:sz w:val="26"/>
        </w:rPr>
        <w:t> </w:t>
      </w:r>
      <w:r>
        <w:rPr>
          <w:rFonts w:ascii="Symbol" w:hAnsi="Symbol"/>
          <w:spacing w:val="-2"/>
          <w:w w:val="155"/>
          <w:sz w:val="20"/>
        </w:rPr>
        <w:t></w:t>
      </w:r>
    </w:p>
    <w:p>
      <w:pPr>
        <w:spacing w:line="107" w:lineRule="exact" w:before="0"/>
        <w:ind w:left="44" w:right="0" w:firstLine="0"/>
        <w:jc w:val="center"/>
        <w:rPr>
          <w:sz w:val="10"/>
        </w:rPr>
      </w:pPr>
      <w:r>
        <w:rPr>
          <w:i/>
          <w:w w:val="160"/>
          <w:sz w:val="10"/>
        </w:rPr>
        <w:t>i</w:t>
      </w:r>
      <w:r>
        <w:rPr>
          <w:i/>
          <w:spacing w:val="-26"/>
          <w:w w:val="160"/>
          <w:sz w:val="10"/>
        </w:rPr>
        <w:t> </w:t>
      </w:r>
      <w:r>
        <w:rPr>
          <w:rFonts w:ascii="Symbol" w:hAnsi="Symbol"/>
          <w:w w:val="160"/>
          <w:sz w:val="10"/>
        </w:rPr>
        <w:t></w:t>
      </w:r>
      <w:r>
        <w:rPr>
          <w:w w:val="160"/>
          <w:sz w:val="10"/>
        </w:rPr>
        <w:t>0</w:t>
      </w:r>
    </w:p>
    <w:p>
      <w:pPr>
        <w:spacing w:before="48"/>
        <w:ind w:left="-31" w:right="0" w:firstLine="0"/>
        <w:jc w:val="left"/>
        <w:rPr>
          <w:i/>
          <w:sz w:val="10"/>
        </w:rPr>
      </w:pPr>
      <w:r>
        <w:rPr/>
        <w:br w:type="column"/>
      </w:r>
      <w:r>
        <w:rPr>
          <w:spacing w:val="-4"/>
          <w:w w:val="165"/>
          <w:sz w:val="10"/>
        </w:rPr>
        <w:t>7</w:t>
      </w:r>
      <w:r>
        <w:rPr>
          <w:i/>
          <w:spacing w:val="-4"/>
          <w:w w:val="165"/>
          <w:sz w:val="10"/>
        </w:rPr>
        <w:t>i</w:t>
      </w:r>
      <w:r>
        <w:rPr>
          <w:i/>
          <w:spacing w:val="-23"/>
          <w:w w:val="165"/>
          <w:sz w:val="10"/>
        </w:rPr>
        <w:t> </w:t>
      </w:r>
      <w:r>
        <w:rPr>
          <w:rFonts w:ascii="Symbol" w:hAnsi="Symbol"/>
          <w:spacing w:val="-4"/>
          <w:w w:val="165"/>
          <w:position w:val="5"/>
          <w:sz w:val="17"/>
        </w:rPr>
        <w:t></w:t>
      </w:r>
      <w:r>
        <w:rPr>
          <w:i/>
          <w:spacing w:val="-4"/>
          <w:w w:val="165"/>
          <w:position w:val="5"/>
          <w:sz w:val="17"/>
        </w:rPr>
        <w:t>IR</w:t>
      </w:r>
      <w:r>
        <w:rPr>
          <w:i/>
          <w:spacing w:val="-4"/>
          <w:w w:val="165"/>
          <w:sz w:val="10"/>
        </w:rPr>
        <w:t>t</w:t>
      </w:r>
      <w:r>
        <w:rPr>
          <w:i/>
          <w:spacing w:val="-22"/>
          <w:w w:val="165"/>
          <w:sz w:val="10"/>
        </w:rPr>
        <w:t> </w:t>
      </w:r>
      <w:r>
        <w:rPr>
          <w:rFonts w:ascii="Symbol" w:hAnsi="Symbol"/>
          <w:spacing w:val="-3"/>
          <w:w w:val="165"/>
          <w:sz w:val="10"/>
        </w:rPr>
        <w:t></w:t>
      </w:r>
      <w:r>
        <w:rPr>
          <w:i/>
          <w:spacing w:val="-3"/>
          <w:w w:val="165"/>
          <w:sz w:val="10"/>
        </w:rPr>
        <w:t>i</w:t>
      </w:r>
    </w:p>
    <w:p>
      <w:pPr>
        <w:spacing w:before="23"/>
        <w:ind w:left="39" w:right="0" w:firstLine="0"/>
        <w:jc w:val="left"/>
        <w:rPr>
          <w:rFonts w:ascii="Symbol" w:hAnsi="Symbol"/>
          <w:sz w:val="17"/>
        </w:rPr>
      </w:pPr>
      <w:r>
        <w:rPr/>
        <w:br w:type="column"/>
      </w:r>
      <w:r>
        <w:rPr>
          <w:rFonts w:ascii="Symbol" w:hAnsi="Symbol"/>
          <w:spacing w:val="-2"/>
          <w:w w:val="160"/>
          <w:sz w:val="17"/>
        </w:rPr>
        <w:t></w:t>
      </w:r>
      <w:r>
        <w:rPr>
          <w:spacing w:val="-12"/>
          <w:w w:val="160"/>
          <w:sz w:val="17"/>
        </w:rPr>
        <w:t> </w:t>
      </w:r>
      <w:r>
        <w:rPr>
          <w:rFonts w:ascii="Symbol" w:hAnsi="Symbol"/>
          <w:spacing w:val="-2"/>
          <w:w w:val="160"/>
          <w:sz w:val="20"/>
        </w:rPr>
        <w:t></w:t>
      </w:r>
      <w:r>
        <w:rPr>
          <w:spacing w:val="-2"/>
          <w:w w:val="160"/>
          <w:position w:val="-4"/>
          <w:sz w:val="10"/>
        </w:rPr>
        <w:t>8</w:t>
      </w:r>
      <w:r>
        <w:rPr>
          <w:spacing w:val="-23"/>
          <w:w w:val="160"/>
          <w:position w:val="-4"/>
          <w:sz w:val="10"/>
        </w:rPr>
        <w:t> </w:t>
      </w:r>
      <w:r>
        <w:rPr>
          <w:i/>
          <w:spacing w:val="-2"/>
          <w:w w:val="160"/>
          <w:sz w:val="17"/>
        </w:rPr>
        <w:t>D</w:t>
      </w:r>
      <w:r>
        <w:rPr>
          <w:i/>
          <w:spacing w:val="-2"/>
          <w:w w:val="160"/>
          <w:position w:val="-4"/>
          <w:sz w:val="10"/>
        </w:rPr>
        <w:t>i</w:t>
      </w:r>
      <w:r>
        <w:rPr>
          <w:i/>
          <w:spacing w:val="40"/>
          <w:w w:val="160"/>
          <w:position w:val="-4"/>
          <w:sz w:val="10"/>
        </w:rPr>
        <w:t> </w:t>
      </w:r>
      <w:r>
        <w:rPr>
          <w:rFonts w:ascii="Symbol" w:hAnsi="Symbol"/>
          <w:spacing w:val="-1"/>
          <w:w w:val="160"/>
          <w:sz w:val="17"/>
        </w:rPr>
        <w:t></w:t>
      </w:r>
    </w:p>
    <w:p>
      <w:pPr>
        <w:spacing w:after="0"/>
        <w:jc w:val="left"/>
        <w:rPr>
          <w:rFonts w:ascii="Symbol" w:hAnsi="Symbol"/>
          <w:sz w:val="17"/>
        </w:rPr>
        <w:sectPr>
          <w:type w:val="continuous"/>
          <w:pgSz w:w="12240" w:h="15840"/>
          <w:pgMar w:top="1500" w:bottom="1200" w:left="1320" w:right="440"/>
          <w:cols w:num="9" w:equalWidth="0">
            <w:col w:w="1516" w:space="40"/>
            <w:col w:w="1256" w:space="39"/>
            <w:col w:w="763" w:space="40"/>
            <w:col w:w="1293" w:space="39"/>
            <w:col w:w="701" w:space="40"/>
            <w:col w:w="1167" w:space="40"/>
            <w:col w:w="741" w:space="39"/>
            <w:col w:w="744" w:space="40"/>
            <w:col w:w="1982"/>
          </w:cols>
        </w:sectPr>
      </w:pPr>
    </w:p>
    <w:p>
      <w:pPr>
        <w:spacing w:line="145" w:lineRule="exact" w:before="22"/>
        <w:ind w:left="854" w:right="0" w:firstLine="0"/>
        <w:jc w:val="left"/>
        <w:rPr>
          <w:i/>
          <w:sz w:val="17"/>
        </w:rPr>
      </w:pPr>
      <w:r>
        <w:rPr>
          <w:rFonts w:ascii="Symbol" w:hAnsi="Symbol"/>
          <w:spacing w:val="-3"/>
          <w:w w:val="165"/>
          <w:sz w:val="17"/>
        </w:rPr>
        <w:t></w:t>
      </w:r>
      <w:r>
        <w:rPr>
          <w:rFonts w:ascii="Symbol" w:hAnsi="Symbol"/>
          <w:spacing w:val="-3"/>
          <w:w w:val="165"/>
          <w:sz w:val="20"/>
        </w:rPr>
        <w:t></w:t>
      </w:r>
      <w:r>
        <w:rPr>
          <w:spacing w:val="-18"/>
          <w:w w:val="165"/>
          <w:sz w:val="20"/>
        </w:rPr>
        <w:t> </w:t>
      </w:r>
      <w:r>
        <w:rPr>
          <w:i/>
          <w:spacing w:val="-2"/>
          <w:w w:val="165"/>
          <w:sz w:val="17"/>
        </w:rPr>
        <w:t>LnM</w:t>
      </w:r>
    </w:p>
    <w:p>
      <w:pPr>
        <w:spacing w:line="145" w:lineRule="exact" w:before="22"/>
        <w:ind w:left="269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pacing w:val="-1"/>
          <w:w w:val="160"/>
          <w:sz w:val="17"/>
        </w:rPr>
        <w:t></w:t>
      </w:r>
      <w:r>
        <w:rPr>
          <w:spacing w:val="-36"/>
          <w:w w:val="160"/>
          <w:sz w:val="17"/>
        </w:rPr>
        <w:t> </w:t>
      </w:r>
      <w:r>
        <w:rPr>
          <w:rFonts w:ascii="Symbol" w:hAnsi="Symbol"/>
          <w:w w:val="160"/>
          <w:sz w:val="20"/>
        </w:rPr>
        <w:t></w:t>
      </w:r>
      <w:r>
        <w:rPr>
          <w:spacing w:val="41"/>
          <w:w w:val="160"/>
          <w:sz w:val="20"/>
        </w:rPr>
        <w:t> </w:t>
      </w:r>
      <w:r>
        <w:rPr>
          <w:i/>
          <w:w w:val="160"/>
          <w:sz w:val="17"/>
        </w:rPr>
        <w:t>LnREER</w:t>
      </w:r>
    </w:p>
    <w:p>
      <w:pPr>
        <w:spacing w:line="145" w:lineRule="exact" w:before="22"/>
        <w:ind w:left="232" w:right="0" w:firstLine="0"/>
        <w:jc w:val="left"/>
        <w:rPr>
          <w:rFonts w:ascii="Symbol" w:hAnsi="Symbol"/>
          <w:sz w:val="20"/>
        </w:rPr>
      </w:pPr>
      <w:r>
        <w:rPr/>
        <w:br w:type="column"/>
      </w:r>
      <w:r>
        <w:rPr>
          <w:rFonts w:ascii="Symbol" w:hAnsi="Symbol"/>
          <w:w w:val="155"/>
          <w:sz w:val="17"/>
        </w:rPr>
        <w:t></w:t>
      </w:r>
      <w:r>
        <w:rPr>
          <w:spacing w:val="-29"/>
          <w:w w:val="155"/>
          <w:sz w:val="17"/>
        </w:rPr>
        <w:t> </w:t>
      </w:r>
      <w:r>
        <w:rPr>
          <w:rFonts w:ascii="Symbol" w:hAnsi="Symbol"/>
          <w:w w:val="155"/>
          <w:sz w:val="20"/>
        </w:rPr>
        <w:t></w:t>
      </w:r>
      <w:r>
        <w:rPr>
          <w:spacing w:val="49"/>
          <w:w w:val="155"/>
          <w:sz w:val="20"/>
        </w:rPr>
        <w:t> </w:t>
      </w:r>
      <w:r>
        <w:rPr>
          <w:i/>
          <w:w w:val="155"/>
          <w:sz w:val="17"/>
        </w:rPr>
        <w:t>LnGDP</w:t>
      </w:r>
      <w:r>
        <w:rPr>
          <w:i/>
          <w:w w:val="155"/>
          <w:sz w:val="17"/>
          <w:vertAlign w:val="superscript"/>
        </w:rPr>
        <w:t>d</w:t>
      </w:r>
      <w:r>
        <w:rPr>
          <w:i/>
          <w:spacing w:val="57"/>
          <w:w w:val="155"/>
          <w:sz w:val="17"/>
          <w:vertAlign w:val="baseline"/>
        </w:rPr>
        <w:t> </w:t>
      </w:r>
      <w:r>
        <w:rPr>
          <w:rFonts w:ascii="Symbol" w:hAnsi="Symbol"/>
          <w:w w:val="155"/>
          <w:sz w:val="17"/>
          <w:vertAlign w:val="baseline"/>
        </w:rPr>
        <w:t></w:t>
      </w:r>
      <w:r>
        <w:rPr>
          <w:spacing w:val="-28"/>
          <w:w w:val="155"/>
          <w:sz w:val="17"/>
          <w:vertAlign w:val="baseline"/>
        </w:rPr>
        <w:t> </w:t>
      </w:r>
      <w:r>
        <w:rPr>
          <w:rFonts w:ascii="Symbol" w:hAnsi="Symbol"/>
          <w:w w:val="155"/>
          <w:sz w:val="20"/>
          <w:vertAlign w:val="baseline"/>
        </w:rPr>
        <w:t></w:t>
      </w:r>
    </w:p>
    <w:p>
      <w:pPr>
        <w:spacing w:line="102" w:lineRule="exact" w:before="64"/>
        <w:ind w:left="80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w w:val="165"/>
          <w:sz w:val="17"/>
        </w:rPr>
        <w:t>LnGDP</w:t>
      </w:r>
      <w:r>
        <w:rPr>
          <w:i/>
          <w:spacing w:val="-25"/>
          <w:w w:val="165"/>
          <w:sz w:val="17"/>
        </w:rPr>
        <w:t> </w:t>
      </w:r>
      <w:r>
        <w:rPr>
          <w:i/>
          <w:spacing w:val="-4"/>
          <w:w w:val="165"/>
          <w:sz w:val="17"/>
          <w:vertAlign w:val="superscript"/>
        </w:rPr>
        <w:t>f</w:t>
      </w:r>
    </w:p>
    <w:p>
      <w:pPr>
        <w:tabs>
          <w:tab w:pos="1640" w:val="left" w:leader="none"/>
        </w:tabs>
        <w:spacing w:line="145" w:lineRule="exact" w:before="22"/>
        <w:ind w:left="106" w:right="0" w:firstLine="0"/>
        <w:jc w:val="left"/>
        <w:rPr>
          <w:rFonts w:ascii="Symbol" w:hAnsi="Symbol"/>
          <w:sz w:val="20"/>
        </w:rPr>
      </w:pPr>
      <w:r>
        <w:rPr/>
        <w:br w:type="column"/>
      </w:r>
      <w:r>
        <w:rPr>
          <w:rFonts w:ascii="Symbol" w:hAnsi="Symbol"/>
          <w:w w:val="160"/>
          <w:sz w:val="17"/>
        </w:rPr>
        <w:t></w:t>
      </w:r>
      <w:r>
        <w:rPr>
          <w:spacing w:val="-35"/>
          <w:w w:val="160"/>
          <w:sz w:val="17"/>
        </w:rPr>
        <w:t> </w:t>
      </w:r>
      <w:r>
        <w:rPr>
          <w:rFonts w:ascii="Symbol" w:hAnsi="Symbol"/>
          <w:w w:val="160"/>
          <w:sz w:val="20"/>
        </w:rPr>
        <w:t></w:t>
      </w:r>
      <w:r>
        <w:rPr>
          <w:spacing w:val="37"/>
          <w:w w:val="160"/>
          <w:sz w:val="20"/>
        </w:rPr>
        <w:t> </w:t>
      </w:r>
      <w:r>
        <w:rPr>
          <w:i/>
          <w:w w:val="160"/>
          <w:sz w:val="17"/>
        </w:rPr>
        <w:t>LnWPI</w:t>
        <w:tab/>
      </w:r>
      <w:r>
        <w:rPr>
          <w:rFonts w:ascii="Symbol" w:hAnsi="Symbol"/>
          <w:w w:val="150"/>
          <w:sz w:val="17"/>
        </w:rPr>
        <w:t></w:t>
      </w:r>
      <w:r>
        <w:rPr>
          <w:spacing w:val="-19"/>
          <w:w w:val="150"/>
          <w:sz w:val="17"/>
        </w:rPr>
        <w:t> </w:t>
      </w:r>
      <w:r>
        <w:rPr>
          <w:rFonts w:ascii="Symbol" w:hAnsi="Symbol"/>
          <w:w w:val="150"/>
          <w:sz w:val="20"/>
        </w:rPr>
        <w:t></w:t>
      </w:r>
    </w:p>
    <w:p>
      <w:pPr>
        <w:spacing w:after="0" w:line="145" w:lineRule="exact"/>
        <w:jc w:val="left"/>
        <w:rPr>
          <w:rFonts w:ascii="Symbol" w:hAnsi="Symbol"/>
          <w:sz w:val="20"/>
        </w:rPr>
        <w:sectPr>
          <w:type w:val="continuous"/>
          <w:pgSz w:w="12240" w:h="15840"/>
          <w:pgMar w:top="1500" w:bottom="1200" w:left="1320" w:right="440"/>
          <w:cols w:num="5" w:equalWidth="0">
            <w:col w:w="1769" w:space="40"/>
            <w:col w:w="1701" w:space="39"/>
            <w:col w:w="2077" w:space="40"/>
            <w:col w:w="1045" w:space="40"/>
            <w:col w:w="3729"/>
          </w:cols>
        </w:sectPr>
      </w:pPr>
    </w:p>
    <w:p>
      <w:pPr>
        <w:tabs>
          <w:tab w:pos="1790" w:val="left" w:leader="none"/>
          <w:tab w:pos="2505" w:val="right" w:leader="none"/>
        </w:tabs>
        <w:spacing w:before="1"/>
        <w:ind w:left="1144" w:right="0" w:firstLine="0"/>
        <w:jc w:val="left"/>
        <w:rPr>
          <w:sz w:val="10"/>
        </w:rPr>
      </w:pPr>
      <w:r>
        <w:rPr>
          <w:w w:val="165"/>
          <w:sz w:val="10"/>
        </w:rPr>
        <w:t>1</w:t>
        <w:tab/>
      </w:r>
      <w:r>
        <w:rPr>
          <w:i/>
          <w:spacing w:val="-1"/>
          <w:w w:val="160"/>
          <w:sz w:val="10"/>
        </w:rPr>
        <w:t>t</w:t>
      </w:r>
      <w:r>
        <w:rPr>
          <w:i/>
          <w:spacing w:val="-24"/>
          <w:w w:val="160"/>
          <w:sz w:val="10"/>
        </w:rPr>
        <w:t> </w:t>
      </w:r>
      <w:r>
        <w:rPr>
          <w:rFonts w:ascii="Symbol" w:hAnsi="Symbol"/>
          <w:spacing w:val="-1"/>
          <w:w w:val="160"/>
          <w:sz w:val="10"/>
        </w:rPr>
        <w:t></w:t>
      </w:r>
      <w:r>
        <w:rPr>
          <w:spacing w:val="-1"/>
          <w:w w:val="160"/>
          <w:sz w:val="10"/>
        </w:rPr>
        <w:t>1</w:t>
        <w:tab/>
      </w:r>
      <w:r>
        <w:rPr>
          <w:w w:val="160"/>
          <w:sz w:val="10"/>
        </w:rPr>
        <w:t>2</w:t>
      </w:r>
    </w:p>
    <w:p>
      <w:pPr>
        <w:tabs>
          <w:tab w:pos="1658" w:val="right" w:leader="none"/>
        </w:tabs>
        <w:spacing w:before="1"/>
        <w:ind w:left="948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1"/>
          <w:w w:val="160"/>
          <w:sz w:val="10"/>
        </w:rPr>
        <w:t>t</w:t>
      </w:r>
      <w:r>
        <w:rPr>
          <w:i/>
          <w:spacing w:val="-24"/>
          <w:w w:val="160"/>
          <w:sz w:val="10"/>
        </w:rPr>
        <w:t> </w:t>
      </w:r>
      <w:r>
        <w:rPr>
          <w:rFonts w:ascii="Symbol" w:hAnsi="Symbol"/>
          <w:spacing w:val="-1"/>
          <w:w w:val="160"/>
          <w:sz w:val="10"/>
        </w:rPr>
        <w:t></w:t>
      </w:r>
      <w:r>
        <w:rPr>
          <w:spacing w:val="-1"/>
          <w:w w:val="160"/>
          <w:sz w:val="10"/>
        </w:rPr>
        <w:t>1</w:t>
        <w:tab/>
        <w:t>3</w:t>
      </w:r>
    </w:p>
    <w:p>
      <w:pPr>
        <w:tabs>
          <w:tab w:pos="1482" w:val="right" w:leader="none"/>
        </w:tabs>
        <w:spacing w:before="5"/>
        <w:ind w:left="813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2"/>
          <w:w w:val="165"/>
          <w:sz w:val="7"/>
        </w:rPr>
        <w:t>t</w:t>
      </w:r>
      <w:r>
        <w:rPr>
          <w:i/>
          <w:spacing w:val="-21"/>
          <w:w w:val="165"/>
          <w:sz w:val="7"/>
        </w:rPr>
        <w:t> </w:t>
      </w:r>
      <w:r>
        <w:rPr>
          <w:rFonts w:ascii="Symbol" w:hAnsi="Symbol"/>
          <w:spacing w:val="-2"/>
          <w:w w:val="165"/>
          <w:sz w:val="7"/>
        </w:rPr>
        <w:t></w:t>
      </w:r>
      <w:r>
        <w:rPr>
          <w:spacing w:val="-2"/>
          <w:w w:val="165"/>
          <w:sz w:val="7"/>
        </w:rPr>
        <w:t>1</w:t>
        <w:tab/>
      </w:r>
      <w:r>
        <w:rPr>
          <w:spacing w:val="-2"/>
          <w:w w:val="165"/>
          <w:position w:val="3"/>
          <w:sz w:val="10"/>
        </w:rPr>
        <w:t>4</w:t>
      </w:r>
    </w:p>
    <w:p>
      <w:pPr>
        <w:tabs>
          <w:tab w:pos="1513" w:val="right" w:leader="none"/>
        </w:tabs>
        <w:spacing w:before="1"/>
        <w:ind w:left="804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1"/>
          <w:w w:val="160"/>
          <w:sz w:val="10"/>
        </w:rPr>
        <w:t>t</w:t>
      </w:r>
      <w:r>
        <w:rPr>
          <w:i/>
          <w:spacing w:val="-24"/>
          <w:w w:val="160"/>
          <w:sz w:val="10"/>
        </w:rPr>
        <w:t> </w:t>
      </w:r>
      <w:r>
        <w:rPr>
          <w:rFonts w:ascii="Symbol" w:hAnsi="Symbol"/>
          <w:spacing w:val="-1"/>
          <w:w w:val="160"/>
          <w:sz w:val="10"/>
        </w:rPr>
        <w:t></w:t>
      </w:r>
      <w:r>
        <w:rPr>
          <w:spacing w:val="-1"/>
          <w:w w:val="160"/>
          <w:sz w:val="10"/>
        </w:rPr>
        <w:t>1</w:t>
        <w:tab/>
        <w:t>5</w:t>
      </w:r>
    </w:p>
    <w:p>
      <w:pPr>
        <w:tabs>
          <w:tab w:pos="1406" w:val="left" w:leader="none"/>
        </w:tabs>
        <w:spacing w:before="1"/>
        <w:ind w:left="785" w:right="0" w:firstLine="0"/>
        <w:jc w:val="left"/>
        <w:rPr>
          <w:i/>
          <w:sz w:val="10"/>
        </w:rPr>
      </w:pPr>
      <w:r>
        <w:rPr/>
        <w:br w:type="column"/>
      </w:r>
      <w:r>
        <w:rPr>
          <w:i/>
          <w:spacing w:val="-2"/>
          <w:w w:val="160"/>
          <w:sz w:val="10"/>
        </w:rPr>
        <w:t>t</w:t>
      </w:r>
      <w:r>
        <w:rPr>
          <w:i/>
          <w:spacing w:val="-24"/>
          <w:w w:val="160"/>
          <w:sz w:val="10"/>
        </w:rPr>
        <w:t> </w:t>
      </w:r>
      <w:r>
        <w:rPr>
          <w:rFonts w:ascii="Symbol" w:hAnsi="Symbol"/>
          <w:spacing w:val="-2"/>
          <w:w w:val="160"/>
          <w:sz w:val="10"/>
        </w:rPr>
        <w:t></w:t>
      </w:r>
      <w:r>
        <w:rPr>
          <w:spacing w:val="-2"/>
          <w:w w:val="160"/>
          <w:sz w:val="10"/>
        </w:rPr>
        <w:t>1</w:t>
        <w:tab/>
      </w:r>
      <w:r>
        <w:rPr>
          <w:i/>
          <w:w w:val="165"/>
          <w:sz w:val="10"/>
        </w:rPr>
        <w:t>i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5" w:equalWidth="0">
            <w:col w:w="2506" w:space="40"/>
            <w:col w:w="1659" w:space="39"/>
            <w:col w:w="1483" w:space="40"/>
            <w:col w:w="1515" w:space="39"/>
            <w:col w:w="3159"/>
          </w:cols>
        </w:sectPr>
      </w:pPr>
    </w:p>
    <w:p>
      <w:pPr>
        <w:pStyle w:val="Heading2"/>
        <w:spacing w:before="533"/>
      </w:pPr>
      <w:r>
        <w:rPr/>
        <w:t>Foreign</w:t>
      </w:r>
      <w:r>
        <w:rPr>
          <w:spacing w:val="-1"/>
        </w:rPr>
        <w:t> </w:t>
      </w:r>
      <w:r>
        <w:rPr/>
        <w:t>Direct</w:t>
      </w:r>
      <w:r>
        <w:rPr>
          <w:spacing w:val="-1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Equation</w:t>
      </w:r>
    </w:p>
    <w:p>
      <w:pPr>
        <w:spacing w:line="285" w:lineRule="exact" w:before="309"/>
        <w:ind w:left="855" w:right="0" w:firstLine="0"/>
        <w:jc w:val="left"/>
        <w:rPr>
          <w:i/>
          <w:sz w:val="10"/>
        </w:rPr>
      </w:pPr>
      <w:r>
        <w:rPr/>
        <w:pict>
          <v:shape style="position:absolute;margin-left:192.799179pt;margin-top:13.292088pt;width:260.6pt;height:5.55pt;mso-position-horizontal-relative:page;mso-position-vertical-relative:paragraph;z-index:-25299456" type="#_x0000_t202" filled="false" stroked="false">
            <v:textbox inset="0,0,0,0">
              <w:txbxContent>
                <w:p>
                  <w:pPr>
                    <w:tabs>
                      <w:tab w:pos="1675" w:val="left" w:leader="none"/>
                      <w:tab w:pos="3442" w:val="left" w:leader="none"/>
                      <w:tab w:pos="5149" w:val="left" w:leader="none"/>
                    </w:tabs>
                    <w:spacing w:line="110" w:lineRule="exact" w:before="0"/>
                    <w:ind w:left="0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i/>
                      <w:w w:val="140"/>
                      <w:sz w:val="10"/>
                    </w:rPr>
                    <w:t>k</w:t>
                    <w:tab/>
                    <w:t>k</w:t>
                    <w:tab/>
                    <w:t>k</w:t>
                    <w:tab/>
                  </w:r>
                  <w:r>
                    <w:rPr>
                      <w:i/>
                      <w:spacing w:val="-7"/>
                      <w:w w:val="140"/>
                      <w:sz w:val="10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w w:val="140"/>
          <w:sz w:val="17"/>
        </w:rPr>
        <w:t>L</w:t>
      </w:r>
      <w:r>
        <w:rPr>
          <w:i/>
          <w:spacing w:val="-10"/>
          <w:sz w:val="17"/>
        </w:rPr>
        <w:t> </w:t>
      </w:r>
      <w:r>
        <w:rPr>
          <w:w w:val="140"/>
          <w:sz w:val="17"/>
        </w:rPr>
        <w:t>n</w:t>
      </w:r>
      <w:r>
        <w:rPr>
          <w:spacing w:val="-4"/>
          <w:sz w:val="17"/>
        </w:rPr>
        <w:t> </w:t>
      </w:r>
      <w:r>
        <w:rPr>
          <w:rFonts w:ascii="Symbol" w:hAnsi="Symbol"/>
          <w:spacing w:val="-3"/>
          <w:w w:val="140"/>
          <w:sz w:val="17"/>
        </w:rPr>
        <w:t></w:t>
      </w:r>
      <w:r>
        <w:rPr>
          <w:i/>
          <w:spacing w:val="-2"/>
          <w:w w:val="140"/>
          <w:sz w:val="17"/>
        </w:rPr>
        <w:t>F</w:t>
      </w:r>
      <w:r>
        <w:rPr>
          <w:i/>
          <w:spacing w:val="-3"/>
          <w:w w:val="140"/>
          <w:sz w:val="17"/>
        </w:rPr>
        <w:t>D</w:t>
      </w:r>
      <w:r>
        <w:rPr>
          <w:i/>
          <w:spacing w:val="8"/>
          <w:w w:val="140"/>
          <w:sz w:val="17"/>
        </w:rPr>
        <w:t>I</w:t>
      </w:r>
      <w:r>
        <w:rPr>
          <w:i/>
          <w:w w:val="138"/>
          <w:position w:val="-3"/>
          <w:sz w:val="10"/>
        </w:rPr>
        <w:t>t</w:t>
      </w:r>
      <w:r>
        <w:rPr>
          <w:i/>
          <w:position w:val="-3"/>
          <w:sz w:val="10"/>
        </w:rPr>
        <w:t>  </w:t>
      </w:r>
      <w:r>
        <w:rPr>
          <w:i/>
          <w:spacing w:val="12"/>
          <w:position w:val="-3"/>
          <w:sz w:val="10"/>
        </w:rPr>
        <w:t> </w:t>
      </w:r>
      <w:r>
        <w:rPr>
          <w:rFonts w:ascii="Symbol" w:hAnsi="Symbol"/>
          <w:w w:val="140"/>
          <w:sz w:val="17"/>
        </w:rPr>
        <w:t></w:t>
      </w:r>
      <w:r>
        <w:rPr>
          <w:spacing w:val="-8"/>
          <w:sz w:val="17"/>
        </w:rPr>
        <w:t> </w:t>
      </w:r>
      <w:r>
        <w:rPr>
          <w:rFonts w:ascii="Symbol" w:hAnsi="Symbol"/>
          <w:spacing w:val="-4"/>
          <w:w w:val="126"/>
          <w:sz w:val="19"/>
        </w:rPr>
        <w:t></w:t>
      </w:r>
      <w:r>
        <w:rPr>
          <w:w w:val="138"/>
          <w:position w:val="-3"/>
          <w:sz w:val="10"/>
        </w:rPr>
        <w:t>0</w:t>
      </w:r>
      <w:r>
        <w:rPr>
          <w:position w:val="-3"/>
          <w:sz w:val="10"/>
        </w:rPr>
        <w:t> </w:t>
      </w:r>
      <w:r>
        <w:rPr>
          <w:spacing w:val="12"/>
          <w:position w:val="-3"/>
          <w:sz w:val="10"/>
        </w:rPr>
        <w:t> </w:t>
      </w:r>
      <w:r>
        <w:rPr>
          <w:rFonts w:ascii="Symbol" w:hAnsi="Symbol"/>
          <w:w w:val="140"/>
          <w:sz w:val="17"/>
        </w:rPr>
        <w:t></w:t>
      </w:r>
      <w:r>
        <w:rPr>
          <w:spacing w:val="-2"/>
          <w:sz w:val="17"/>
        </w:rPr>
        <w:t> </w:t>
      </w:r>
      <w:r>
        <w:rPr>
          <w:rFonts w:ascii="Symbol" w:hAnsi="Symbol"/>
          <w:spacing w:val="9"/>
          <w:w w:val="138"/>
          <w:position w:val="-3"/>
          <w:sz w:val="26"/>
        </w:rPr>
        <w:t></w:t>
      </w:r>
      <w:r>
        <w:rPr>
          <w:rFonts w:ascii="Symbol" w:hAnsi="Symbol"/>
          <w:spacing w:val="-17"/>
          <w:w w:val="126"/>
          <w:sz w:val="19"/>
        </w:rPr>
        <w:t></w:t>
      </w:r>
      <w:r>
        <w:rPr>
          <w:spacing w:val="-6"/>
          <w:w w:val="138"/>
          <w:position w:val="-3"/>
          <w:sz w:val="10"/>
        </w:rPr>
        <w:t>1</w:t>
      </w:r>
      <w:r>
        <w:rPr>
          <w:i/>
          <w:w w:val="138"/>
          <w:position w:val="-3"/>
          <w:sz w:val="10"/>
        </w:rPr>
        <w:t>i</w:t>
      </w:r>
      <w:r>
        <w:rPr>
          <w:i/>
          <w:spacing w:val="-2"/>
          <w:position w:val="-3"/>
          <w:sz w:val="10"/>
        </w:rPr>
        <w:t> </w:t>
      </w:r>
      <w:r>
        <w:rPr>
          <w:i/>
          <w:w w:val="140"/>
          <w:sz w:val="17"/>
        </w:rPr>
        <w:t>L</w:t>
      </w:r>
      <w:r>
        <w:rPr>
          <w:i/>
          <w:spacing w:val="-2"/>
          <w:w w:val="140"/>
          <w:sz w:val="17"/>
        </w:rPr>
        <w:t>n</w:t>
      </w:r>
      <w:r>
        <w:rPr>
          <w:rFonts w:ascii="Symbol" w:hAnsi="Symbol"/>
          <w:spacing w:val="-3"/>
          <w:w w:val="140"/>
          <w:sz w:val="17"/>
        </w:rPr>
        <w:t></w:t>
      </w:r>
      <w:r>
        <w:rPr>
          <w:i/>
          <w:spacing w:val="-2"/>
          <w:w w:val="140"/>
          <w:sz w:val="17"/>
        </w:rPr>
        <w:t>F</w:t>
      </w:r>
      <w:r>
        <w:rPr>
          <w:i/>
          <w:spacing w:val="-3"/>
          <w:w w:val="140"/>
          <w:sz w:val="17"/>
        </w:rPr>
        <w:t>D</w:t>
      </w:r>
      <w:r>
        <w:rPr>
          <w:i/>
          <w:spacing w:val="8"/>
          <w:w w:val="140"/>
          <w:sz w:val="17"/>
        </w:rPr>
        <w:t>I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2"/>
          <w:w w:val="138"/>
          <w:position w:val="-3"/>
          <w:sz w:val="10"/>
        </w:rPr>
        <w:t></w:t>
      </w:r>
      <w:r>
        <w:rPr>
          <w:i/>
          <w:w w:val="138"/>
          <w:position w:val="-3"/>
          <w:sz w:val="10"/>
        </w:rPr>
        <w:t>i</w:t>
      </w:r>
      <w:r>
        <w:rPr>
          <w:i/>
          <w:position w:val="-3"/>
          <w:sz w:val="10"/>
        </w:rPr>
        <w:t>  </w:t>
      </w:r>
      <w:r>
        <w:rPr>
          <w:i/>
          <w:spacing w:val="-9"/>
          <w:position w:val="-3"/>
          <w:sz w:val="10"/>
        </w:rPr>
        <w:t> </w:t>
      </w:r>
      <w:r>
        <w:rPr>
          <w:rFonts w:ascii="Symbol" w:hAnsi="Symbol"/>
          <w:spacing w:val="7"/>
          <w:w w:val="140"/>
          <w:sz w:val="17"/>
        </w:rPr>
        <w:t></w:t>
      </w:r>
      <w:r>
        <w:rPr>
          <w:rFonts w:ascii="Symbol" w:hAnsi="Symbol"/>
          <w:spacing w:val="9"/>
          <w:w w:val="138"/>
          <w:position w:val="-3"/>
          <w:sz w:val="26"/>
        </w:rPr>
        <w:t></w:t>
      </w:r>
      <w:r>
        <w:rPr>
          <w:rFonts w:ascii="Symbol" w:hAnsi="Symbol"/>
          <w:spacing w:val="-2"/>
          <w:w w:val="126"/>
          <w:sz w:val="19"/>
        </w:rPr>
        <w:t></w:t>
      </w:r>
      <w:r>
        <w:rPr>
          <w:spacing w:val="5"/>
          <w:w w:val="138"/>
          <w:position w:val="-3"/>
          <w:sz w:val="10"/>
        </w:rPr>
        <w:t>2</w:t>
      </w:r>
      <w:r>
        <w:rPr>
          <w:i/>
          <w:w w:val="138"/>
          <w:position w:val="-3"/>
          <w:sz w:val="10"/>
        </w:rPr>
        <w:t>i</w:t>
      </w:r>
      <w:r>
        <w:rPr>
          <w:i/>
          <w:spacing w:val="-3"/>
          <w:position w:val="-3"/>
          <w:sz w:val="10"/>
        </w:rPr>
        <w:t> </w:t>
      </w:r>
      <w:r>
        <w:rPr>
          <w:i/>
          <w:w w:val="140"/>
          <w:sz w:val="17"/>
        </w:rPr>
        <w:t>L</w:t>
      </w:r>
      <w:r>
        <w:rPr>
          <w:i/>
          <w:spacing w:val="-2"/>
          <w:w w:val="140"/>
          <w:sz w:val="17"/>
        </w:rPr>
        <w:t>n</w:t>
      </w:r>
      <w:r>
        <w:rPr>
          <w:rFonts w:ascii="Symbol" w:hAnsi="Symbol"/>
          <w:spacing w:val="-3"/>
          <w:w w:val="140"/>
          <w:sz w:val="17"/>
        </w:rPr>
        <w:t></w:t>
      </w:r>
      <w:r>
        <w:rPr>
          <w:i/>
          <w:w w:val="140"/>
          <w:sz w:val="17"/>
        </w:rPr>
        <w:t>N</w:t>
      </w:r>
      <w:r>
        <w:rPr>
          <w:i/>
          <w:spacing w:val="-3"/>
          <w:w w:val="140"/>
          <w:sz w:val="17"/>
        </w:rPr>
        <w:t>E</w:t>
      </w:r>
      <w:r>
        <w:rPr>
          <w:i/>
          <w:spacing w:val="-13"/>
          <w:w w:val="140"/>
          <w:sz w:val="17"/>
        </w:rPr>
        <w:t>R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2"/>
          <w:w w:val="138"/>
          <w:position w:val="-3"/>
          <w:sz w:val="10"/>
        </w:rPr>
        <w:t></w:t>
      </w:r>
      <w:r>
        <w:rPr>
          <w:i/>
          <w:w w:val="138"/>
          <w:position w:val="-3"/>
          <w:sz w:val="10"/>
        </w:rPr>
        <w:t>i</w:t>
      </w:r>
      <w:r>
        <w:rPr>
          <w:i/>
          <w:position w:val="-3"/>
          <w:sz w:val="10"/>
        </w:rPr>
        <w:t>  </w:t>
      </w:r>
      <w:r>
        <w:rPr>
          <w:i/>
          <w:spacing w:val="-9"/>
          <w:position w:val="-3"/>
          <w:sz w:val="10"/>
        </w:rPr>
        <w:t> </w:t>
      </w:r>
      <w:r>
        <w:rPr>
          <w:rFonts w:ascii="Symbol" w:hAnsi="Symbol"/>
          <w:w w:val="140"/>
          <w:sz w:val="17"/>
        </w:rPr>
        <w:t></w:t>
      </w:r>
      <w:r>
        <w:rPr>
          <w:spacing w:val="-2"/>
          <w:sz w:val="17"/>
        </w:rPr>
        <w:t> </w:t>
      </w:r>
      <w:r>
        <w:rPr>
          <w:rFonts w:ascii="Symbol" w:hAnsi="Symbol"/>
          <w:spacing w:val="10"/>
          <w:w w:val="138"/>
          <w:position w:val="-3"/>
          <w:sz w:val="26"/>
        </w:rPr>
        <w:t></w:t>
      </w:r>
      <w:r>
        <w:rPr>
          <w:rFonts w:ascii="Symbol" w:hAnsi="Symbol"/>
          <w:spacing w:val="-6"/>
          <w:w w:val="126"/>
          <w:sz w:val="19"/>
        </w:rPr>
        <w:t></w:t>
      </w:r>
      <w:r>
        <w:rPr>
          <w:w w:val="138"/>
          <w:position w:val="-3"/>
          <w:sz w:val="10"/>
        </w:rPr>
        <w:t>3</w:t>
      </w:r>
      <w:r>
        <w:rPr>
          <w:i/>
          <w:w w:val="138"/>
          <w:position w:val="-3"/>
          <w:sz w:val="10"/>
        </w:rPr>
        <w:t>i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-3"/>
          <w:w w:val="140"/>
          <w:sz w:val="17"/>
        </w:rPr>
        <w:t></w:t>
      </w:r>
      <w:r>
        <w:rPr>
          <w:i/>
          <w:w w:val="140"/>
          <w:sz w:val="17"/>
        </w:rPr>
        <w:t>L</w:t>
      </w:r>
      <w:r>
        <w:rPr>
          <w:i/>
          <w:spacing w:val="-2"/>
          <w:w w:val="140"/>
          <w:sz w:val="17"/>
        </w:rPr>
        <w:t>n</w:t>
      </w:r>
      <w:r>
        <w:rPr>
          <w:i/>
          <w:w w:val="140"/>
          <w:sz w:val="17"/>
        </w:rPr>
        <w:t>C</w:t>
      </w:r>
      <w:r>
        <w:rPr>
          <w:i/>
          <w:spacing w:val="-3"/>
          <w:w w:val="140"/>
          <w:sz w:val="17"/>
        </w:rPr>
        <w:t>P</w:t>
      </w:r>
      <w:r>
        <w:rPr>
          <w:i/>
          <w:spacing w:val="9"/>
          <w:w w:val="140"/>
          <w:sz w:val="17"/>
        </w:rPr>
        <w:t>I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2"/>
          <w:w w:val="138"/>
          <w:position w:val="-3"/>
          <w:sz w:val="10"/>
        </w:rPr>
        <w:t></w:t>
      </w:r>
      <w:r>
        <w:rPr>
          <w:i/>
          <w:w w:val="138"/>
          <w:position w:val="-3"/>
          <w:sz w:val="10"/>
        </w:rPr>
        <w:t>i</w:t>
      </w:r>
      <w:r>
        <w:rPr>
          <w:i/>
          <w:position w:val="-3"/>
          <w:sz w:val="10"/>
        </w:rPr>
        <w:t>  </w:t>
      </w:r>
      <w:r>
        <w:rPr>
          <w:i/>
          <w:spacing w:val="-9"/>
          <w:position w:val="-3"/>
          <w:sz w:val="10"/>
        </w:rPr>
        <w:t> </w:t>
      </w:r>
      <w:r>
        <w:rPr>
          <w:rFonts w:ascii="Symbol" w:hAnsi="Symbol"/>
          <w:w w:val="140"/>
          <w:sz w:val="17"/>
        </w:rPr>
        <w:t></w:t>
      </w:r>
      <w:r>
        <w:rPr>
          <w:spacing w:val="-2"/>
          <w:sz w:val="17"/>
        </w:rPr>
        <w:t> </w:t>
      </w:r>
      <w:r>
        <w:rPr>
          <w:rFonts w:ascii="Symbol" w:hAnsi="Symbol"/>
          <w:spacing w:val="10"/>
          <w:w w:val="138"/>
          <w:position w:val="-3"/>
          <w:sz w:val="26"/>
        </w:rPr>
        <w:t></w:t>
      </w:r>
      <w:r>
        <w:rPr>
          <w:rFonts w:ascii="Symbol" w:hAnsi="Symbol"/>
          <w:spacing w:val="-2"/>
          <w:w w:val="126"/>
          <w:sz w:val="19"/>
        </w:rPr>
        <w:t></w:t>
      </w:r>
      <w:r>
        <w:rPr>
          <w:spacing w:val="4"/>
          <w:w w:val="138"/>
          <w:position w:val="-3"/>
          <w:sz w:val="10"/>
        </w:rPr>
        <w:t>4</w:t>
      </w:r>
      <w:r>
        <w:rPr>
          <w:i/>
          <w:w w:val="138"/>
          <w:position w:val="-3"/>
          <w:sz w:val="10"/>
        </w:rPr>
        <w:t>i</w:t>
      </w:r>
      <w:r>
        <w:rPr>
          <w:i/>
          <w:spacing w:val="-4"/>
          <w:position w:val="-3"/>
          <w:sz w:val="10"/>
        </w:rPr>
        <w:t> </w:t>
      </w:r>
      <w:r>
        <w:rPr>
          <w:i/>
          <w:w w:val="140"/>
          <w:sz w:val="17"/>
        </w:rPr>
        <w:t>L</w:t>
      </w:r>
      <w:r>
        <w:rPr>
          <w:i/>
          <w:spacing w:val="-2"/>
          <w:w w:val="140"/>
          <w:sz w:val="17"/>
        </w:rPr>
        <w:t>n</w:t>
      </w:r>
      <w:r>
        <w:rPr>
          <w:i/>
          <w:spacing w:val="-3"/>
          <w:w w:val="140"/>
          <w:sz w:val="17"/>
        </w:rPr>
        <w:t>GGD</w:t>
      </w:r>
      <w:r>
        <w:rPr>
          <w:i/>
          <w:spacing w:val="-42"/>
          <w:w w:val="140"/>
          <w:sz w:val="17"/>
        </w:rPr>
        <w:t>P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0"/>
          <w:position w:val="-3"/>
          <w:sz w:val="10"/>
        </w:rPr>
        <w:t> </w:t>
      </w:r>
      <w:r>
        <w:rPr>
          <w:rFonts w:ascii="Symbol" w:hAnsi="Symbol"/>
          <w:spacing w:val="2"/>
          <w:w w:val="138"/>
          <w:position w:val="-3"/>
          <w:sz w:val="10"/>
        </w:rPr>
        <w:t></w:t>
      </w:r>
      <w:r>
        <w:rPr>
          <w:i/>
          <w:w w:val="138"/>
          <w:position w:val="-3"/>
          <w:sz w:val="10"/>
        </w:rPr>
        <w:t>i</w:t>
      </w:r>
    </w:p>
    <w:p>
      <w:pPr>
        <w:spacing w:after="0" w:line="285" w:lineRule="exact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i/>
          <w:spacing w:val="-2"/>
          <w:w w:val="135"/>
          <w:sz w:val="10"/>
        </w:rPr>
        <w:t>i</w:t>
      </w:r>
      <w:r>
        <w:rPr>
          <w:i/>
          <w:spacing w:val="-24"/>
          <w:w w:val="135"/>
          <w:sz w:val="10"/>
        </w:rPr>
        <w:t> </w:t>
      </w:r>
      <w:r>
        <w:rPr>
          <w:rFonts w:ascii="Symbol" w:hAnsi="Symbol"/>
          <w:spacing w:val="-1"/>
          <w:w w:val="135"/>
          <w:sz w:val="10"/>
        </w:rPr>
        <w:t></w:t>
      </w:r>
      <w:r>
        <w:rPr>
          <w:spacing w:val="-1"/>
          <w:w w:val="135"/>
          <w:sz w:val="10"/>
        </w:rPr>
        <w:t>1</w:t>
      </w:r>
    </w:p>
    <w:p>
      <w:pPr>
        <w:spacing w:before="0"/>
        <w:ind w:left="0" w:right="0" w:firstLine="0"/>
        <w:jc w:val="right"/>
        <w:rPr>
          <w:sz w:val="10"/>
        </w:rPr>
      </w:pPr>
      <w:r>
        <w:rPr/>
        <w:br w:type="column"/>
      </w:r>
      <w:r>
        <w:rPr>
          <w:i/>
          <w:spacing w:val="-2"/>
          <w:w w:val="135"/>
          <w:sz w:val="10"/>
        </w:rPr>
        <w:t>i</w:t>
      </w:r>
      <w:r>
        <w:rPr>
          <w:i/>
          <w:spacing w:val="-24"/>
          <w:w w:val="135"/>
          <w:sz w:val="10"/>
        </w:rPr>
        <w:t> </w:t>
      </w:r>
      <w:r>
        <w:rPr>
          <w:rFonts w:ascii="Symbol" w:hAnsi="Symbol"/>
          <w:spacing w:val="-1"/>
          <w:w w:val="135"/>
          <w:sz w:val="10"/>
        </w:rPr>
        <w:t></w:t>
      </w:r>
      <w:r>
        <w:rPr>
          <w:spacing w:val="-1"/>
          <w:w w:val="135"/>
          <w:sz w:val="10"/>
        </w:rPr>
        <w:t>1</w:t>
      </w:r>
    </w:p>
    <w:p>
      <w:pPr>
        <w:spacing w:before="0"/>
        <w:ind w:left="0" w:right="0" w:firstLine="0"/>
        <w:jc w:val="right"/>
        <w:rPr>
          <w:sz w:val="10"/>
        </w:rPr>
      </w:pPr>
      <w:r>
        <w:rPr/>
        <w:br w:type="column"/>
      </w:r>
      <w:r>
        <w:rPr>
          <w:i/>
          <w:w w:val="135"/>
          <w:sz w:val="10"/>
        </w:rPr>
        <w:t>i</w:t>
      </w:r>
      <w:r>
        <w:rPr>
          <w:i/>
          <w:spacing w:val="-15"/>
          <w:w w:val="135"/>
          <w:sz w:val="10"/>
        </w:rPr>
        <w:t> </w:t>
      </w:r>
      <w:r>
        <w:rPr>
          <w:rFonts w:ascii="Symbol" w:hAnsi="Symbol"/>
          <w:w w:val="135"/>
          <w:sz w:val="10"/>
        </w:rPr>
        <w:t></w:t>
      </w:r>
      <w:r>
        <w:rPr>
          <w:w w:val="135"/>
          <w:sz w:val="10"/>
        </w:rPr>
        <w:t>0</w:t>
      </w:r>
    </w:p>
    <w:p>
      <w:pPr>
        <w:spacing w:before="0"/>
        <w:ind w:left="1449" w:right="2639" w:firstLine="0"/>
        <w:jc w:val="center"/>
        <w:rPr>
          <w:sz w:val="10"/>
        </w:rPr>
      </w:pPr>
      <w:r>
        <w:rPr/>
        <w:br w:type="column"/>
      </w:r>
      <w:r>
        <w:rPr>
          <w:i/>
          <w:w w:val="135"/>
          <w:sz w:val="10"/>
        </w:rPr>
        <w:t>i</w:t>
      </w:r>
      <w:r>
        <w:rPr>
          <w:i/>
          <w:spacing w:val="-15"/>
          <w:w w:val="135"/>
          <w:sz w:val="10"/>
        </w:rPr>
        <w:t> </w:t>
      </w:r>
      <w:r>
        <w:rPr>
          <w:rFonts w:ascii="Symbol" w:hAnsi="Symbol"/>
          <w:w w:val="135"/>
          <w:sz w:val="10"/>
        </w:rPr>
        <w:t></w:t>
      </w:r>
      <w:r>
        <w:rPr>
          <w:w w:val="135"/>
          <w:sz w:val="10"/>
        </w:rPr>
        <w:t>0</w:t>
      </w:r>
    </w:p>
    <w:p>
      <w:pPr>
        <w:spacing w:after="0"/>
        <w:jc w:val="center"/>
        <w:rPr>
          <w:sz w:val="10"/>
        </w:rPr>
        <w:sectPr>
          <w:type w:val="continuous"/>
          <w:pgSz w:w="12240" w:h="15840"/>
          <w:pgMar w:top="1500" w:bottom="1200" w:left="1320" w:right="440"/>
          <w:cols w:num="4" w:equalWidth="0">
            <w:col w:w="2670" w:space="40"/>
            <w:col w:w="1636" w:space="39"/>
            <w:col w:w="1729" w:space="39"/>
            <w:col w:w="4327"/>
          </w:cols>
        </w:sectPr>
      </w:pPr>
    </w:p>
    <w:p>
      <w:pPr>
        <w:spacing w:line="285" w:lineRule="exact" w:before="96"/>
        <w:ind w:left="848" w:right="0" w:firstLine="0"/>
        <w:jc w:val="left"/>
        <w:rPr>
          <w:i/>
          <w:sz w:val="10"/>
        </w:rPr>
      </w:pPr>
      <w:r>
        <w:rPr/>
        <w:pict>
          <v:shape style="position:absolute;margin-left:119.8657pt;margin-top:2.642089pt;width:166.8pt;height:5.55pt;mso-position-horizontal-relative:page;mso-position-vertical-relative:paragraph;z-index:-25298944" type="#_x0000_t202" filled="false" stroked="false">
            <v:textbox inset="0,0,0,0">
              <w:txbxContent>
                <w:p>
                  <w:pPr>
                    <w:tabs>
                      <w:tab w:pos="1483" w:val="left" w:leader="none"/>
                      <w:tab w:pos="3274" w:val="left" w:leader="none"/>
                    </w:tabs>
                    <w:spacing w:line="110" w:lineRule="exact" w:before="0"/>
                    <w:ind w:left="0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i/>
                      <w:w w:val="140"/>
                      <w:sz w:val="10"/>
                    </w:rPr>
                    <w:t>k</w:t>
                    <w:tab/>
                    <w:t>k</w:t>
                    <w:tab/>
                  </w:r>
                  <w:r>
                    <w:rPr>
                      <w:i/>
                      <w:spacing w:val="-7"/>
                      <w:w w:val="140"/>
                      <w:sz w:val="10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7"/>
          <w:w w:val="140"/>
          <w:sz w:val="17"/>
        </w:rPr>
        <w:t></w:t>
      </w:r>
      <w:r>
        <w:rPr>
          <w:rFonts w:ascii="Symbol" w:hAnsi="Symbol"/>
          <w:spacing w:val="10"/>
          <w:w w:val="138"/>
          <w:position w:val="-3"/>
          <w:sz w:val="26"/>
        </w:rPr>
        <w:t></w:t>
      </w:r>
      <w:r>
        <w:rPr>
          <w:rFonts w:ascii="Symbol" w:hAnsi="Symbol"/>
          <w:spacing w:val="-6"/>
          <w:w w:val="126"/>
          <w:sz w:val="19"/>
        </w:rPr>
        <w:t></w:t>
      </w:r>
      <w:r>
        <w:rPr>
          <w:spacing w:val="2"/>
          <w:w w:val="138"/>
          <w:position w:val="-3"/>
          <w:sz w:val="10"/>
        </w:rPr>
        <w:t>5</w:t>
      </w:r>
      <w:r>
        <w:rPr>
          <w:i/>
          <w:w w:val="138"/>
          <w:position w:val="-3"/>
          <w:sz w:val="10"/>
        </w:rPr>
        <w:t>i</w:t>
      </w:r>
      <w:r>
        <w:rPr>
          <w:i/>
          <w:spacing w:val="-10"/>
          <w:position w:val="-3"/>
          <w:sz w:val="10"/>
        </w:rPr>
        <w:t> </w:t>
      </w:r>
      <w:r>
        <w:rPr>
          <w:rFonts w:ascii="Symbol" w:hAnsi="Symbol"/>
          <w:spacing w:val="-3"/>
          <w:w w:val="140"/>
          <w:sz w:val="17"/>
        </w:rPr>
        <w:t></w:t>
      </w:r>
      <w:r>
        <w:rPr>
          <w:i/>
          <w:w w:val="140"/>
          <w:sz w:val="17"/>
        </w:rPr>
        <w:t>L</w:t>
      </w:r>
      <w:r>
        <w:rPr>
          <w:i/>
          <w:spacing w:val="-2"/>
          <w:w w:val="140"/>
          <w:sz w:val="17"/>
        </w:rPr>
        <w:t>n</w:t>
      </w:r>
      <w:r>
        <w:rPr>
          <w:i/>
          <w:spacing w:val="20"/>
          <w:w w:val="140"/>
          <w:sz w:val="17"/>
        </w:rPr>
        <w:t>X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3"/>
          <w:w w:val="138"/>
          <w:position w:val="-3"/>
          <w:sz w:val="10"/>
        </w:rPr>
        <w:t></w:t>
      </w:r>
      <w:r>
        <w:rPr>
          <w:i/>
          <w:w w:val="138"/>
          <w:position w:val="-3"/>
          <w:sz w:val="10"/>
        </w:rPr>
        <w:t>i</w:t>
      </w:r>
      <w:r>
        <w:rPr>
          <w:i/>
          <w:position w:val="-3"/>
          <w:sz w:val="10"/>
        </w:rPr>
        <w:t>  </w:t>
      </w:r>
      <w:r>
        <w:rPr>
          <w:i/>
          <w:spacing w:val="-8"/>
          <w:position w:val="-3"/>
          <w:sz w:val="10"/>
        </w:rPr>
        <w:t> </w:t>
      </w:r>
      <w:r>
        <w:rPr>
          <w:rFonts w:ascii="Symbol" w:hAnsi="Symbol"/>
          <w:w w:val="140"/>
          <w:sz w:val="17"/>
        </w:rPr>
        <w:t></w:t>
      </w:r>
      <w:r>
        <w:rPr>
          <w:spacing w:val="-3"/>
          <w:sz w:val="17"/>
        </w:rPr>
        <w:t> </w:t>
      </w:r>
      <w:r>
        <w:rPr>
          <w:rFonts w:ascii="Symbol" w:hAnsi="Symbol"/>
          <w:spacing w:val="10"/>
          <w:w w:val="138"/>
          <w:position w:val="-3"/>
          <w:sz w:val="26"/>
        </w:rPr>
        <w:t></w:t>
      </w:r>
      <w:r>
        <w:rPr>
          <w:rFonts w:ascii="Symbol" w:hAnsi="Symbol"/>
          <w:spacing w:val="-4"/>
          <w:w w:val="126"/>
          <w:sz w:val="19"/>
        </w:rPr>
        <w:t></w:t>
      </w:r>
      <w:r>
        <w:rPr>
          <w:spacing w:val="4"/>
          <w:w w:val="138"/>
          <w:position w:val="-3"/>
          <w:sz w:val="10"/>
        </w:rPr>
        <w:t>6</w:t>
      </w:r>
      <w:r>
        <w:rPr>
          <w:i/>
          <w:w w:val="138"/>
          <w:position w:val="-3"/>
          <w:sz w:val="10"/>
        </w:rPr>
        <w:t>i</w:t>
      </w:r>
      <w:r>
        <w:rPr>
          <w:i/>
          <w:spacing w:val="-10"/>
          <w:position w:val="-3"/>
          <w:sz w:val="10"/>
        </w:rPr>
        <w:t> </w:t>
      </w:r>
      <w:r>
        <w:rPr>
          <w:rFonts w:ascii="Symbol" w:hAnsi="Symbol"/>
          <w:spacing w:val="-3"/>
          <w:w w:val="140"/>
          <w:sz w:val="17"/>
        </w:rPr>
        <w:t></w:t>
      </w:r>
      <w:r>
        <w:rPr>
          <w:i/>
          <w:w w:val="140"/>
          <w:sz w:val="17"/>
        </w:rPr>
        <w:t>L</w:t>
      </w:r>
      <w:r>
        <w:rPr>
          <w:i/>
          <w:spacing w:val="-2"/>
          <w:w w:val="140"/>
          <w:sz w:val="17"/>
        </w:rPr>
        <w:t>n</w:t>
      </w:r>
      <w:r>
        <w:rPr>
          <w:i/>
          <w:spacing w:val="-3"/>
          <w:w w:val="140"/>
          <w:sz w:val="17"/>
        </w:rPr>
        <w:t>O</w:t>
      </w:r>
      <w:r>
        <w:rPr>
          <w:i/>
          <w:spacing w:val="-2"/>
          <w:w w:val="140"/>
          <w:sz w:val="17"/>
        </w:rPr>
        <w:t>p</w:t>
      </w:r>
      <w:r>
        <w:rPr>
          <w:i/>
          <w:spacing w:val="-3"/>
          <w:w w:val="140"/>
          <w:sz w:val="17"/>
        </w:rPr>
        <w:t>e</w:t>
      </w:r>
      <w:r>
        <w:rPr>
          <w:i/>
          <w:spacing w:val="-9"/>
          <w:w w:val="140"/>
          <w:sz w:val="17"/>
        </w:rPr>
        <w:t>n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2"/>
          <w:w w:val="138"/>
          <w:position w:val="-3"/>
          <w:sz w:val="10"/>
        </w:rPr>
        <w:t></w:t>
      </w:r>
      <w:r>
        <w:rPr>
          <w:i/>
          <w:w w:val="138"/>
          <w:position w:val="-3"/>
          <w:sz w:val="10"/>
        </w:rPr>
        <w:t>i</w:t>
      </w:r>
      <w:r>
        <w:rPr>
          <w:i/>
          <w:position w:val="-3"/>
          <w:sz w:val="10"/>
        </w:rPr>
        <w:t>  </w:t>
      </w:r>
      <w:r>
        <w:rPr>
          <w:i/>
          <w:spacing w:val="-8"/>
          <w:position w:val="-3"/>
          <w:sz w:val="10"/>
        </w:rPr>
        <w:t> </w:t>
      </w:r>
      <w:r>
        <w:rPr>
          <w:rFonts w:ascii="Symbol" w:hAnsi="Symbol"/>
          <w:spacing w:val="6"/>
          <w:w w:val="140"/>
          <w:sz w:val="17"/>
        </w:rPr>
        <w:t></w:t>
      </w:r>
      <w:r>
        <w:rPr>
          <w:rFonts w:ascii="Symbol" w:hAnsi="Symbol"/>
          <w:spacing w:val="10"/>
          <w:w w:val="138"/>
          <w:position w:val="-3"/>
          <w:sz w:val="26"/>
        </w:rPr>
        <w:t></w:t>
      </w:r>
      <w:r>
        <w:rPr>
          <w:rFonts w:ascii="Symbol" w:hAnsi="Symbol"/>
          <w:spacing w:val="-4"/>
          <w:w w:val="126"/>
          <w:sz w:val="19"/>
        </w:rPr>
        <w:t></w:t>
      </w:r>
      <w:r>
        <w:rPr>
          <w:spacing w:val="7"/>
          <w:w w:val="138"/>
          <w:position w:val="-3"/>
          <w:sz w:val="10"/>
        </w:rPr>
        <w:t>7</w:t>
      </w:r>
      <w:r>
        <w:rPr>
          <w:i/>
          <w:w w:val="138"/>
          <w:position w:val="-3"/>
          <w:sz w:val="10"/>
        </w:rPr>
        <w:t>i</w:t>
      </w:r>
      <w:r>
        <w:rPr>
          <w:i/>
          <w:spacing w:val="-10"/>
          <w:position w:val="-3"/>
          <w:sz w:val="10"/>
        </w:rPr>
        <w:t> </w:t>
      </w:r>
      <w:r>
        <w:rPr>
          <w:rFonts w:ascii="Symbol" w:hAnsi="Symbol"/>
          <w:spacing w:val="-4"/>
          <w:w w:val="140"/>
          <w:sz w:val="17"/>
        </w:rPr>
        <w:t></w:t>
      </w:r>
      <w:r>
        <w:rPr>
          <w:i/>
          <w:w w:val="140"/>
          <w:sz w:val="17"/>
        </w:rPr>
        <w:t>T</w:t>
      </w:r>
      <w:r>
        <w:rPr>
          <w:i/>
          <w:spacing w:val="-3"/>
          <w:w w:val="140"/>
          <w:sz w:val="17"/>
        </w:rPr>
        <w:t>B</w:t>
      </w:r>
      <w:r>
        <w:rPr>
          <w:i/>
          <w:spacing w:val="-12"/>
          <w:w w:val="140"/>
          <w:sz w:val="17"/>
        </w:rPr>
        <w:t>R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3"/>
          <w:w w:val="138"/>
          <w:position w:val="-3"/>
          <w:sz w:val="10"/>
        </w:rPr>
        <w:t></w:t>
      </w:r>
      <w:r>
        <w:rPr>
          <w:i/>
          <w:w w:val="138"/>
          <w:position w:val="-3"/>
          <w:sz w:val="10"/>
        </w:rPr>
        <w:t>i</w:t>
      </w:r>
      <w:r>
        <w:rPr>
          <w:i/>
          <w:position w:val="-3"/>
          <w:sz w:val="10"/>
        </w:rPr>
        <w:t>  </w:t>
      </w:r>
      <w:r>
        <w:rPr>
          <w:i/>
          <w:spacing w:val="-9"/>
          <w:position w:val="-3"/>
          <w:sz w:val="10"/>
        </w:rPr>
        <w:t> </w:t>
      </w:r>
      <w:r>
        <w:rPr>
          <w:rFonts w:ascii="Symbol" w:hAnsi="Symbol"/>
          <w:w w:val="140"/>
          <w:sz w:val="17"/>
        </w:rPr>
        <w:t></w:t>
      </w:r>
      <w:r>
        <w:rPr>
          <w:spacing w:val="-19"/>
          <w:sz w:val="17"/>
        </w:rPr>
        <w:t> </w:t>
      </w:r>
      <w:r>
        <w:rPr>
          <w:rFonts w:ascii="Symbol" w:hAnsi="Symbol"/>
          <w:spacing w:val="-8"/>
          <w:w w:val="126"/>
          <w:sz w:val="19"/>
        </w:rPr>
        <w:t></w:t>
      </w:r>
      <w:r>
        <w:rPr>
          <w:spacing w:val="3"/>
          <w:w w:val="138"/>
          <w:position w:val="-3"/>
          <w:sz w:val="10"/>
        </w:rPr>
        <w:t>8</w:t>
      </w:r>
      <w:r>
        <w:rPr>
          <w:i/>
          <w:w w:val="138"/>
          <w:position w:val="-3"/>
          <w:sz w:val="10"/>
        </w:rPr>
        <w:t>i</w:t>
      </w:r>
      <w:r>
        <w:rPr>
          <w:i/>
          <w:spacing w:val="-4"/>
          <w:position w:val="-3"/>
          <w:sz w:val="10"/>
        </w:rPr>
        <w:t> </w:t>
      </w:r>
      <w:r>
        <w:rPr>
          <w:i/>
          <w:spacing w:val="-13"/>
          <w:w w:val="140"/>
          <w:sz w:val="17"/>
        </w:rPr>
        <w:t>D</w:t>
      </w:r>
      <w:r>
        <w:rPr>
          <w:i/>
          <w:w w:val="138"/>
          <w:position w:val="-3"/>
          <w:sz w:val="10"/>
        </w:rPr>
        <w:t>i</w:t>
      </w:r>
    </w:p>
    <w:p>
      <w:pPr>
        <w:spacing w:after="0" w:line="285" w:lineRule="exact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i/>
          <w:w w:val="135"/>
          <w:sz w:val="10"/>
        </w:rPr>
        <w:t>i</w:t>
      </w:r>
      <w:r>
        <w:rPr>
          <w:i/>
          <w:spacing w:val="-22"/>
          <w:w w:val="135"/>
          <w:sz w:val="10"/>
        </w:rPr>
        <w:t> </w:t>
      </w:r>
      <w:r>
        <w:rPr>
          <w:rFonts w:ascii="Symbol" w:hAnsi="Symbol"/>
          <w:w w:val="135"/>
          <w:sz w:val="10"/>
        </w:rPr>
        <w:t></w:t>
      </w:r>
      <w:r>
        <w:rPr>
          <w:w w:val="135"/>
          <w:sz w:val="10"/>
        </w:rPr>
        <w:t>0</w:t>
      </w:r>
    </w:p>
    <w:p>
      <w:pPr>
        <w:spacing w:before="0"/>
        <w:ind w:left="0" w:right="38" w:firstLine="0"/>
        <w:jc w:val="right"/>
        <w:rPr>
          <w:sz w:val="10"/>
        </w:rPr>
      </w:pPr>
      <w:r>
        <w:rPr/>
        <w:br w:type="column"/>
      </w:r>
      <w:r>
        <w:rPr>
          <w:i/>
          <w:w w:val="135"/>
          <w:sz w:val="10"/>
        </w:rPr>
        <w:t>i</w:t>
      </w:r>
      <w:r>
        <w:rPr>
          <w:i/>
          <w:spacing w:val="-15"/>
          <w:w w:val="135"/>
          <w:sz w:val="10"/>
        </w:rPr>
        <w:t> </w:t>
      </w:r>
      <w:r>
        <w:rPr>
          <w:rFonts w:ascii="Symbol" w:hAnsi="Symbol"/>
          <w:w w:val="135"/>
          <w:sz w:val="10"/>
        </w:rPr>
        <w:t></w:t>
      </w:r>
      <w:r>
        <w:rPr>
          <w:w w:val="135"/>
          <w:sz w:val="10"/>
        </w:rPr>
        <w:t>0</w:t>
      </w:r>
    </w:p>
    <w:p>
      <w:pPr>
        <w:spacing w:before="0"/>
        <w:ind w:left="1012" w:right="0" w:firstLine="0"/>
        <w:jc w:val="left"/>
        <w:rPr>
          <w:sz w:val="10"/>
        </w:rPr>
      </w:pPr>
      <w:r>
        <w:rPr/>
        <w:br w:type="column"/>
      </w:r>
      <w:r>
        <w:rPr>
          <w:i/>
          <w:w w:val="135"/>
          <w:sz w:val="10"/>
        </w:rPr>
        <w:t>i</w:t>
      </w:r>
      <w:r>
        <w:rPr>
          <w:i/>
          <w:spacing w:val="-15"/>
          <w:w w:val="135"/>
          <w:sz w:val="10"/>
        </w:rPr>
        <w:t> </w:t>
      </w:r>
      <w:r>
        <w:rPr>
          <w:rFonts w:ascii="Symbol" w:hAnsi="Symbol"/>
          <w:w w:val="135"/>
          <w:sz w:val="10"/>
        </w:rPr>
        <w:t></w:t>
      </w:r>
      <w:r>
        <w:rPr>
          <w:w w:val="135"/>
          <w:sz w:val="10"/>
        </w:rPr>
        <w:t>0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3" w:equalWidth="0">
            <w:col w:w="1253" w:space="231"/>
            <w:col w:w="1253" w:space="538"/>
            <w:col w:w="7205"/>
          </w:cols>
        </w:sectPr>
      </w:pPr>
    </w:p>
    <w:p>
      <w:pPr>
        <w:spacing w:before="7"/>
        <w:ind w:left="848" w:right="0" w:firstLine="0"/>
        <w:jc w:val="left"/>
        <w:rPr>
          <w:i/>
          <w:sz w:val="10"/>
        </w:rPr>
      </w:pPr>
      <w:r>
        <w:rPr>
          <w:rFonts w:ascii="Symbol" w:hAnsi="Symbol"/>
          <w:spacing w:val="-18"/>
          <w:w w:val="140"/>
          <w:sz w:val="17"/>
        </w:rPr>
        <w:t></w:t>
      </w:r>
      <w:r>
        <w:rPr>
          <w:rFonts w:ascii="Symbol" w:hAnsi="Symbol"/>
          <w:spacing w:val="-10"/>
          <w:w w:val="126"/>
          <w:sz w:val="19"/>
        </w:rPr>
        <w:t></w:t>
      </w:r>
      <w:r>
        <w:rPr>
          <w:spacing w:val="7"/>
          <w:w w:val="138"/>
          <w:position w:val="-3"/>
          <w:sz w:val="10"/>
        </w:rPr>
        <w:t>1</w:t>
      </w:r>
      <w:r>
        <w:rPr>
          <w:i/>
          <w:w w:val="140"/>
          <w:sz w:val="17"/>
        </w:rPr>
        <w:t>L</w:t>
      </w:r>
      <w:r>
        <w:rPr>
          <w:i/>
          <w:spacing w:val="-2"/>
          <w:w w:val="140"/>
          <w:sz w:val="17"/>
        </w:rPr>
        <w:t>n</w:t>
      </w:r>
      <w:r>
        <w:rPr>
          <w:i/>
          <w:spacing w:val="-2"/>
          <w:w w:val="140"/>
          <w:sz w:val="17"/>
        </w:rPr>
        <w:t>F</w:t>
      </w:r>
      <w:r>
        <w:rPr>
          <w:i/>
          <w:spacing w:val="-3"/>
          <w:w w:val="140"/>
          <w:sz w:val="17"/>
        </w:rPr>
        <w:t>D</w:t>
      </w:r>
      <w:r>
        <w:rPr>
          <w:i/>
          <w:spacing w:val="8"/>
          <w:w w:val="140"/>
          <w:sz w:val="17"/>
        </w:rPr>
        <w:t>I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-8"/>
          <w:w w:val="138"/>
          <w:position w:val="-3"/>
          <w:sz w:val="10"/>
        </w:rPr>
        <w:t></w:t>
      </w:r>
      <w:r>
        <w:rPr>
          <w:w w:val="138"/>
          <w:position w:val="-3"/>
          <w:sz w:val="10"/>
        </w:rPr>
        <w:t>1</w:t>
      </w:r>
      <w:r>
        <w:rPr>
          <w:position w:val="-3"/>
          <w:sz w:val="10"/>
        </w:rPr>
        <w:t> </w:t>
      </w:r>
      <w:r>
        <w:rPr>
          <w:spacing w:val="2"/>
          <w:position w:val="-3"/>
          <w:sz w:val="10"/>
        </w:rPr>
        <w:t> </w:t>
      </w:r>
      <w:r>
        <w:rPr>
          <w:rFonts w:ascii="Symbol" w:hAnsi="Symbol"/>
          <w:spacing w:val="16"/>
          <w:w w:val="140"/>
          <w:sz w:val="17"/>
        </w:rPr>
        <w:t></w:t>
      </w:r>
      <w:r>
        <w:rPr>
          <w:rFonts w:ascii="Symbol" w:hAnsi="Symbol"/>
          <w:spacing w:val="4"/>
          <w:w w:val="126"/>
          <w:sz w:val="19"/>
        </w:rPr>
        <w:t></w:t>
      </w:r>
      <w:r>
        <w:rPr>
          <w:w w:val="138"/>
          <w:position w:val="-3"/>
          <w:sz w:val="10"/>
        </w:rPr>
        <w:t>2</w:t>
      </w:r>
      <w:r>
        <w:rPr>
          <w:spacing w:val="-7"/>
          <w:position w:val="-3"/>
          <w:sz w:val="10"/>
        </w:rPr>
        <w:t> </w:t>
      </w:r>
      <w:r>
        <w:rPr>
          <w:i/>
          <w:w w:val="140"/>
          <w:sz w:val="17"/>
        </w:rPr>
        <w:t>L</w:t>
      </w:r>
      <w:r>
        <w:rPr>
          <w:i/>
          <w:spacing w:val="-2"/>
          <w:w w:val="140"/>
          <w:sz w:val="17"/>
        </w:rPr>
        <w:t>n</w:t>
      </w:r>
      <w:r>
        <w:rPr>
          <w:i/>
          <w:w w:val="140"/>
          <w:sz w:val="17"/>
        </w:rPr>
        <w:t>N</w:t>
      </w:r>
      <w:r>
        <w:rPr>
          <w:i/>
          <w:spacing w:val="-3"/>
          <w:w w:val="140"/>
          <w:sz w:val="17"/>
        </w:rPr>
        <w:t>E</w:t>
      </w:r>
      <w:r>
        <w:rPr>
          <w:i/>
          <w:spacing w:val="-13"/>
          <w:w w:val="140"/>
          <w:sz w:val="17"/>
        </w:rPr>
        <w:t>R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-9"/>
          <w:w w:val="138"/>
          <w:position w:val="-3"/>
          <w:sz w:val="10"/>
        </w:rPr>
        <w:t></w:t>
      </w:r>
      <w:r>
        <w:rPr>
          <w:w w:val="138"/>
          <w:position w:val="-3"/>
          <w:sz w:val="10"/>
        </w:rPr>
        <w:t>1</w:t>
      </w:r>
      <w:r>
        <w:rPr>
          <w:position w:val="-3"/>
          <w:sz w:val="10"/>
        </w:rPr>
        <w:t> </w:t>
      </w:r>
      <w:r>
        <w:rPr>
          <w:spacing w:val="2"/>
          <w:position w:val="-3"/>
          <w:sz w:val="10"/>
        </w:rPr>
        <w:t> </w:t>
      </w:r>
      <w:r>
        <w:rPr>
          <w:rFonts w:ascii="Symbol" w:hAnsi="Symbol"/>
          <w:spacing w:val="16"/>
          <w:w w:val="140"/>
          <w:sz w:val="17"/>
        </w:rPr>
        <w:t></w:t>
      </w:r>
      <w:r>
        <w:rPr>
          <w:rFonts w:ascii="Symbol" w:hAnsi="Symbol"/>
          <w:w w:val="126"/>
          <w:sz w:val="19"/>
        </w:rPr>
        <w:t></w:t>
      </w:r>
      <w:r>
        <w:rPr>
          <w:w w:val="138"/>
          <w:position w:val="-3"/>
          <w:sz w:val="10"/>
        </w:rPr>
        <w:t>3</w:t>
      </w:r>
      <w:r>
        <w:rPr>
          <w:spacing w:val="-12"/>
          <w:position w:val="-3"/>
          <w:sz w:val="10"/>
        </w:rPr>
        <w:t> </w:t>
      </w:r>
      <w:r>
        <w:rPr>
          <w:i/>
          <w:w w:val="140"/>
          <w:sz w:val="17"/>
        </w:rPr>
        <w:t>L</w:t>
      </w:r>
      <w:r>
        <w:rPr>
          <w:i/>
          <w:spacing w:val="-2"/>
          <w:w w:val="140"/>
          <w:sz w:val="17"/>
        </w:rPr>
        <w:t>n</w:t>
      </w:r>
      <w:r>
        <w:rPr>
          <w:i/>
          <w:w w:val="140"/>
          <w:sz w:val="17"/>
        </w:rPr>
        <w:t>C</w:t>
      </w:r>
      <w:r>
        <w:rPr>
          <w:i/>
          <w:spacing w:val="-3"/>
          <w:w w:val="140"/>
          <w:sz w:val="17"/>
        </w:rPr>
        <w:t>P</w:t>
      </w:r>
      <w:r>
        <w:rPr>
          <w:i/>
          <w:spacing w:val="10"/>
          <w:w w:val="140"/>
          <w:sz w:val="17"/>
        </w:rPr>
        <w:t>I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-9"/>
          <w:w w:val="138"/>
          <w:position w:val="-3"/>
          <w:sz w:val="10"/>
        </w:rPr>
        <w:t></w:t>
      </w:r>
      <w:r>
        <w:rPr>
          <w:w w:val="138"/>
          <w:position w:val="-3"/>
          <w:sz w:val="10"/>
        </w:rPr>
        <w:t>1</w:t>
      </w:r>
      <w:r>
        <w:rPr>
          <w:position w:val="-3"/>
          <w:sz w:val="10"/>
        </w:rPr>
        <w:t> </w:t>
      </w:r>
      <w:r>
        <w:rPr>
          <w:spacing w:val="2"/>
          <w:position w:val="-3"/>
          <w:sz w:val="10"/>
        </w:rPr>
        <w:t> </w:t>
      </w:r>
      <w:r>
        <w:rPr>
          <w:rFonts w:ascii="Symbol" w:hAnsi="Symbol"/>
          <w:spacing w:val="16"/>
          <w:w w:val="140"/>
          <w:sz w:val="17"/>
        </w:rPr>
        <w:t></w:t>
      </w:r>
      <w:r>
        <w:rPr>
          <w:rFonts w:ascii="Symbol" w:hAnsi="Symbol"/>
          <w:spacing w:val="4"/>
          <w:w w:val="126"/>
          <w:sz w:val="19"/>
        </w:rPr>
        <w:t></w:t>
      </w:r>
      <w:r>
        <w:rPr>
          <w:w w:val="138"/>
          <w:position w:val="-3"/>
          <w:sz w:val="10"/>
        </w:rPr>
        <w:t>4</w:t>
      </w:r>
      <w:r>
        <w:rPr>
          <w:spacing w:val="3"/>
          <w:position w:val="-3"/>
          <w:sz w:val="10"/>
        </w:rPr>
        <w:t> </w:t>
      </w:r>
      <w:r>
        <w:rPr>
          <w:i/>
          <w:spacing w:val="21"/>
          <w:w w:val="140"/>
          <w:sz w:val="17"/>
        </w:rPr>
        <w:t>X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-9"/>
          <w:w w:val="138"/>
          <w:position w:val="-3"/>
          <w:sz w:val="10"/>
        </w:rPr>
        <w:t></w:t>
      </w:r>
      <w:r>
        <w:rPr>
          <w:w w:val="138"/>
          <w:position w:val="-3"/>
          <w:sz w:val="10"/>
        </w:rPr>
        <w:t>1</w:t>
      </w:r>
      <w:r>
        <w:rPr>
          <w:position w:val="-3"/>
          <w:sz w:val="10"/>
        </w:rPr>
        <w:t> </w:t>
      </w:r>
      <w:r>
        <w:rPr>
          <w:spacing w:val="2"/>
          <w:position w:val="-3"/>
          <w:sz w:val="10"/>
        </w:rPr>
        <w:t> </w:t>
      </w:r>
      <w:r>
        <w:rPr>
          <w:rFonts w:ascii="Symbol" w:hAnsi="Symbol"/>
          <w:spacing w:val="16"/>
          <w:w w:val="140"/>
          <w:sz w:val="17"/>
        </w:rPr>
        <w:t></w:t>
      </w:r>
      <w:r>
        <w:rPr>
          <w:rFonts w:ascii="Symbol" w:hAnsi="Symbol"/>
          <w:w w:val="126"/>
          <w:sz w:val="19"/>
        </w:rPr>
        <w:t></w:t>
      </w:r>
      <w:r>
        <w:rPr>
          <w:w w:val="138"/>
          <w:position w:val="-3"/>
          <w:sz w:val="10"/>
        </w:rPr>
        <w:t>5</w:t>
      </w:r>
      <w:r>
        <w:rPr>
          <w:i/>
          <w:spacing w:val="-3"/>
          <w:w w:val="140"/>
          <w:sz w:val="17"/>
        </w:rPr>
        <w:t>GGD</w:t>
      </w:r>
      <w:r>
        <w:rPr>
          <w:i/>
          <w:spacing w:val="-42"/>
          <w:w w:val="140"/>
          <w:sz w:val="17"/>
        </w:rPr>
        <w:t>P</w:t>
      </w:r>
      <w:r>
        <w:rPr>
          <w:i/>
          <w:w w:val="138"/>
          <w:position w:val="-3"/>
          <w:sz w:val="10"/>
        </w:rPr>
        <w:t>t</w:t>
      </w:r>
      <w:r>
        <w:rPr>
          <w:i/>
          <w:spacing w:val="-11"/>
          <w:position w:val="-3"/>
          <w:sz w:val="10"/>
        </w:rPr>
        <w:t> </w:t>
      </w:r>
      <w:r>
        <w:rPr>
          <w:rFonts w:ascii="Symbol" w:hAnsi="Symbol"/>
          <w:spacing w:val="-9"/>
          <w:w w:val="138"/>
          <w:position w:val="-3"/>
          <w:sz w:val="10"/>
        </w:rPr>
        <w:t></w:t>
      </w:r>
      <w:r>
        <w:rPr>
          <w:w w:val="138"/>
          <w:position w:val="-3"/>
          <w:sz w:val="10"/>
        </w:rPr>
        <w:t>1</w:t>
      </w:r>
      <w:r>
        <w:rPr>
          <w:position w:val="-3"/>
          <w:sz w:val="10"/>
        </w:rPr>
        <w:t> </w:t>
      </w:r>
      <w:r>
        <w:rPr>
          <w:spacing w:val="2"/>
          <w:position w:val="-3"/>
          <w:sz w:val="10"/>
        </w:rPr>
        <w:t> </w:t>
      </w:r>
      <w:r>
        <w:rPr>
          <w:rFonts w:ascii="Symbol" w:hAnsi="Symbol"/>
          <w:w w:val="140"/>
          <w:sz w:val="17"/>
        </w:rPr>
        <w:t></w:t>
      </w:r>
      <w:r>
        <w:rPr>
          <w:spacing w:val="3"/>
          <w:sz w:val="17"/>
        </w:rPr>
        <w:t> </w:t>
      </w:r>
      <w:r>
        <w:rPr>
          <w:rFonts w:ascii="Symbol" w:hAnsi="Symbol"/>
          <w:spacing w:val="2"/>
          <w:w w:val="126"/>
          <w:sz w:val="19"/>
        </w:rPr>
        <w:t></w:t>
      </w:r>
      <w:r>
        <w:rPr>
          <w:i/>
          <w:w w:val="138"/>
          <w:position w:val="-3"/>
          <w:sz w:val="10"/>
        </w:rPr>
        <w:t>i</w:t>
      </w:r>
    </w:p>
    <w:p>
      <w:pPr>
        <w:pStyle w:val="Heading2"/>
        <w:spacing w:before="253"/>
      </w:pPr>
      <w:r>
        <w:rPr/>
        <w:t>Exchange</w:t>
      </w:r>
      <w:r>
        <w:rPr>
          <w:spacing w:val="-3"/>
        </w:rPr>
        <w:t> </w:t>
      </w:r>
      <w:r>
        <w:rPr/>
        <w:t>Rate</w:t>
      </w:r>
      <w:r>
        <w:rPr>
          <w:spacing w:val="-1"/>
        </w:rPr>
        <w:t> </w:t>
      </w:r>
      <w:r>
        <w:rPr/>
        <w:t>Pass-through</w:t>
      </w:r>
      <w:r>
        <w:rPr>
          <w:spacing w:val="-2"/>
        </w:rPr>
        <w:t> </w:t>
      </w:r>
      <w:r>
        <w:rPr/>
        <w:t>Equation</w:t>
      </w:r>
    </w:p>
    <w:p>
      <w:pPr>
        <w:tabs>
          <w:tab w:pos="4940" w:val="left" w:leader="none"/>
          <w:tab w:pos="7127" w:val="left" w:leader="none"/>
        </w:tabs>
        <w:spacing w:line="45" w:lineRule="exact" w:before="272"/>
        <w:ind w:left="2840" w:right="0" w:firstLine="0"/>
        <w:jc w:val="left"/>
        <w:rPr>
          <w:i/>
          <w:sz w:val="10"/>
        </w:rPr>
      </w:pPr>
      <w:r>
        <w:rPr>
          <w:i/>
          <w:w w:val="170"/>
          <w:sz w:val="10"/>
        </w:rPr>
        <w:t>k</w:t>
        <w:tab/>
        <w:t>k</w:t>
        <w:tab/>
        <w:t>k</w:t>
      </w:r>
    </w:p>
    <w:p>
      <w:pPr>
        <w:spacing w:after="0" w:line="45" w:lineRule="exact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4615" w:val="left" w:leader="none"/>
          <w:tab w:pos="6802" w:val="left" w:leader="none"/>
        </w:tabs>
        <w:spacing w:line="179" w:lineRule="exact" w:before="0"/>
        <w:ind w:left="856" w:right="0" w:firstLine="0"/>
        <w:jc w:val="left"/>
        <w:rPr>
          <w:rFonts w:ascii="Symbol" w:hAnsi="Symbol"/>
          <w:sz w:val="21"/>
        </w:rPr>
      </w:pPr>
      <w:r>
        <w:rPr>
          <w:rFonts w:ascii="Symbol" w:hAnsi="Symbol"/>
          <w:w w:val="160"/>
          <w:sz w:val="18"/>
        </w:rPr>
        <w:t></w:t>
      </w:r>
      <w:r>
        <w:rPr>
          <w:i/>
          <w:w w:val="160"/>
          <w:sz w:val="18"/>
        </w:rPr>
        <w:t>LnCPI </w:t>
      </w:r>
      <w:r>
        <w:rPr>
          <w:i/>
          <w:spacing w:val="21"/>
          <w:w w:val="160"/>
          <w:sz w:val="18"/>
        </w:rPr>
        <w:t> </w:t>
      </w:r>
      <w:r>
        <w:rPr>
          <w:rFonts w:ascii="Symbol" w:hAnsi="Symbol"/>
          <w:w w:val="160"/>
          <w:sz w:val="18"/>
        </w:rPr>
        <w:t></w:t>
      </w:r>
      <w:r>
        <w:rPr>
          <w:spacing w:val="-20"/>
          <w:w w:val="160"/>
          <w:sz w:val="18"/>
        </w:rPr>
        <w:t> </w:t>
      </w:r>
      <w:r>
        <w:rPr>
          <w:rFonts w:ascii="Symbol" w:hAnsi="Symbol"/>
          <w:w w:val="160"/>
          <w:sz w:val="21"/>
        </w:rPr>
        <w:t></w:t>
      </w:r>
      <w:r>
        <w:rPr>
          <w:w w:val="160"/>
          <w:sz w:val="21"/>
        </w:rPr>
        <w:t> </w:t>
      </w:r>
      <w:r>
        <w:rPr>
          <w:spacing w:val="29"/>
          <w:w w:val="160"/>
          <w:sz w:val="21"/>
        </w:rPr>
        <w:t> </w:t>
      </w:r>
      <w:r>
        <w:rPr>
          <w:rFonts w:ascii="Symbol" w:hAnsi="Symbol"/>
          <w:w w:val="160"/>
          <w:sz w:val="18"/>
        </w:rPr>
        <w:t></w:t>
      </w:r>
      <w:r>
        <w:rPr>
          <w:spacing w:val="-22"/>
          <w:w w:val="160"/>
          <w:sz w:val="18"/>
        </w:rPr>
        <w:t> </w:t>
      </w:r>
      <w:r>
        <w:rPr>
          <w:rFonts w:ascii="Symbol" w:hAnsi="Symbol"/>
          <w:spacing w:val="10"/>
          <w:w w:val="160"/>
          <w:position w:val="-3"/>
          <w:sz w:val="28"/>
        </w:rPr>
        <w:t></w:t>
      </w:r>
      <w:r>
        <w:rPr>
          <w:rFonts w:ascii="Symbol" w:hAnsi="Symbol"/>
          <w:spacing w:val="10"/>
          <w:w w:val="160"/>
          <w:sz w:val="21"/>
        </w:rPr>
        <w:t></w:t>
      </w:r>
      <w:r>
        <w:rPr>
          <w:spacing w:val="80"/>
          <w:w w:val="160"/>
          <w:sz w:val="21"/>
        </w:rPr>
        <w:t> </w:t>
      </w:r>
      <w:r>
        <w:rPr>
          <w:rFonts w:ascii="Symbol" w:hAnsi="Symbol"/>
          <w:w w:val="160"/>
          <w:sz w:val="18"/>
        </w:rPr>
        <w:t></w:t>
      </w:r>
      <w:r>
        <w:rPr>
          <w:i/>
          <w:w w:val="160"/>
          <w:sz w:val="18"/>
        </w:rPr>
        <w:t>LnCPI</w:t>
        <w:tab/>
      </w:r>
      <w:r>
        <w:rPr>
          <w:rFonts w:ascii="Symbol" w:hAnsi="Symbol"/>
          <w:w w:val="160"/>
          <w:sz w:val="18"/>
        </w:rPr>
        <w:t></w:t>
      </w:r>
      <w:r>
        <w:rPr>
          <w:spacing w:val="-22"/>
          <w:w w:val="160"/>
          <w:sz w:val="18"/>
        </w:rPr>
        <w:t> </w:t>
      </w:r>
      <w:r>
        <w:rPr>
          <w:rFonts w:ascii="Symbol" w:hAnsi="Symbol"/>
          <w:spacing w:val="10"/>
          <w:w w:val="160"/>
          <w:position w:val="-3"/>
          <w:sz w:val="28"/>
        </w:rPr>
        <w:t></w:t>
      </w:r>
      <w:r>
        <w:rPr>
          <w:rFonts w:ascii="Symbol" w:hAnsi="Symbol"/>
          <w:spacing w:val="10"/>
          <w:w w:val="160"/>
          <w:sz w:val="21"/>
        </w:rPr>
        <w:t></w:t>
      </w:r>
      <w:r>
        <w:rPr>
          <w:spacing w:val="10"/>
          <w:w w:val="160"/>
          <w:sz w:val="21"/>
        </w:rPr>
        <w:t> </w:t>
      </w:r>
      <w:r>
        <w:rPr>
          <w:spacing w:val="18"/>
          <w:w w:val="160"/>
          <w:sz w:val="21"/>
        </w:rPr>
        <w:t> </w:t>
      </w:r>
      <w:r>
        <w:rPr>
          <w:rFonts w:ascii="Symbol" w:hAnsi="Symbol"/>
          <w:w w:val="160"/>
          <w:sz w:val="18"/>
        </w:rPr>
        <w:t></w:t>
      </w:r>
      <w:r>
        <w:rPr>
          <w:i/>
          <w:w w:val="160"/>
          <w:sz w:val="18"/>
        </w:rPr>
        <w:t>LnNER</w:t>
        <w:tab/>
      </w:r>
      <w:r>
        <w:rPr>
          <w:rFonts w:ascii="Symbol" w:hAnsi="Symbol"/>
          <w:w w:val="155"/>
          <w:sz w:val="18"/>
        </w:rPr>
        <w:t></w:t>
      </w:r>
      <w:r>
        <w:rPr>
          <w:spacing w:val="-15"/>
          <w:w w:val="155"/>
          <w:sz w:val="18"/>
        </w:rPr>
        <w:t> </w:t>
      </w:r>
      <w:r>
        <w:rPr>
          <w:rFonts w:ascii="Symbol" w:hAnsi="Symbol"/>
          <w:w w:val="155"/>
          <w:position w:val="-3"/>
          <w:sz w:val="28"/>
        </w:rPr>
        <w:t></w:t>
      </w:r>
      <w:r>
        <w:rPr>
          <w:rFonts w:ascii="Symbol" w:hAnsi="Symbol"/>
          <w:w w:val="155"/>
          <w:sz w:val="21"/>
        </w:rPr>
        <w:t></w:t>
      </w:r>
    </w:p>
    <w:p>
      <w:pPr>
        <w:spacing w:line="121" w:lineRule="exact" w:before="57"/>
        <w:ind w:left="143" w:right="0" w:firstLine="0"/>
        <w:jc w:val="left"/>
        <w:rPr>
          <w:rFonts w:ascii="Symbol" w:hAnsi="Symbol"/>
          <w:sz w:val="18"/>
        </w:rPr>
      </w:pPr>
      <w:r>
        <w:rPr/>
        <w:br w:type="column"/>
      </w:r>
      <w:r>
        <w:rPr>
          <w:rFonts w:ascii="Symbol" w:hAnsi="Symbol"/>
          <w:w w:val="165"/>
          <w:sz w:val="18"/>
        </w:rPr>
        <w:t></w:t>
      </w:r>
      <w:r>
        <w:rPr>
          <w:i/>
          <w:w w:val="165"/>
          <w:sz w:val="18"/>
        </w:rPr>
        <w:t>LnGDP</w:t>
      </w:r>
      <w:r>
        <w:rPr>
          <w:i/>
          <w:w w:val="165"/>
          <w:sz w:val="18"/>
          <w:vertAlign w:val="superscript"/>
        </w:rPr>
        <w:t>d</w:t>
      </w:r>
      <w:r>
        <w:rPr>
          <w:i/>
          <w:spacing w:val="23"/>
          <w:w w:val="165"/>
          <w:sz w:val="18"/>
          <w:vertAlign w:val="baseline"/>
        </w:rPr>
        <w:t> </w:t>
      </w:r>
      <w:r>
        <w:rPr>
          <w:rFonts w:ascii="Symbol" w:hAnsi="Symbol"/>
          <w:w w:val="165"/>
          <w:sz w:val="18"/>
          <w:vertAlign w:val="baseline"/>
        </w:rPr>
        <w:t></w:t>
      </w:r>
    </w:p>
    <w:p>
      <w:pPr>
        <w:spacing w:after="0" w:line="121" w:lineRule="exact"/>
        <w:jc w:val="left"/>
        <w:rPr>
          <w:rFonts w:ascii="Symbol" w:hAnsi="Symbol"/>
          <w:sz w:val="18"/>
        </w:rPr>
        <w:sectPr>
          <w:type w:val="continuous"/>
          <w:pgSz w:w="12240" w:h="15840"/>
          <w:pgMar w:top="1500" w:bottom="1200" w:left="1320" w:right="440"/>
          <w:cols w:num="2" w:equalWidth="0">
            <w:col w:w="7475" w:space="40"/>
            <w:col w:w="2965"/>
          </w:cols>
        </w:sectPr>
      </w:pPr>
    </w:p>
    <w:p>
      <w:pPr>
        <w:tabs>
          <w:tab w:pos="2352" w:val="left" w:leader="none"/>
          <w:tab w:pos="3205" w:val="left" w:leader="none"/>
          <w:tab w:pos="4322" w:val="left" w:leader="none"/>
        </w:tabs>
        <w:spacing w:line="252" w:lineRule="auto" w:before="7"/>
        <w:ind w:left="2774" w:right="0" w:hanging="947"/>
        <w:jc w:val="left"/>
        <w:rPr>
          <w:sz w:val="10"/>
        </w:rPr>
      </w:pPr>
      <w:r>
        <w:rPr>
          <w:i/>
          <w:w w:val="170"/>
          <w:sz w:val="10"/>
        </w:rPr>
        <w:t>t</w:t>
        <w:tab/>
      </w:r>
      <w:r>
        <w:rPr>
          <w:w w:val="170"/>
          <w:sz w:val="10"/>
        </w:rPr>
        <w:t>0</w:t>
        <w:tab/>
        <w:tab/>
        <w:t>1</w:t>
      </w:r>
      <w:r>
        <w:rPr>
          <w:i/>
          <w:w w:val="170"/>
          <w:sz w:val="10"/>
        </w:rPr>
        <w:t>i</w:t>
        <w:tab/>
      </w:r>
      <w:r>
        <w:rPr>
          <w:i/>
          <w:spacing w:val="-6"/>
          <w:w w:val="170"/>
          <w:sz w:val="10"/>
        </w:rPr>
        <w:t>t </w:t>
      </w:r>
      <w:r>
        <w:rPr>
          <w:rFonts w:ascii="Symbol" w:hAnsi="Symbol"/>
          <w:spacing w:val="-5"/>
          <w:w w:val="170"/>
          <w:sz w:val="10"/>
        </w:rPr>
        <w:t></w:t>
      </w:r>
      <w:r>
        <w:rPr>
          <w:i/>
          <w:spacing w:val="-5"/>
          <w:w w:val="170"/>
          <w:sz w:val="10"/>
        </w:rPr>
        <w:t>i</w:t>
      </w:r>
      <w:r>
        <w:rPr>
          <w:i/>
          <w:spacing w:val="-41"/>
          <w:w w:val="170"/>
          <w:sz w:val="10"/>
        </w:rPr>
        <w:t> </w:t>
      </w:r>
      <w:r>
        <w:rPr>
          <w:i/>
          <w:w w:val="170"/>
          <w:sz w:val="10"/>
        </w:rPr>
        <w:t>i</w:t>
      </w:r>
      <w:r>
        <w:rPr>
          <w:i/>
          <w:spacing w:val="-31"/>
          <w:w w:val="170"/>
          <w:sz w:val="10"/>
        </w:rPr>
        <w:t> </w:t>
      </w:r>
      <w:r>
        <w:rPr>
          <w:rFonts w:ascii="Symbol" w:hAnsi="Symbol"/>
          <w:w w:val="170"/>
          <w:sz w:val="10"/>
        </w:rPr>
        <w:t></w:t>
      </w:r>
      <w:r>
        <w:rPr>
          <w:w w:val="170"/>
          <w:sz w:val="10"/>
        </w:rPr>
        <w:t>1</w:t>
      </w:r>
    </w:p>
    <w:p>
      <w:pPr>
        <w:spacing w:before="136"/>
        <w:ind w:left="288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4"/>
          <w:w w:val="170"/>
          <w:sz w:val="10"/>
        </w:rPr>
        <w:t>i</w:t>
      </w:r>
      <w:r>
        <w:rPr>
          <w:i/>
          <w:spacing w:val="-30"/>
          <w:w w:val="170"/>
          <w:sz w:val="10"/>
        </w:rPr>
        <w:t> </w:t>
      </w:r>
      <w:r>
        <w:rPr>
          <w:rFonts w:ascii="Symbol" w:hAnsi="Symbol"/>
          <w:spacing w:val="-4"/>
          <w:w w:val="170"/>
          <w:sz w:val="10"/>
        </w:rPr>
        <w:t></w:t>
      </w:r>
      <w:r>
        <w:rPr>
          <w:spacing w:val="-4"/>
          <w:w w:val="170"/>
          <w:sz w:val="10"/>
        </w:rPr>
        <w:t>0</w:t>
      </w:r>
    </w:p>
    <w:p>
      <w:pPr>
        <w:tabs>
          <w:tab w:pos="1362" w:val="left" w:leader="none"/>
        </w:tabs>
        <w:spacing w:before="7"/>
        <w:ind w:left="177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70"/>
          <w:sz w:val="10"/>
        </w:rPr>
        <w:t>2</w:t>
      </w:r>
      <w:r>
        <w:rPr>
          <w:i/>
          <w:w w:val="170"/>
          <w:sz w:val="10"/>
        </w:rPr>
        <w:t>i</w:t>
        <w:tab/>
      </w:r>
      <w:r>
        <w:rPr>
          <w:i/>
          <w:spacing w:val="-6"/>
          <w:w w:val="170"/>
          <w:sz w:val="10"/>
        </w:rPr>
        <w:t>t</w:t>
      </w:r>
      <w:r>
        <w:rPr>
          <w:i/>
          <w:spacing w:val="-22"/>
          <w:w w:val="170"/>
          <w:sz w:val="10"/>
        </w:rPr>
        <w:t> </w:t>
      </w:r>
      <w:r>
        <w:rPr>
          <w:rFonts w:ascii="Symbol" w:hAnsi="Symbol"/>
          <w:spacing w:val="-6"/>
          <w:w w:val="170"/>
          <w:sz w:val="10"/>
        </w:rPr>
        <w:t></w:t>
      </w:r>
      <w:r>
        <w:rPr>
          <w:i/>
          <w:spacing w:val="-6"/>
          <w:w w:val="170"/>
          <w:sz w:val="10"/>
        </w:rPr>
        <w:t>i</w:t>
      </w:r>
    </w:p>
    <w:p>
      <w:pPr>
        <w:spacing w:before="15"/>
        <w:ind w:left="746" w:right="0" w:firstLine="0"/>
        <w:jc w:val="left"/>
        <w:rPr>
          <w:i/>
          <w:sz w:val="10"/>
        </w:rPr>
      </w:pPr>
      <w:r>
        <w:rPr/>
        <w:br w:type="column"/>
      </w:r>
      <w:r>
        <w:rPr>
          <w:w w:val="170"/>
          <w:sz w:val="10"/>
        </w:rPr>
        <w:t>3</w:t>
      </w:r>
      <w:r>
        <w:rPr>
          <w:i/>
          <w:w w:val="170"/>
          <w:sz w:val="10"/>
        </w:rPr>
        <w:t>i</w:t>
      </w:r>
    </w:p>
    <w:p>
      <w:pPr>
        <w:spacing w:before="6"/>
        <w:ind w:left="288" w:right="0" w:firstLine="0"/>
        <w:jc w:val="left"/>
        <w:rPr>
          <w:sz w:val="10"/>
        </w:rPr>
      </w:pPr>
      <w:r>
        <w:rPr>
          <w:i/>
          <w:w w:val="170"/>
          <w:sz w:val="10"/>
        </w:rPr>
        <w:t>i</w:t>
      </w:r>
      <w:r>
        <w:rPr>
          <w:i/>
          <w:spacing w:val="-29"/>
          <w:w w:val="170"/>
          <w:sz w:val="10"/>
        </w:rPr>
        <w:t> </w:t>
      </w:r>
      <w:r>
        <w:rPr>
          <w:rFonts w:ascii="Symbol" w:hAnsi="Symbol"/>
          <w:w w:val="170"/>
          <w:sz w:val="10"/>
        </w:rPr>
        <w:t></w:t>
      </w:r>
      <w:r>
        <w:rPr>
          <w:w w:val="170"/>
          <w:sz w:val="10"/>
        </w:rPr>
        <w:t>0</w:t>
      </w:r>
    </w:p>
    <w:p>
      <w:pPr>
        <w:spacing w:before="56"/>
        <w:ind w:left="1052" w:right="1565" w:firstLine="0"/>
        <w:jc w:val="center"/>
        <w:rPr>
          <w:i/>
          <w:sz w:val="8"/>
        </w:rPr>
      </w:pPr>
      <w:r>
        <w:rPr/>
        <w:br w:type="column"/>
      </w:r>
      <w:r>
        <w:rPr>
          <w:i/>
          <w:spacing w:val="-1"/>
          <w:w w:val="155"/>
          <w:sz w:val="8"/>
        </w:rPr>
        <w:t>t</w:t>
      </w:r>
      <w:r>
        <w:rPr>
          <w:i/>
          <w:spacing w:val="-22"/>
          <w:w w:val="155"/>
          <w:sz w:val="8"/>
        </w:rPr>
        <w:t> </w:t>
      </w:r>
      <w:r>
        <w:rPr>
          <w:rFonts w:ascii="Symbol" w:hAnsi="Symbol"/>
          <w:spacing w:val="-1"/>
          <w:w w:val="155"/>
          <w:sz w:val="8"/>
        </w:rPr>
        <w:t></w:t>
      </w:r>
      <w:r>
        <w:rPr>
          <w:i/>
          <w:spacing w:val="-1"/>
          <w:w w:val="155"/>
          <w:sz w:val="8"/>
        </w:rPr>
        <w:t>i</w:t>
      </w:r>
      <w:r>
        <w:rPr>
          <w:i/>
          <w:spacing w:val="-1"/>
          <w:sz w:val="8"/>
        </w:rPr>
        <w:t>   </w:t>
      </w:r>
      <w:r>
        <w:rPr>
          <w:i/>
          <w:spacing w:val="-4"/>
          <w:sz w:val="8"/>
        </w:rPr>
        <w:t> </w:t>
      </w:r>
    </w:p>
    <w:p>
      <w:pPr>
        <w:spacing w:after="0"/>
        <w:jc w:val="center"/>
        <w:rPr>
          <w:sz w:val="8"/>
        </w:rPr>
        <w:sectPr>
          <w:type w:val="continuous"/>
          <w:pgSz w:w="12240" w:h="15840"/>
          <w:pgMar w:top="1500" w:bottom="1200" w:left="1320" w:right="440"/>
          <w:cols w:num="5" w:equalWidth="0">
            <w:col w:w="4533" w:space="40"/>
            <w:col w:w="535" w:space="39"/>
            <w:col w:w="1573" w:space="39"/>
            <w:col w:w="880" w:space="40"/>
            <w:col w:w="2801"/>
          </w:cols>
        </w:sectPr>
      </w:pPr>
    </w:p>
    <w:p>
      <w:pPr>
        <w:spacing w:line="310" w:lineRule="exact" w:before="97"/>
        <w:ind w:left="856" w:right="0" w:firstLine="0"/>
        <w:jc w:val="left"/>
        <w:rPr>
          <w:rFonts w:ascii="Symbol" w:hAnsi="Symbol"/>
          <w:sz w:val="18"/>
        </w:rPr>
      </w:pPr>
      <w:r>
        <w:rPr/>
        <w:pict>
          <v:shape style="position:absolute;margin-left:122.987221pt;margin-top:2.644734pt;width:214.35pt;height:6pt;mso-position-horizontal-relative:page;mso-position-vertical-relative:paragraph;z-index:-25298432" type="#_x0000_t202" filled="false" stroked="false">
            <v:textbox inset="0,0,0,0">
              <w:txbxContent>
                <w:p>
                  <w:pPr>
                    <w:tabs>
                      <w:tab w:pos="2177" w:val="left" w:leader="none"/>
                      <w:tab w:pos="4210" w:val="left" w:leader="none"/>
                    </w:tabs>
                    <w:spacing w:before="2"/>
                    <w:ind w:left="0" w:right="0" w:firstLine="0"/>
                    <w:jc w:val="left"/>
                    <w:rPr>
                      <w:i/>
                      <w:sz w:val="10"/>
                    </w:rPr>
                  </w:pPr>
                  <w:r>
                    <w:rPr>
                      <w:i/>
                      <w:w w:val="170"/>
                      <w:sz w:val="10"/>
                    </w:rPr>
                    <w:t>k</w:t>
                    <w:tab/>
                    <w:t>k</w:t>
                    <w:tab/>
                  </w:r>
                  <w:r>
                    <w:rPr>
                      <w:i/>
                      <w:spacing w:val="-6"/>
                      <w:w w:val="170"/>
                      <w:sz w:val="10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10"/>
          <w:w w:val="160"/>
          <w:sz w:val="18"/>
        </w:rPr>
        <w:t></w:t>
      </w:r>
      <w:r>
        <w:rPr>
          <w:rFonts w:ascii="Symbol" w:hAnsi="Symbol"/>
          <w:spacing w:val="10"/>
          <w:w w:val="160"/>
          <w:position w:val="-3"/>
          <w:sz w:val="28"/>
        </w:rPr>
        <w:t></w:t>
      </w:r>
      <w:r>
        <w:rPr>
          <w:rFonts w:ascii="Symbol" w:hAnsi="Symbol"/>
          <w:spacing w:val="10"/>
          <w:w w:val="160"/>
          <w:sz w:val="21"/>
        </w:rPr>
        <w:t></w:t>
      </w:r>
      <w:r>
        <w:rPr>
          <w:spacing w:val="-46"/>
          <w:w w:val="160"/>
          <w:sz w:val="21"/>
        </w:rPr>
        <w:t> </w:t>
      </w:r>
      <w:r>
        <w:rPr>
          <w:w w:val="160"/>
          <w:position w:val="-4"/>
          <w:sz w:val="10"/>
        </w:rPr>
        <w:t>4</w:t>
      </w:r>
      <w:r>
        <w:rPr>
          <w:i/>
          <w:w w:val="160"/>
          <w:position w:val="-4"/>
          <w:sz w:val="10"/>
        </w:rPr>
        <w:t>i</w:t>
      </w:r>
      <w:r>
        <w:rPr>
          <w:i/>
          <w:spacing w:val="-20"/>
          <w:w w:val="160"/>
          <w:position w:val="-4"/>
          <w:sz w:val="10"/>
        </w:rPr>
        <w:t> </w:t>
      </w:r>
      <w:r>
        <w:rPr>
          <w:rFonts w:ascii="Symbol" w:hAnsi="Symbol"/>
          <w:w w:val="160"/>
          <w:sz w:val="18"/>
        </w:rPr>
        <w:t></w:t>
      </w:r>
      <w:r>
        <w:rPr>
          <w:i/>
          <w:w w:val="160"/>
          <w:sz w:val="18"/>
        </w:rPr>
        <w:t>LnWPI</w:t>
      </w:r>
      <w:r>
        <w:rPr>
          <w:i/>
          <w:w w:val="160"/>
          <w:position w:val="-4"/>
          <w:sz w:val="10"/>
        </w:rPr>
        <w:t>t</w:t>
      </w:r>
      <w:r>
        <w:rPr>
          <w:i/>
          <w:spacing w:val="-20"/>
          <w:w w:val="160"/>
          <w:position w:val="-4"/>
          <w:sz w:val="10"/>
        </w:rPr>
        <w:t> </w:t>
      </w:r>
      <w:r>
        <w:rPr>
          <w:rFonts w:ascii="Symbol" w:hAnsi="Symbol"/>
          <w:w w:val="160"/>
          <w:position w:val="-4"/>
          <w:sz w:val="10"/>
        </w:rPr>
        <w:t></w:t>
      </w:r>
      <w:r>
        <w:rPr>
          <w:i/>
          <w:w w:val="160"/>
          <w:position w:val="-4"/>
          <w:sz w:val="10"/>
        </w:rPr>
        <w:t>i</w:t>
      </w:r>
      <w:r>
        <w:rPr>
          <w:i/>
          <w:spacing w:val="10"/>
          <w:w w:val="160"/>
          <w:position w:val="-4"/>
          <w:sz w:val="10"/>
        </w:rPr>
        <w:t> </w:t>
      </w:r>
      <w:r>
        <w:rPr>
          <w:rFonts w:ascii="Symbol" w:hAnsi="Symbol"/>
          <w:w w:val="160"/>
          <w:sz w:val="18"/>
        </w:rPr>
        <w:t></w:t>
      </w:r>
      <w:r>
        <w:rPr>
          <w:spacing w:val="-18"/>
          <w:w w:val="160"/>
          <w:sz w:val="18"/>
        </w:rPr>
        <w:t> </w:t>
      </w:r>
      <w:r>
        <w:rPr>
          <w:rFonts w:ascii="Symbol" w:hAnsi="Symbol"/>
          <w:spacing w:val="11"/>
          <w:w w:val="160"/>
          <w:position w:val="-3"/>
          <w:sz w:val="28"/>
        </w:rPr>
        <w:t></w:t>
      </w:r>
      <w:r>
        <w:rPr>
          <w:rFonts w:ascii="Symbol" w:hAnsi="Symbol"/>
          <w:spacing w:val="11"/>
          <w:w w:val="160"/>
          <w:sz w:val="21"/>
        </w:rPr>
        <w:t></w:t>
      </w:r>
      <w:r>
        <w:rPr>
          <w:spacing w:val="-51"/>
          <w:w w:val="160"/>
          <w:sz w:val="21"/>
        </w:rPr>
        <w:t> </w:t>
      </w:r>
      <w:r>
        <w:rPr>
          <w:w w:val="160"/>
          <w:position w:val="-4"/>
          <w:sz w:val="10"/>
        </w:rPr>
        <w:t>5</w:t>
      </w:r>
      <w:r>
        <w:rPr>
          <w:i/>
          <w:w w:val="160"/>
          <w:position w:val="-4"/>
          <w:sz w:val="10"/>
        </w:rPr>
        <w:t>i</w:t>
      </w:r>
      <w:r>
        <w:rPr>
          <w:i/>
          <w:spacing w:val="-20"/>
          <w:w w:val="160"/>
          <w:position w:val="-4"/>
          <w:sz w:val="10"/>
        </w:rPr>
        <w:t> </w:t>
      </w:r>
      <w:r>
        <w:rPr>
          <w:rFonts w:ascii="Symbol" w:hAnsi="Symbol"/>
          <w:w w:val="160"/>
          <w:sz w:val="18"/>
        </w:rPr>
        <w:t></w:t>
      </w:r>
      <w:r>
        <w:rPr>
          <w:i/>
          <w:w w:val="160"/>
          <w:sz w:val="18"/>
        </w:rPr>
        <w:t>LnMS</w:t>
      </w:r>
      <w:r>
        <w:rPr>
          <w:i/>
          <w:w w:val="160"/>
          <w:position w:val="-4"/>
          <w:sz w:val="10"/>
        </w:rPr>
        <w:t>t</w:t>
      </w:r>
      <w:r>
        <w:rPr>
          <w:i/>
          <w:spacing w:val="-20"/>
          <w:w w:val="160"/>
          <w:position w:val="-4"/>
          <w:sz w:val="10"/>
        </w:rPr>
        <w:t> </w:t>
      </w:r>
      <w:r>
        <w:rPr>
          <w:rFonts w:ascii="Symbol" w:hAnsi="Symbol"/>
          <w:w w:val="160"/>
          <w:position w:val="-4"/>
          <w:sz w:val="10"/>
        </w:rPr>
        <w:t></w:t>
      </w:r>
      <w:r>
        <w:rPr>
          <w:i/>
          <w:w w:val="160"/>
          <w:position w:val="-4"/>
          <w:sz w:val="10"/>
        </w:rPr>
        <w:t>i </w:t>
      </w:r>
      <w:r>
        <w:rPr>
          <w:i/>
          <w:spacing w:val="8"/>
          <w:w w:val="160"/>
          <w:position w:val="-4"/>
          <w:sz w:val="10"/>
        </w:rPr>
        <w:t> </w:t>
      </w:r>
      <w:r>
        <w:rPr>
          <w:rFonts w:ascii="Symbol" w:hAnsi="Symbol"/>
          <w:w w:val="160"/>
          <w:sz w:val="18"/>
        </w:rPr>
        <w:t></w:t>
      </w:r>
      <w:r>
        <w:rPr>
          <w:spacing w:val="-16"/>
          <w:w w:val="160"/>
          <w:sz w:val="18"/>
        </w:rPr>
        <w:t> </w:t>
      </w:r>
      <w:r>
        <w:rPr>
          <w:rFonts w:ascii="Symbol" w:hAnsi="Symbol"/>
          <w:spacing w:val="11"/>
          <w:w w:val="160"/>
          <w:position w:val="-3"/>
          <w:sz w:val="28"/>
        </w:rPr>
        <w:t></w:t>
      </w:r>
      <w:r>
        <w:rPr>
          <w:rFonts w:ascii="Symbol" w:hAnsi="Symbol"/>
          <w:spacing w:val="11"/>
          <w:w w:val="160"/>
          <w:sz w:val="21"/>
        </w:rPr>
        <w:t></w:t>
      </w:r>
      <w:r>
        <w:rPr>
          <w:spacing w:val="-48"/>
          <w:w w:val="160"/>
          <w:sz w:val="21"/>
        </w:rPr>
        <w:t> </w:t>
      </w:r>
      <w:r>
        <w:rPr>
          <w:w w:val="160"/>
          <w:position w:val="-4"/>
          <w:sz w:val="10"/>
        </w:rPr>
        <w:t>6</w:t>
      </w:r>
      <w:r>
        <w:rPr>
          <w:i/>
          <w:w w:val="160"/>
          <w:position w:val="-4"/>
          <w:sz w:val="10"/>
        </w:rPr>
        <w:t>i</w:t>
      </w:r>
      <w:r>
        <w:rPr>
          <w:i/>
          <w:spacing w:val="-20"/>
          <w:w w:val="160"/>
          <w:position w:val="-4"/>
          <w:sz w:val="10"/>
        </w:rPr>
        <w:t> </w:t>
      </w:r>
      <w:r>
        <w:rPr>
          <w:rFonts w:ascii="Symbol" w:hAnsi="Symbol"/>
          <w:w w:val="160"/>
          <w:sz w:val="18"/>
        </w:rPr>
        <w:t></w:t>
      </w:r>
      <w:r>
        <w:rPr>
          <w:i/>
          <w:w w:val="160"/>
          <w:sz w:val="18"/>
        </w:rPr>
        <w:t>LnDC</w:t>
      </w:r>
      <w:r>
        <w:rPr>
          <w:i/>
          <w:w w:val="160"/>
          <w:position w:val="-4"/>
          <w:sz w:val="10"/>
        </w:rPr>
        <w:t>t</w:t>
      </w:r>
      <w:r>
        <w:rPr>
          <w:i/>
          <w:spacing w:val="-19"/>
          <w:w w:val="160"/>
          <w:position w:val="-4"/>
          <w:sz w:val="10"/>
        </w:rPr>
        <w:t> </w:t>
      </w:r>
      <w:r>
        <w:rPr>
          <w:rFonts w:ascii="Symbol" w:hAnsi="Symbol"/>
          <w:w w:val="160"/>
          <w:position w:val="-4"/>
          <w:sz w:val="10"/>
        </w:rPr>
        <w:t></w:t>
      </w:r>
      <w:r>
        <w:rPr>
          <w:i/>
          <w:w w:val="160"/>
          <w:position w:val="-4"/>
          <w:sz w:val="10"/>
        </w:rPr>
        <w:t>i </w:t>
      </w:r>
      <w:r>
        <w:rPr>
          <w:i/>
          <w:spacing w:val="8"/>
          <w:w w:val="160"/>
          <w:position w:val="-4"/>
          <w:sz w:val="10"/>
        </w:rPr>
        <w:t> </w:t>
      </w:r>
      <w:r>
        <w:rPr>
          <w:rFonts w:ascii="Symbol" w:hAnsi="Symbol"/>
          <w:w w:val="160"/>
          <w:sz w:val="18"/>
        </w:rPr>
        <w:t></w:t>
      </w:r>
      <w:r>
        <w:rPr>
          <w:spacing w:val="-28"/>
          <w:w w:val="160"/>
          <w:sz w:val="18"/>
        </w:rPr>
        <w:t> </w:t>
      </w:r>
      <w:r>
        <w:rPr>
          <w:rFonts w:ascii="Symbol" w:hAnsi="Symbol"/>
          <w:w w:val="160"/>
          <w:sz w:val="21"/>
        </w:rPr>
        <w:t></w:t>
      </w:r>
      <w:r>
        <w:rPr>
          <w:spacing w:val="-48"/>
          <w:w w:val="160"/>
          <w:sz w:val="21"/>
        </w:rPr>
        <w:t> </w:t>
      </w:r>
      <w:r>
        <w:rPr>
          <w:w w:val="160"/>
          <w:position w:val="-4"/>
          <w:sz w:val="10"/>
        </w:rPr>
        <w:t>7</w:t>
      </w:r>
      <w:r>
        <w:rPr>
          <w:spacing w:val="-13"/>
          <w:w w:val="160"/>
          <w:position w:val="-4"/>
          <w:sz w:val="10"/>
        </w:rPr>
        <w:t> </w:t>
      </w:r>
      <w:r>
        <w:rPr>
          <w:i/>
          <w:w w:val="160"/>
          <w:sz w:val="18"/>
        </w:rPr>
        <w:t>D</w:t>
      </w:r>
      <w:r>
        <w:rPr>
          <w:i/>
          <w:w w:val="160"/>
          <w:position w:val="-4"/>
          <w:sz w:val="10"/>
        </w:rPr>
        <w:t>i </w:t>
      </w:r>
      <w:r>
        <w:rPr>
          <w:i/>
          <w:spacing w:val="9"/>
          <w:w w:val="160"/>
          <w:position w:val="-4"/>
          <w:sz w:val="10"/>
        </w:rPr>
        <w:t> </w:t>
      </w:r>
      <w:r>
        <w:rPr>
          <w:rFonts w:ascii="Symbol" w:hAnsi="Symbol"/>
          <w:w w:val="160"/>
          <w:sz w:val="18"/>
        </w:rPr>
        <w:t></w:t>
      </w:r>
    </w:p>
    <w:p>
      <w:pPr>
        <w:tabs>
          <w:tab w:pos="3237" w:val="left" w:leader="none"/>
          <w:tab w:pos="5270" w:val="left" w:leader="none"/>
        </w:tabs>
        <w:spacing w:before="8"/>
        <w:ind w:left="1059" w:right="0" w:firstLine="0"/>
        <w:jc w:val="left"/>
        <w:rPr>
          <w:sz w:val="10"/>
        </w:rPr>
      </w:pPr>
      <w:r>
        <w:rPr>
          <w:i/>
          <w:w w:val="170"/>
          <w:sz w:val="10"/>
        </w:rPr>
        <w:t>i</w:t>
      </w:r>
      <w:r>
        <w:rPr>
          <w:i/>
          <w:spacing w:val="-30"/>
          <w:w w:val="170"/>
          <w:sz w:val="10"/>
        </w:rPr>
        <w:t> </w:t>
      </w:r>
      <w:r>
        <w:rPr>
          <w:rFonts w:ascii="Symbol" w:hAnsi="Symbol"/>
          <w:w w:val="170"/>
          <w:sz w:val="10"/>
        </w:rPr>
        <w:t></w:t>
      </w:r>
      <w:r>
        <w:rPr>
          <w:w w:val="170"/>
          <w:sz w:val="10"/>
        </w:rPr>
        <w:t>0</w:t>
        <w:tab/>
      </w:r>
      <w:r>
        <w:rPr>
          <w:i/>
          <w:w w:val="170"/>
          <w:sz w:val="10"/>
        </w:rPr>
        <w:t>i</w:t>
      </w:r>
      <w:r>
        <w:rPr>
          <w:i/>
          <w:spacing w:val="-29"/>
          <w:w w:val="170"/>
          <w:sz w:val="10"/>
        </w:rPr>
        <w:t> </w:t>
      </w:r>
      <w:r>
        <w:rPr>
          <w:rFonts w:ascii="Symbol" w:hAnsi="Symbol"/>
          <w:w w:val="170"/>
          <w:sz w:val="10"/>
        </w:rPr>
        <w:t></w:t>
      </w:r>
      <w:r>
        <w:rPr>
          <w:w w:val="170"/>
          <w:sz w:val="10"/>
        </w:rPr>
        <w:t>0</w:t>
        <w:tab/>
      </w:r>
      <w:r>
        <w:rPr>
          <w:i/>
          <w:w w:val="170"/>
          <w:sz w:val="10"/>
        </w:rPr>
        <w:t>i</w:t>
      </w:r>
      <w:r>
        <w:rPr>
          <w:i/>
          <w:spacing w:val="-29"/>
          <w:w w:val="170"/>
          <w:sz w:val="10"/>
        </w:rPr>
        <w:t> </w:t>
      </w:r>
      <w:r>
        <w:rPr>
          <w:rFonts w:ascii="Symbol" w:hAnsi="Symbol"/>
          <w:w w:val="170"/>
          <w:sz w:val="10"/>
        </w:rPr>
        <w:t></w:t>
      </w:r>
      <w:r>
        <w:rPr>
          <w:w w:val="170"/>
          <w:sz w:val="10"/>
        </w:rPr>
        <w:t>0</w:t>
      </w:r>
    </w:p>
    <w:p>
      <w:pPr>
        <w:tabs>
          <w:tab w:pos="2338" w:val="left" w:leader="none"/>
          <w:tab w:pos="3947" w:val="left" w:leader="none"/>
          <w:tab w:pos="7121" w:val="left" w:leader="none"/>
          <w:tab w:pos="8576" w:val="left" w:leader="none"/>
        </w:tabs>
        <w:spacing w:line="151" w:lineRule="exact" w:before="27"/>
        <w:ind w:left="856" w:right="0" w:firstLine="0"/>
        <w:jc w:val="left"/>
        <w:rPr>
          <w:rFonts w:ascii="Symbol" w:hAnsi="Symbol"/>
          <w:sz w:val="21"/>
        </w:rPr>
      </w:pPr>
      <w:r>
        <w:rPr>
          <w:rFonts w:ascii="Symbol" w:hAnsi="Symbol"/>
          <w:w w:val="155"/>
          <w:sz w:val="18"/>
        </w:rPr>
        <w:t></w:t>
      </w:r>
      <w:r>
        <w:rPr>
          <w:rFonts w:ascii="Symbol" w:hAnsi="Symbol"/>
          <w:w w:val="155"/>
          <w:sz w:val="21"/>
        </w:rPr>
        <w:t></w:t>
      </w:r>
      <w:r>
        <w:rPr>
          <w:spacing w:val="12"/>
          <w:w w:val="155"/>
          <w:sz w:val="21"/>
        </w:rPr>
        <w:t> </w:t>
      </w:r>
      <w:r>
        <w:rPr>
          <w:i/>
          <w:w w:val="155"/>
          <w:sz w:val="18"/>
        </w:rPr>
        <w:t>LnCPI</w:t>
        <w:tab/>
      </w:r>
      <w:r>
        <w:rPr>
          <w:rFonts w:ascii="Symbol" w:hAnsi="Symbol"/>
          <w:w w:val="155"/>
          <w:sz w:val="18"/>
        </w:rPr>
        <w:t></w:t>
      </w:r>
      <w:r>
        <w:rPr>
          <w:spacing w:val="-43"/>
          <w:w w:val="155"/>
          <w:sz w:val="18"/>
        </w:rPr>
        <w:t> </w:t>
      </w:r>
      <w:r>
        <w:rPr>
          <w:rFonts w:ascii="Symbol" w:hAnsi="Symbol"/>
          <w:w w:val="155"/>
          <w:sz w:val="21"/>
        </w:rPr>
        <w:t></w:t>
      </w:r>
      <w:r>
        <w:rPr>
          <w:spacing w:val="55"/>
          <w:w w:val="155"/>
          <w:sz w:val="21"/>
        </w:rPr>
        <w:t> </w:t>
      </w:r>
      <w:r>
        <w:rPr>
          <w:i/>
          <w:w w:val="155"/>
          <w:sz w:val="18"/>
        </w:rPr>
        <w:t>LnNER</w:t>
        <w:tab/>
      </w:r>
      <w:r>
        <w:rPr>
          <w:rFonts w:ascii="Symbol" w:hAnsi="Symbol"/>
          <w:w w:val="155"/>
          <w:sz w:val="18"/>
        </w:rPr>
        <w:t></w:t>
      </w:r>
      <w:r>
        <w:rPr>
          <w:spacing w:val="-42"/>
          <w:w w:val="155"/>
          <w:sz w:val="18"/>
        </w:rPr>
        <w:t> </w:t>
      </w:r>
      <w:r>
        <w:rPr>
          <w:rFonts w:ascii="Symbol" w:hAnsi="Symbol"/>
          <w:w w:val="155"/>
          <w:sz w:val="21"/>
        </w:rPr>
        <w:t></w:t>
      </w:r>
      <w:r>
        <w:rPr>
          <w:spacing w:val="44"/>
          <w:w w:val="155"/>
          <w:sz w:val="21"/>
        </w:rPr>
        <w:t> </w:t>
      </w:r>
      <w:r>
        <w:rPr>
          <w:i/>
          <w:w w:val="155"/>
          <w:sz w:val="18"/>
        </w:rPr>
        <w:t>LnGDP</w:t>
      </w:r>
      <w:r>
        <w:rPr>
          <w:i/>
          <w:w w:val="155"/>
          <w:sz w:val="18"/>
          <w:vertAlign w:val="superscript"/>
        </w:rPr>
        <w:t>d</w:t>
      </w:r>
      <w:r>
        <w:rPr>
          <w:i/>
          <w:spacing w:val="60"/>
          <w:w w:val="155"/>
          <w:sz w:val="18"/>
          <w:vertAlign w:val="baseline"/>
        </w:rPr>
        <w:t> </w:t>
      </w:r>
      <w:r>
        <w:rPr>
          <w:rFonts w:ascii="Symbol" w:hAnsi="Symbol"/>
          <w:w w:val="155"/>
          <w:sz w:val="18"/>
          <w:vertAlign w:val="baseline"/>
        </w:rPr>
        <w:t></w:t>
      </w:r>
      <w:r>
        <w:rPr>
          <w:spacing w:val="-43"/>
          <w:w w:val="155"/>
          <w:sz w:val="18"/>
          <w:vertAlign w:val="baseline"/>
        </w:rPr>
        <w:t> </w:t>
      </w:r>
      <w:r>
        <w:rPr>
          <w:rFonts w:ascii="Symbol" w:hAnsi="Symbol"/>
          <w:w w:val="155"/>
          <w:sz w:val="21"/>
          <w:vertAlign w:val="baseline"/>
        </w:rPr>
        <w:t></w:t>
      </w:r>
      <w:r>
        <w:rPr>
          <w:spacing w:val="58"/>
          <w:w w:val="155"/>
          <w:sz w:val="21"/>
          <w:vertAlign w:val="baseline"/>
        </w:rPr>
        <w:t> </w:t>
      </w:r>
      <w:r>
        <w:rPr>
          <w:i/>
          <w:w w:val="155"/>
          <w:sz w:val="18"/>
          <w:vertAlign w:val="baseline"/>
        </w:rPr>
        <w:t>LnWPI</w:t>
        <w:tab/>
      </w:r>
      <w:r>
        <w:rPr>
          <w:rFonts w:ascii="Symbol" w:hAnsi="Symbol"/>
          <w:w w:val="155"/>
          <w:sz w:val="18"/>
          <w:vertAlign w:val="baseline"/>
        </w:rPr>
        <w:t></w:t>
      </w:r>
      <w:r>
        <w:rPr>
          <w:spacing w:val="-43"/>
          <w:w w:val="155"/>
          <w:sz w:val="18"/>
          <w:vertAlign w:val="baseline"/>
        </w:rPr>
        <w:t> </w:t>
      </w:r>
      <w:r>
        <w:rPr>
          <w:rFonts w:ascii="Symbol" w:hAnsi="Symbol"/>
          <w:w w:val="155"/>
          <w:sz w:val="21"/>
          <w:vertAlign w:val="baseline"/>
        </w:rPr>
        <w:t></w:t>
      </w:r>
      <w:r>
        <w:rPr>
          <w:spacing w:val="42"/>
          <w:w w:val="155"/>
          <w:sz w:val="21"/>
          <w:vertAlign w:val="baseline"/>
        </w:rPr>
        <w:t> </w:t>
      </w:r>
      <w:r>
        <w:rPr>
          <w:i/>
          <w:w w:val="155"/>
          <w:sz w:val="18"/>
          <w:vertAlign w:val="baseline"/>
        </w:rPr>
        <w:t>LnMS</w:t>
        <w:tab/>
      </w:r>
      <w:r>
        <w:rPr>
          <w:rFonts w:ascii="Symbol" w:hAnsi="Symbol"/>
          <w:w w:val="150"/>
          <w:sz w:val="18"/>
          <w:vertAlign w:val="baseline"/>
        </w:rPr>
        <w:t></w:t>
      </w:r>
      <w:r>
        <w:rPr>
          <w:spacing w:val="-27"/>
          <w:w w:val="150"/>
          <w:sz w:val="18"/>
          <w:vertAlign w:val="baseline"/>
        </w:rPr>
        <w:t> </w:t>
      </w:r>
      <w:r>
        <w:rPr>
          <w:rFonts w:ascii="Symbol" w:hAnsi="Symbol"/>
          <w:w w:val="150"/>
          <w:sz w:val="21"/>
          <w:vertAlign w:val="baseline"/>
        </w:rPr>
        <w:t></w:t>
      </w:r>
    </w:p>
    <w:p>
      <w:pPr>
        <w:spacing w:after="0" w:line="151" w:lineRule="exact"/>
        <w:jc w:val="left"/>
        <w:rPr>
          <w:rFonts w:ascii="Symbol" w:hAnsi="Symbol"/>
          <w:sz w:val="21"/>
        </w:rPr>
        <w:sectPr>
          <w:type w:val="continuous"/>
          <w:pgSz w:w="12240" w:h="15840"/>
          <w:pgMar w:top="1500" w:bottom="1200" w:left="1320" w:right="440"/>
        </w:sectPr>
      </w:pPr>
    </w:p>
    <w:p>
      <w:pPr>
        <w:tabs>
          <w:tab w:pos="2038" w:val="left" w:leader="none"/>
          <w:tab w:pos="2776" w:val="right" w:leader="none"/>
        </w:tabs>
        <w:spacing w:before="8"/>
        <w:ind w:left="1149" w:right="0" w:firstLine="0"/>
        <w:jc w:val="left"/>
        <w:rPr>
          <w:sz w:val="10"/>
        </w:rPr>
      </w:pPr>
      <w:r>
        <w:rPr>
          <w:w w:val="170"/>
          <w:sz w:val="10"/>
        </w:rPr>
        <w:t>1</w:t>
        <w:tab/>
      </w:r>
      <w:r>
        <w:rPr>
          <w:i/>
          <w:spacing w:val="-3"/>
          <w:w w:val="170"/>
          <w:sz w:val="10"/>
        </w:rPr>
        <w:t>t</w:t>
      </w:r>
      <w:r>
        <w:rPr>
          <w:i/>
          <w:spacing w:val="-25"/>
          <w:w w:val="170"/>
          <w:sz w:val="10"/>
        </w:rPr>
        <w:t> </w:t>
      </w:r>
      <w:r>
        <w:rPr>
          <w:rFonts w:ascii="Symbol" w:hAnsi="Symbol"/>
          <w:spacing w:val="-2"/>
          <w:w w:val="170"/>
          <w:sz w:val="10"/>
        </w:rPr>
        <w:t></w:t>
      </w:r>
      <w:r>
        <w:rPr>
          <w:spacing w:val="-2"/>
          <w:w w:val="170"/>
          <w:sz w:val="10"/>
        </w:rPr>
        <w:t>1</w:t>
        <w:tab/>
        <w:t>2</w:t>
      </w:r>
    </w:p>
    <w:p>
      <w:pPr>
        <w:tabs>
          <w:tab w:pos="1563" w:val="right" w:leader="none"/>
        </w:tabs>
        <w:spacing w:before="8"/>
        <w:ind w:left="831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3"/>
          <w:w w:val="170"/>
          <w:sz w:val="10"/>
        </w:rPr>
        <w:t>t</w:t>
      </w:r>
      <w:r>
        <w:rPr>
          <w:i/>
          <w:spacing w:val="-25"/>
          <w:w w:val="170"/>
          <w:sz w:val="10"/>
        </w:rPr>
        <w:t> </w:t>
      </w:r>
      <w:r>
        <w:rPr>
          <w:rFonts w:ascii="Symbol" w:hAnsi="Symbol"/>
          <w:spacing w:val="-2"/>
          <w:w w:val="170"/>
          <w:sz w:val="10"/>
        </w:rPr>
        <w:t></w:t>
      </w:r>
      <w:r>
        <w:rPr>
          <w:spacing w:val="-2"/>
          <w:w w:val="170"/>
          <w:sz w:val="10"/>
        </w:rPr>
        <w:t>1</w:t>
        <w:tab/>
        <w:t>3</w:t>
      </w:r>
    </w:p>
    <w:p>
      <w:pPr>
        <w:tabs>
          <w:tab w:pos="1539" w:val="right" w:leader="none"/>
        </w:tabs>
        <w:spacing w:before="14"/>
        <w:ind w:left="851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3"/>
          <w:w w:val="160"/>
          <w:sz w:val="8"/>
        </w:rPr>
        <w:t>t</w:t>
      </w:r>
      <w:r>
        <w:rPr>
          <w:i/>
          <w:spacing w:val="-24"/>
          <w:w w:val="160"/>
          <w:sz w:val="8"/>
        </w:rPr>
        <w:t> </w:t>
      </w:r>
      <w:r>
        <w:rPr>
          <w:rFonts w:ascii="Symbol" w:hAnsi="Symbol"/>
          <w:spacing w:val="-3"/>
          <w:w w:val="160"/>
          <w:sz w:val="8"/>
        </w:rPr>
        <w:t></w:t>
      </w:r>
      <w:r>
        <w:rPr>
          <w:spacing w:val="-3"/>
          <w:w w:val="160"/>
          <w:sz w:val="8"/>
        </w:rPr>
        <w:t>1</w:t>
        <w:tab/>
      </w:r>
      <w:r>
        <w:rPr>
          <w:spacing w:val="-2"/>
          <w:w w:val="160"/>
          <w:position w:val="3"/>
          <w:sz w:val="10"/>
        </w:rPr>
        <w:t>4</w:t>
      </w:r>
    </w:p>
    <w:p>
      <w:pPr>
        <w:tabs>
          <w:tab w:pos="1554" w:val="right" w:leader="none"/>
        </w:tabs>
        <w:spacing w:before="8"/>
        <w:ind w:left="823" w:right="0" w:firstLine="0"/>
        <w:jc w:val="left"/>
        <w:rPr>
          <w:sz w:val="10"/>
        </w:rPr>
      </w:pPr>
      <w:r>
        <w:rPr/>
        <w:br w:type="column"/>
      </w:r>
      <w:r>
        <w:rPr>
          <w:i/>
          <w:spacing w:val="-3"/>
          <w:w w:val="170"/>
          <w:sz w:val="10"/>
        </w:rPr>
        <w:t>t</w:t>
      </w:r>
      <w:r>
        <w:rPr>
          <w:i/>
          <w:spacing w:val="-25"/>
          <w:w w:val="170"/>
          <w:sz w:val="10"/>
        </w:rPr>
        <w:t> </w:t>
      </w:r>
      <w:r>
        <w:rPr>
          <w:rFonts w:ascii="Symbol" w:hAnsi="Symbol"/>
          <w:spacing w:val="-3"/>
          <w:w w:val="170"/>
          <w:sz w:val="10"/>
        </w:rPr>
        <w:t></w:t>
      </w:r>
      <w:r>
        <w:rPr>
          <w:spacing w:val="-3"/>
          <w:w w:val="170"/>
          <w:sz w:val="10"/>
        </w:rPr>
        <w:t>1</w:t>
        <w:tab/>
      </w:r>
      <w:r>
        <w:rPr>
          <w:spacing w:val="-2"/>
          <w:w w:val="170"/>
          <w:sz w:val="10"/>
        </w:rPr>
        <w:t>5</w:t>
      </w:r>
    </w:p>
    <w:p>
      <w:pPr>
        <w:tabs>
          <w:tab w:pos="1332" w:val="left" w:leader="none"/>
        </w:tabs>
        <w:spacing w:before="8"/>
        <w:ind w:left="684" w:right="0" w:firstLine="0"/>
        <w:jc w:val="left"/>
        <w:rPr>
          <w:i/>
          <w:sz w:val="10"/>
        </w:rPr>
      </w:pPr>
      <w:r>
        <w:rPr/>
        <w:br w:type="column"/>
      </w:r>
      <w:r>
        <w:rPr>
          <w:i/>
          <w:spacing w:val="-4"/>
          <w:w w:val="170"/>
          <w:sz w:val="10"/>
        </w:rPr>
        <w:t>t</w:t>
      </w:r>
      <w:r>
        <w:rPr>
          <w:i/>
          <w:spacing w:val="-25"/>
          <w:w w:val="170"/>
          <w:sz w:val="10"/>
        </w:rPr>
        <w:t> </w:t>
      </w:r>
      <w:r>
        <w:rPr>
          <w:rFonts w:ascii="Symbol" w:hAnsi="Symbol"/>
          <w:spacing w:val="-3"/>
          <w:w w:val="170"/>
          <w:sz w:val="10"/>
        </w:rPr>
        <w:t></w:t>
      </w:r>
      <w:r>
        <w:rPr>
          <w:spacing w:val="-3"/>
          <w:w w:val="170"/>
          <w:sz w:val="10"/>
        </w:rPr>
        <w:t>1</w:t>
        <w:tab/>
      </w:r>
      <w:r>
        <w:rPr>
          <w:i/>
          <w:w w:val="170"/>
          <w:sz w:val="10"/>
        </w:rPr>
        <w:t>i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1500" w:bottom="1200" w:left="1320" w:right="440"/>
          <w:cols w:num="5" w:equalWidth="0">
            <w:col w:w="2777" w:space="40"/>
            <w:col w:w="1564" w:space="39"/>
            <w:col w:w="1540" w:space="39"/>
            <w:col w:w="1555" w:space="39"/>
            <w:col w:w="2887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6.940002pt;margin-top:419.289978pt;width:180.2pt;height:175.25pt;mso-position-horizontal-relative:page;mso-position-vertical-relative:page;z-index:-25297920" coordorigin="2339,8386" coordsize="3604,3505" path="m3369,11673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3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2.480011pt;margin-top:397.679993pt;width:48.9pt;height:48.9pt;mso-position-horizontal-relative:page;mso-position-vertical-relative:page;z-index:-25297408" coordorigin="5250,7954" coordsize="978,978" path="m5603,7954l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225,8883,6226,8879,6227,8875,6227,8872,6224,8865,6222,8861,5542,8182,5681,8043,5683,8040,5683,8037,5682,8029,5679,8025,5677,8021,5673,8015,5657,7996,5649,7989,5641,7981,5622,7964,5616,7960,5607,7955,5603,795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35.860001pt;margin-top:358.48999pt;width:108.26pt;height:.72pt;mso-position-horizontal-relative:page;mso-position-vertical-relative:page;z-index:-25295360" filled="true" fillcolor="#000000" stroked="false">
            <v:fill type="solid"/>
            <w10:wrap type="none"/>
          </v:rect>
        </w:pict>
      </w:r>
    </w:p>
    <w:p>
      <w:pPr>
        <w:pStyle w:val="BodyText"/>
        <w:spacing w:before="6"/>
        <w:rPr>
          <w:i/>
          <w:sz w:val="22"/>
        </w:rPr>
      </w:pPr>
    </w:p>
    <w:p>
      <w:pPr>
        <w:pStyle w:val="Heading2"/>
        <w:spacing w:before="0" w:after="6"/>
        <w:ind w:right="1880"/>
      </w:pPr>
      <w:r>
        <w:rPr/>
        <w:pict>
          <v:shape style="position:absolute;margin-left:281.300018pt;margin-top:97.883125pt;width:237.4pt;height:230.5pt;mso-position-horizontal-relative:page;mso-position-vertical-relative:paragraph;z-index:-25296896" coordorigin="5626,1958" coordsize="4748,4610" path="m6603,6510l6602,6507,6600,6500,6597,6497,6306,6206,6268,6134,6080,5773,6004,5628,5993,5608,5983,5596,5979,5593,5969,5591,5964,5593,5957,5597,5944,5608,5928,5623,5923,5630,5916,5639,5914,5644,5912,5652,5912,5655,5917,5668,5921,5673,6079,5966,6115,6030,6178,6138,6177,6139,6002,6039,5929,6000,5783,5922,5705,5879,5696,5876,5692,5875,5684,5876,5680,5878,5675,5880,5670,5884,5658,5894,5642,5910,5632,5922,5628,5928,5626,5933,5628,5943,5631,5947,5637,5952,5643,5957,5664,5969,5736,6007,6098,6195,6242,6271,6532,6561,6536,6564,6542,6567,6546,6567,6550,6566,6554,6565,6564,6560,6569,6556,6575,6552,6587,6539,6592,6534,6595,6529,6600,6519,6601,6514,6603,6510xm7274,5778l7274,5741,7268,5703,7258,5663,7242,5622,7223,5580,7199,5536,7170,5492,7161,5480,7161,5751,7157,5777,7148,5802,7133,5826,7115,5848,7093,5867,7070,5881,7045,5891,7020,5895,6994,5896,6967,5894,6939,5887,6909,5876,6880,5862,6849,5844,6818,5824,6786,5800,6753,5774,6720,5745,6687,5714,6652,5680,6622,5649,6594,5618,6567,5586,6541,5554,6518,5523,6499,5492,6482,5461,6469,5430,6458,5401,6451,5372,6447,5344,6447,5317,6451,5290,6460,5266,6474,5242,6493,5221,6515,5202,6537,5188,6562,5178,6587,5173,6614,5173,6641,5176,6669,5182,6698,5193,6728,5207,6759,5224,6790,5244,6821,5267,6854,5293,6886,5321,6919,5351,6952,5383,6983,5415,7012,5447,7039,5479,7064,5511,7088,5543,7108,5574,7125,5605,7139,5635,7150,5666,7157,5695,7161,5723,7161,5751,7161,5480,7137,5447,7100,5401,7059,5355,7013,5308,6966,5262,6921,5221,6876,5185,6860,5173,6832,5152,6790,5124,6749,5101,6709,5083,6670,5069,6633,5060,6596,5055,6562,5056,6528,5060,6496,5069,6465,5084,6436,5103,6408,5128,6383,5157,6363,5187,6348,5220,6339,5254,6335,5290,6336,5327,6341,5365,6351,5405,6366,5446,6386,5488,6409,5531,6438,5575,6470,5620,6507,5665,6547,5710,6591,5756,6639,5802,6685,5844,6731,5881,6775,5914,6817,5943,6859,5966,6899,5985,6938,5999,6975,6009,7011,6014,7046,6013,7080,6009,7113,6000,7144,5985,7173,5966,7201,5941,7227,5912,7237,5896,7247,5881,7261,5849,7270,5814,7274,5778xm7572,5541l7572,5537,7569,5530,7567,5527,7239,5199,7409,5029,7410,5026,7410,5019,7409,5015,7404,5006,7400,5000,7385,4982,7369,4966,7361,4959,7355,4954,7349,4949,7344,4946,7336,4942,7332,4941,7328,4941,7325,4941,7323,4942,7153,5113,6887,4848,7068,4667,7069,4665,7069,4662,7068,4654,7063,4645,7059,4639,7043,4621,7035,4613,7027,4605,7008,4588,6993,4579,6989,4579,6982,4578,6980,4579,6753,4806,6750,4815,6752,4825,6754,4835,6759,4845,6767,4855,6777,4866,7502,5592,7505,5594,7513,5597,7516,5597,7520,5596,7524,5595,7534,5590,7539,5586,7545,5582,7557,5569,7565,5559,7570,5549,7571,5545,7572,5541xm8101,5012l8100,5009,8098,5002,8095,4999,8092,4996,7340,4244,7337,4241,7330,4239,7327,4238,7322,4239,7318,4240,7309,4245,7298,4253,7286,4266,7278,4276,7273,4286,7272,4290,7271,4294,7271,4298,7274,4305,7276,4309,8031,5063,8034,5066,8041,5069,8044,5069,8048,5067,8053,5067,8063,5061,8073,5053,8086,5041,8090,5035,8094,5030,8099,5021,8099,5016,8101,5012xm8456,4585l8456,4568,8454,4552,8451,4535,8448,4518,8442,4500,8436,4483,8428,4465,8419,4447,8409,4429,8397,4410,8383,4392,8369,4374,8352,4356,8346,4348,8346,4551,8345,4565,8343,4578,8340,4591,8335,4603,8328,4615,8320,4627,8310,4638,8216,4732,7941,4457,8018,4380,8024,4374,8034,4366,8049,4354,8063,4345,8078,4338,8093,4334,8108,4332,8124,4331,8139,4332,8155,4336,8171,4341,8188,4348,8204,4357,8221,4367,8238,4380,8255,4395,8273,4411,8288,4428,8301,4444,8313,4460,8323,4476,8331,4491,8337,4507,8341,4522,8344,4536,8346,4551,8346,4348,8335,4337,8328,4331,8315,4318,8295,4301,8275,4286,8254,4272,8234,4260,8214,4249,8195,4241,8190,4239,8176,4234,8158,4229,8139,4226,8122,4224,8105,4224,8089,4225,8073,4229,8059,4233,8046,4239,8048,4226,8048,4212,8048,4198,8046,4183,8043,4169,8039,4154,8034,4139,8028,4124,8021,4110,8013,4095,8004,4081,7993,4066,7982,4051,7971,4037,7964,4029,7964,4223,7964,4237,7962,4250,7958,4263,7952,4276,7943,4288,7932,4301,7859,4374,7606,4122,7673,4055,7686,4042,7700,4032,7713,4024,7726,4019,7739,4016,7751,4014,7765,4014,7777,4015,7791,4019,7805,4024,7818,4031,7832,4039,7846,4049,7860,4060,7874,4072,7888,4085,7900,4098,7912,4112,7923,4125,7933,4139,7941,4154,7949,4168,7955,4182,7959,4195,7962,4209,7964,4223,7964,4029,7958,4023,7950,4014,7945,4009,7921,3987,7898,3967,7875,3950,7852,3935,7829,3923,7806,3913,7784,3905,7762,3901,7740,3899,7719,3900,7698,3903,7677,3909,7656,3918,7635,3931,7614,3947,7592,3967,7481,4078,7476,4083,7473,4092,7474,4103,7477,4112,7482,4122,7489,4133,7500,4144,8195,4840,8206,4850,8217,4858,8227,4862,8236,4864,8247,4866,8256,4863,8387,4732,8389,4731,8402,4717,8413,4703,8423,4689,8431,4675,8438,4661,8444,4647,8449,4632,8452,4616,8454,4601,8456,4585xm9020,4099l9019,4095,9017,4090,9014,4084,9009,4079,9003,4074,8995,4068,8984,4061,8889,4000,8609,3824,8609,3935,8440,4104,8179,3699,8135,3632,8135,3631,8135,3631,8609,3935,8609,3824,8304,3631,8097,3500,8091,3497,8086,3494,8081,3492,8076,3491,8072,3492,8062,3495,8056,3498,8050,3503,8044,3507,8038,3514,8030,3522,8022,3529,8016,3535,8012,3541,8008,3546,8005,3552,8004,3557,8002,3562,8001,3566,8003,3570,8004,3575,8007,3580,8010,3585,8053,3654,8370,4156,8571,4473,8578,4484,8584,4492,8589,4497,8594,4503,8600,4506,8604,4508,8609,4509,8614,4507,8620,4504,8625,4500,8632,4494,8646,4480,8651,4474,8655,4469,8659,4464,8661,4459,8661,4454,8662,4450,8662,4447,8660,4442,8659,4439,8657,4435,8654,4430,8617,4374,8506,4203,8605,4104,8709,4000,8940,4149,8945,4151,8949,4153,8953,4154,8956,4156,8960,4156,8963,4154,8968,4154,8972,4152,8978,4148,8983,4144,9005,4122,9010,4115,9014,4110,9018,4105,9020,4099xm9323,3684l9321,3646,9314,3606,9302,3565,9285,3523,9263,3479,9236,3433,9213,3400,9213,3648,9212,3675,9207,3701,9198,3726,9186,3751,9168,3775,9147,3798,9080,3865,8473,3258,8539,3192,8565,3169,8590,3152,8617,3139,8644,3132,8672,3129,8700,3130,8729,3134,8759,3141,8790,3152,8821,3167,8852,3184,8884,3205,8916,3229,8948,3255,8980,3283,9012,3313,9049,3352,9083,3390,9113,3426,9138,3461,9160,3495,9178,3528,9193,3560,9203,3590,9210,3620,9213,3648,9213,3400,9204,3387,9166,3340,9124,3291,9076,3241,9032,3199,8988,3161,8947,3129,8945,3127,8902,3098,8860,3073,8819,3052,8778,3036,8738,3023,8700,3016,8662,3013,8625,3015,8590,3021,8555,3033,8522,3050,8489,3073,8457,3102,8341,3218,8338,3227,8339,3238,8342,3247,8347,3257,8354,3267,8365,3279,9060,3974,9072,3985,9082,3992,9092,3997,9101,3999,9112,4001,9121,3998,9230,3889,9252,3865,9258,3858,9282,3825,9300,3791,9313,3757,9320,3721,9323,3684xm9940,3179l9939,3174,9937,3169,9934,3164,9929,3159,9923,3154,9916,3148,9905,3141,9810,3080,9529,2904,9529,3015,9360,3184,9099,2779,9055,2711,9055,2711,9529,3015,9529,2904,9224,2711,9017,2580,9011,2577,9006,2574,8996,2571,8992,2572,8987,2573,8982,2575,8976,2578,8971,2583,8965,2587,8958,2594,8950,2602,8936,2615,8928,2626,8925,2632,8924,2637,8922,2642,8922,2646,8923,2650,8924,2655,8927,2660,8930,2665,9017,2802,9289,3234,9318,3280,9491,3553,9498,3564,9504,3572,9509,3577,9514,3583,9520,3586,9529,3589,9534,3587,9540,3584,9545,3580,9552,3574,9566,3560,9571,3554,9575,3549,9579,3544,9581,3539,9581,3534,9582,3530,9582,3526,9580,3522,9579,3519,9577,3515,9574,3510,9426,3283,9525,3184,9629,3080,9860,3228,9865,3231,9869,3233,9873,3234,9876,3235,9880,3236,9883,3234,9888,3234,9892,3232,9898,3227,9903,3224,9925,3202,9930,3195,9934,3190,9938,3185,9940,3179xm10374,2736l10372,2723,10369,2716,10362,2701,10356,2693,10348,2686,9625,1963,9622,1961,9615,1958,9611,1958,9602,1959,9598,1961,9593,1965,9582,1973,9570,1985,9559,2000,9556,2005,9555,2014,9556,2018,9557,2021,9558,2025,9560,2028,10011,2478,10186,2651,10186,2651,10037,2574,9959,2533,9898,2504,9801,2455,9573,2341,9421,2265,9397,2254,9378,2245,9366,2241,9356,2238,9347,2238,9338,2238,9330,2238,9316,2245,9309,2250,9263,2296,9260,2306,9261,2318,9264,2328,9269,2338,9277,2349,9287,2361,10010,3084,10013,3086,10016,3087,10020,3089,10024,3089,10028,3088,10032,3088,10042,3082,10052,3075,10065,3062,10073,3051,10076,3046,10078,3042,10078,3037,10080,3033,10080,3030,10078,3025,10077,3022,10075,3019,9533,2478,9421,2368,9422,2368,9468,2393,9565,2444,9686,2505,10057,2689,10204,2763,10233,2777,10272,2793,10285,2796,10295,2797,10305,2798,10314,2797,10321,2794,10329,2792,10336,2787,10367,2755,10370,2751,10373,2741,10374,273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35.860001pt;margin-top:88.003151pt;width:108.26pt;height:.72pt;mso-position-horizontal-relative:page;mso-position-vertical-relative:paragraph;z-index:-25296384" filled="true" fillcolor="#000000" stroked="false">
            <v:fill type="solid"/>
            <w10:wrap type="none"/>
          </v:rect>
        </w:pict>
      </w:r>
      <w:r>
        <w:rPr/>
        <w:pict>
          <v:rect style="position:absolute;margin-left:135.860001pt;margin-top:114.64315pt;width:108.26pt;height:.72pt;mso-position-horizontal-relative:page;mso-position-vertical-relative:paragraph;z-index:-25295872" filled="true" fillcolor="#000000" stroked="false">
            <v:fill type="solid"/>
            <w10:wrap type="none"/>
          </v:rect>
        </w:pict>
      </w:r>
      <w:r>
        <w:rPr/>
        <w:t>Appendix</w:t>
      </w:r>
      <w:r>
        <w:rPr>
          <w:spacing w:val="-2"/>
        </w:rPr>
        <w:t> </w:t>
      </w:r>
      <w:r>
        <w:rPr/>
        <w:t>5:</w:t>
      </w:r>
      <w:r>
        <w:rPr>
          <w:spacing w:val="58"/>
        </w:rPr>
        <w:t> </w:t>
      </w:r>
      <w:r>
        <w:rPr/>
        <w:t>Unrestricted</w:t>
      </w:r>
      <w:r>
        <w:rPr>
          <w:spacing w:val="-2"/>
        </w:rPr>
        <w:t> </w:t>
      </w:r>
      <w:r>
        <w:rPr/>
        <w:t>Error</w:t>
      </w:r>
      <w:r>
        <w:rPr>
          <w:spacing w:val="-2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</w:r>
      <w:r>
        <w:rPr>
          <w:spacing w:val="-57"/>
        </w:rPr>
        <w:t> </w:t>
      </w:r>
      <w:r>
        <w:rPr/>
        <w:t>Equation</w:t>
      </w:r>
    </w:p>
    <w:tbl>
      <w:tblPr>
        <w:tblW w:w="0" w:type="auto"/>
        <w:jc w:val="left"/>
        <w:tblInd w:w="1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324"/>
        <w:gridCol w:w="1262"/>
        <w:gridCol w:w="1302"/>
        <w:gridCol w:w="1195"/>
      </w:tblGrid>
      <w:tr>
        <w:trPr>
          <w:trHeight w:val="270" w:hRule="atLeast"/>
        </w:trPr>
        <w:tc>
          <w:tcPr>
            <w:tcW w:w="7248" w:type="dxa"/>
            <w:gridSpan w:val="5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DLBOP</w:t>
            </w:r>
          </w:p>
        </w:tc>
      </w:tr>
      <w:tr>
        <w:trPr>
          <w:trHeight w:val="275" w:hRule="atLeast"/>
        </w:trPr>
        <w:tc>
          <w:tcPr>
            <w:tcW w:w="7248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</w:tr>
      <w:tr>
        <w:trPr>
          <w:trHeight w:val="275" w:hRule="atLeast"/>
        </w:trPr>
        <w:tc>
          <w:tcPr>
            <w:tcW w:w="7248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(adjusted):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393" w:hRule="atLeast"/>
        </w:trPr>
        <w:tc>
          <w:tcPr>
            <w:tcW w:w="7248" w:type="dxa"/>
            <w:gridSpan w:val="5"/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 adjustments</w:t>
            </w:r>
          </w:p>
        </w:tc>
      </w:tr>
      <w:tr>
        <w:trPr>
          <w:trHeight w:val="487" w:hRule="atLeast"/>
        </w:trPr>
        <w:tc>
          <w:tcPr>
            <w:tcW w:w="21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left="66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32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6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35" w:right="113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0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119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>
        <w:trPr>
          <w:trHeight w:val="446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4" w:lineRule="exact" w:before="152"/>
              <w:ind w:left="58"/>
              <w:rPr>
                <w:i/>
                <w:sz w:val="24"/>
              </w:rPr>
            </w:pPr>
            <w:r>
              <w:rPr>
                <w:i/>
                <w:spacing w:val="-4"/>
                <w:w w:val="105"/>
                <w:sz w:val="24"/>
              </w:rPr>
              <w:t>Cons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tan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i/>
                <w:spacing w:val="-3"/>
                <w:w w:val="105"/>
                <w:sz w:val="24"/>
              </w:rPr>
              <w:t>t</w:t>
            </w:r>
          </w:p>
        </w:tc>
        <w:tc>
          <w:tcPr>
            <w:tcW w:w="132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74" w:lineRule="exact" w:before="152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28.20648</w:t>
            </w:r>
          </w:p>
        </w:tc>
        <w:tc>
          <w:tcPr>
            <w:tcW w:w="126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74" w:lineRule="exact" w:before="152"/>
              <w:ind w:left="135" w:right="68"/>
              <w:jc w:val="center"/>
              <w:rPr>
                <w:sz w:val="24"/>
              </w:rPr>
            </w:pPr>
            <w:r>
              <w:rPr>
                <w:sz w:val="24"/>
              </w:rPr>
              <w:t>7.092705</w:t>
            </w:r>
          </w:p>
        </w:tc>
        <w:tc>
          <w:tcPr>
            <w:tcW w:w="13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74" w:lineRule="exact" w:before="152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3.976830</w:t>
            </w:r>
          </w:p>
        </w:tc>
        <w:tc>
          <w:tcPr>
            <w:tcW w:w="119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74" w:lineRule="exact" w:before="152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>
        <w:trPr>
          <w:trHeight w:val="346" w:hRule="atLeast"/>
        </w:trPr>
        <w:tc>
          <w:tcPr>
            <w:tcW w:w="2165" w:type="dxa"/>
          </w:tcPr>
          <w:p>
            <w:pPr>
              <w:pStyle w:val="TableParagraph"/>
              <w:spacing w:before="6"/>
              <w:ind w:left="73"/>
              <w:rPr>
                <w:sz w:val="14"/>
              </w:rPr>
            </w:pPr>
            <w:r>
              <w:rPr>
                <w:i/>
                <w:spacing w:val="-6"/>
                <w:sz w:val="24"/>
              </w:rPr>
              <w:t>DlBoP</w:t>
            </w:r>
            <w:r>
              <w:rPr>
                <w:i/>
                <w:spacing w:val="-6"/>
                <w:position w:val="-5"/>
                <w:sz w:val="14"/>
              </w:rPr>
              <w:t>t</w:t>
            </w:r>
            <w:r>
              <w:rPr>
                <w:i/>
                <w:spacing w:val="-21"/>
                <w:position w:val="-5"/>
                <w:sz w:val="14"/>
              </w:rPr>
              <w:t> </w:t>
            </w:r>
            <w:r>
              <w:rPr>
                <w:rFonts w:ascii="Symbol" w:hAnsi="Symbol"/>
                <w:spacing w:val="-6"/>
                <w:position w:val="-5"/>
                <w:sz w:val="14"/>
              </w:rPr>
              <w:t></w:t>
            </w:r>
            <w:r>
              <w:rPr>
                <w:spacing w:val="-6"/>
                <w:position w:val="-5"/>
                <w:sz w:val="14"/>
              </w:rPr>
              <w:t>1</w:t>
            </w:r>
          </w:p>
        </w:tc>
        <w:tc>
          <w:tcPr>
            <w:tcW w:w="1324" w:type="dxa"/>
          </w:tcPr>
          <w:p>
            <w:pPr>
              <w:pStyle w:val="TableParagraph"/>
              <w:spacing w:line="261" w:lineRule="exact" w:before="6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0.285308</w:t>
            </w:r>
          </w:p>
        </w:tc>
        <w:tc>
          <w:tcPr>
            <w:tcW w:w="1262" w:type="dxa"/>
          </w:tcPr>
          <w:p>
            <w:pPr>
              <w:pStyle w:val="TableParagraph"/>
              <w:spacing w:line="261" w:lineRule="exact" w:before="65"/>
              <w:ind w:left="135" w:right="68"/>
              <w:jc w:val="center"/>
              <w:rPr>
                <w:sz w:val="24"/>
              </w:rPr>
            </w:pPr>
            <w:r>
              <w:rPr>
                <w:sz w:val="24"/>
              </w:rPr>
              <w:t>0.200777</w:t>
            </w:r>
          </w:p>
        </w:tc>
        <w:tc>
          <w:tcPr>
            <w:tcW w:w="1302" w:type="dxa"/>
          </w:tcPr>
          <w:p>
            <w:pPr>
              <w:pStyle w:val="TableParagraph"/>
              <w:spacing w:line="261" w:lineRule="exact" w:before="6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1.421017</w:t>
            </w:r>
          </w:p>
        </w:tc>
        <w:tc>
          <w:tcPr>
            <w:tcW w:w="1195" w:type="dxa"/>
          </w:tcPr>
          <w:p>
            <w:pPr>
              <w:pStyle w:val="TableParagraph"/>
              <w:spacing w:line="261" w:lineRule="exact" w:before="6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0.1677</w:t>
            </w:r>
          </w:p>
        </w:tc>
      </w:tr>
      <w:tr>
        <w:trPr>
          <w:trHeight w:val="256" w:hRule="atLeast"/>
        </w:trPr>
        <w:tc>
          <w:tcPr>
            <w:tcW w:w="2165" w:type="dxa"/>
          </w:tcPr>
          <w:p>
            <w:pPr>
              <w:pStyle w:val="TableParagraph"/>
              <w:spacing w:line="236" w:lineRule="exact"/>
              <w:ind w:left="28"/>
              <w:rPr>
                <w:sz w:val="24"/>
              </w:rPr>
            </w:pPr>
            <w:r>
              <w:rPr>
                <w:sz w:val="24"/>
              </w:rPr>
              <w:t>DLREER(-1)</w:t>
            </w:r>
          </w:p>
        </w:tc>
        <w:tc>
          <w:tcPr>
            <w:tcW w:w="1324" w:type="dxa"/>
          </w:tcPr>
          <w:p>
            <w:pPr>
              <w:pStyle w:val="TableParagraph"/>
              <w:spacing w:line="23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1.301309</w:t>
            </w:r>
          </w:p>
        </w:tc>
        <w:tc>
          <w:tcPr>
            <w:tcW w:w="1262" w:type="dxa"/>
          </w:tcPr>
          <w:p>
            <w:pPr>
              <w:pStyle w:val="TableParagraph"/>
              <w:spacing w:line="236" w:lineRule="exact"/>
              <w:ind w:left="135" w:right="68"/>
              <w:jc w:val="center"/>
              <w:rPr>
                <w:sz w:val="24"/>
              </w:rPr>
            </w:pPr>
            <w:r>
              <w:rPr>
                <w:sz w:val="24"/>
              </w:rPr>
              <w:t>0.417594</w:t>
            </w:r>
          </w:p>
        </w:tc>
        <w:tc>
          <w:tcPr>
            <w:tcW w:w="1302" w:type="dxa"/>
          </w:tcPr>
          <w:p>
            <w:pPr>
              <w:pStyle w:val="TableParagraph"/>
              <w:spacing w:line="236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3.116209</w:t>
            </w:r>
          </w:p>
        </w:tc>
        <w:tc>
          <w:tcPr>
            <w:tcW w:w="1195" w:type="dxa"/>
          </w:tcPr>
          <w:p>
            <w:pPr>
              <w:pStyle w:val="TableParagraph"/>
              <w:spacing w:line="236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0.0046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4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DLGDP</w:t>
            </w:r>
            <w:r>
              <w:rPr>
                <w:sz w:val="24"/>
                <w:vertAlign w:val="superscript"/>
              </w:rPr>
              <w:t>d</w:t>
            </w:r>
            <w:r>
              <w:rPr>
                <w:sz w:val="24"/>
                <w:vertAlign w:val="baseline"/>
              </w:rPr>
              <w:t>(-1)</w:t>
            </w:r>
          </w:p>
        </w:tc>
        <w:tc>
          <w:tcPr>
            <w:tcW w:w="1324" w:type="dxa"/>
          </w:tcPr>
          <w:p>
            <w:pPr>
              <w:pStyle w:val="TableParagraph"/>
              <w:spacing w:line="24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-0.243092</w:t>
            </w:r>
          </w:p>
        </w:tc>
        <w:tc>
          <w:tcPr>
            <w:tcW w:w="1262" w:type="dxa"/>
          </w:tcPr>
          <w:p>
            <w:pPr>
              <w:pStyle w:val="TableParagraph"/>
              <w:spacing w:line="241" w:lineRule="exact" w:before="15"/>
              <w:ind w:left="135" w:right="68"/>
              <w:jc w:val="center"/>
              <w:rPr>
                <w:sz w:val="24"/>
              </w:rPr>
            </w:pPr>
            <w:r>
              <w:rPr>
                <w:sz w:val="24"/>
              </w:rPr>
              <w:t>0.356492</w:t>
            </w:r>
          </w:p>
        </w:tc>
        <w:tc>
          <w:tcPr>
            <w:tcW w:w="1302" w:type="dxa"/>
          </w:tcPr>
          <w:p>
            <w:pPr>
              <w:pStyle w:val="TableParagraph"/>
              <w:spacing w:line="241" w:lineRule="exact" w:before="1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-0.681899</w:t>
            </w:r>
          </w:p>
        </w:tc>
        <w:tc>
          <w:tcPr>
            <w:tcW w:w="1195" w:type="dxa"/>
          </w:tcPr>
          <w:p>
            <w:pPr>
              <w:pStyle w:val="TableParagraph"/>
              <w:spacing w:line="241" w:lineRule="exact" w:before="1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0.5016</w:t>
            </w:r>
          </w:p>
        </w:tc>
      </w:tr>
      <w:tr>
        <w:trPr>
          <w:trHeight w:val="295" w:hRule="atLeast"/>
        </w:trPr>
        <w:tc>
          <w:tcPr>
            <w:tcW w:w="2165" w:type="dxa"/>
          </w:tcPr>
          <w:p>
            <w:pPr>
              <w:pStyle w:val="TableParagraph"/>
              <w:spacing w:line="26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DLGDP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324" w:type="dxa"/>
          </w:tcPr>
          <w:p>
            <w:pPr>
              <w:pStyle w:val="TableParagraph"/>
              <w:spacing w:line="26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4.787614</w:t>
            </w:r>
          </w:p>
        </w:tc>
        <w:tc>
          <w:tcPr>
            <w:tcW w:w="1262" w:type="dxa"/>
          </w:tcPr>
          <w:p>
            <w:pPr>
              <w:pStyle w:val="TableParagraph"/>
              <w:spacing w:line="261" w:lineRule="exact" w:before="15"/>
              <w:ind w:left="135" w:right="68"/>
              <w:jc w:val="center"/>
              <w:rPr>
                <w:sz w:val="24"/>
              </w:rPr>
            </w:pPr>
            <w:r>
              <w:rPr>
                <w:sz w:val="24"/>
              </w:rPr>
              <w:t>5.186402</w:t>
            </w:r>
          </w:p>
        </w:tc>
        <w:tc>
          <w:tcPr>
            <w:tcW w:w="1302" w:type="dxa"/>
          </w:tcPr>
          <w:p>
            <w:pPr>
              <w:pStyle w:val="TableParagraph"/>
              <w:spacing w:line="261" w:lineRule="exact" w:before="1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0.923109</w:t>
            </w:r>
          </w:p>
        </w:tc>
        <w:tc>
          <w:tcPr>
            <w:tcW w:w="1195" w:type="dxa"/>
          </w:tcPr>
          <w:p>
            <w:pPr>
              <w:pStyle w:val="TableParagraph"/>
              <w:spacing w:line="261" w:lineRule="exact" w:before="1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0.3648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LBOP(-1)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-1.414727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8"/>
              <w:jc w:val="center"/>
              <w:rPr>
                <w:sz w:val="24"/>
              </w:rPr>
            </w:pPr>
            <w:r>
              <w:rPr>
                <w:sz w:val="24"/>
              </w:rPr>
              <w:t>0.241186</w:t>
            </w:r>
          </w:p>
        </w:tc>
        <w:tc>
          <w:tcPr>
            <w:tcW w:w="1302" w:type="dxa"/>
          </w:tcPr>
          <w:p>
            <w:pPr>
              <w:pStyle w:val="TableParagraph"/>
              <w:spacing w:line="256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-5.865711</w:t>
            </w:r>
          </w:p>
        </w:tc>
        <w:tc>
          <w:tcPr>
            <w:tcW w:w="1195" w:type="dxa"/>
          </w:tcPr>
          <w:p>
            <w:pPr>
              <w:pStyle w:val="TableParagraph"/>
              <w:spacing w:line="256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56" w:hRule="atLeast"/>
        </w:trPr>
        <w:tc>
          <w:tcPr>
            <w:tcW w:w="2165" w:type="dxa"/>
          </w:tcPr>
          <w:p>
            <w:pPr>
              <w:pStyle w:val="TableParagraph"/>
              <w:spacing w:line="236" w:lineRule="exact"/>
              <w:ind w:left="28"/>
              <w:rPr>
                <w:sz w:val="24"/>
              </w:rPr>
            </w:pPr>
            <w:r>
              <w:rPr>
                <w:sz w:val="24"/>
              </w:rPr>
              <w:t>LREER(-1)</w:t>
            </w:r>
          </w:p>
        </w:tc>
        <w:tc>
          <w:tcPr>
            <w:tcW w:w="1324" w:type="dxa"/>
          </w:tcPr>
          <w:p>
            <w:pPr>
              <w:pStyle w:val="TableParagraph"/>
              <w:spacing w:line="23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-0.850899</w:t>
            </w:r>
          </w:p>
        </w:tc>
        <w:tc>
          <w:tcPr>
            <w:tcW w:w="1262" w:type="dxa"/>
          </w:tcPr>
          <w:p>
            <w:pPr>
              <w:pStyle w:val="TableParagraph"/>
              <w:spacing w:line="236" w:lineRule="exact"/>
              <w:ind w:left="135" w:right="68"/>
              <w:jc w:val="center"/>
              <w:rPr>
                <w:sz w:val="24"/>
              </w:rPr>
            </w:pPr>
            <w:r>
              <w:rPr>
                <w:sz w:val="24"/>
              </w:rPr>
              <w:t>0.299714</w:t>
            </w:r>
          </w:p>
        </w:tc>
        <w:tc>
          <w:tcPr>
            <w:tcW w:w="1302" w:type="dxa"/>
          </w:tcPr>
          <w:p>
            <w:pPr>
              <w:pStyle w:val="TableParagraph"/>
              <w:spacing w:line="236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-2.839033</w:t>
            </w:r>
          </w:p>
        </w:tc>
        <w:tc>
          <w:tcPr>
            <w:tcW w:w="1195" w:type="dxa"/>
          </w:tcPr>
          <w:p>
            <w:pPr>
              <w:pStyle w:val="TableParagraph"/>
              <w:spacing w:line="236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0.0089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4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LGDP</w:t>
            </w:r>
            <w:r>
              <w:rPr>
                <w:sz w:val="24"/>
                <w:vertAlign w:val="superscript"/>
              </w:rPr>
              <w:t>d</w:t>
            </w:r>
            <w:r>
              <w:rPr>
                <w:sz w:val="24"/>
                <w:vertAlign w:val="baseline"/>
              </w:rPr>
              <w:t>(-1)</w:t>
            </w:r>
          </w:p>
        </w:tc>
        <w:tc>
          <w:tcPr>
            <w:tcW w:w="1324" w:type="dxa"/>
          </w:tcPr>
          <w:p>
            <w:pPr>
              <w:pStyle w:val="TableParagraph"/>
              <w:spacing w:line="24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-0.892580</w:t>
            </w:r>
          </w:p>
        </w:tc>
        <w:tc>
          <w:tcPr>
            <w:tcW w:w="1262" w:type="dxa"/>
          </w:tcPr>
          <w:p>
            <w:pPr>
              <w:pStyle w:val="TableParagraph"/>
              <w:spacing w:line="241" w:lineRule="exact" w:before="15"/>
              <w:ind w:left="135" w:right="68"/>
              <w:jc w:val="center"/>
              <w:rPr>
                <w:sz w:val="24"/>
              </w:rPr>
            </w:pPr>
            <w:r>
              <w:rPr>
                <w:sz w:val="24"/>
              </w:rPr>
              <w:t>0.341739</w:t>
            </w:r>
          </w:p>
        </w:tc>
        <w:tc>
          <w:tcPr>
            <w:tcW w:w="1302" w:type="dxa"/>
          </w:tcPr>
          <w:p>
            <w:pPr>
              <w:pStyle w:val="TableParagraph"/>
              <w:spacing w:line="241" w:lineRule="exact" w:before="1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-2.611877</w:t>
            </w:r>
          </w:p>
        </w:tc>
        <w:tc>
          <w:tcPr>
            <w:tcW w:w="1195" w:type="dxa"/>
          </w:tcPr>
          <w:p>
            <w:pPr>
              <w:pStyle w:val="TableParagraph"/>
              <w:spacing w:line="241" w:lineRule="exact" w:before="1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0.0150</w:t>
            </w:r>
          </w:p>
        </w:tc>
      </w:tr>
      <w:tr>
        <w:trPr>
          <w:trHeight w:val="413" w:hRule="atLeast"/>
        </w:trPr>
        <w:tc>
          <w:tcPr>
            <w:tcW w:w="21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LGDP</w:t>
            </w:r>
            <w:r>
              <w:rPr>
                <w:sz w:val="24"/>
                <w:vertAlign w:val="superscript"/>
              </w:rPr>
              <w:t>f</w:t>
            </w:r>
            <w:r>
              <w:rPr>
                <w:sz w:val="24"/>
                <w:vertAlign w:val="baseline"/>
              </w:rPr>
              <w:t>(-1)</w:t>
            </w:r>
          </w:p>
        </w:tc>
        <w:tc>
          <w:tcPr>
            <w:tcW w:w="132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-1.166535</w:t>
            </w:r>
          </w:p>
        </w:tc>
        <w:tc>
          <w:tcPr>
            <w:tcW w:w="126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5"/>
              <w:ind w:left="135" w:right="68"/>
              <w:jc w:val="center"/>
              <w:rPr>
                <w:sz w:val="24"/>
              </w:rPr>
            </w:pPr>
            <w:r>
              <w:rPr>
                <w:sz w:val="24"/>
              </w:rPr>
              <w:t>0.573172</w:t>
            </w:r>
          </w:p>
        </w:tc>
        <w:tc>
          <w:tcPr>
            <w:tcW w:w="13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-2.035226</w:t>
            </w:r>
          </w:p>
        </w:tc>
        <w:tc>
          <w:tcPr>
            <w:tcW w:w="119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0.0526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2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0.658263</w:t>
            </w:r>
          </w:p>
        </w:tc>
        <w:tc>
          <w:tcPr>
            <w:tcW w:w="256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9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-0.008402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0.548908</w:t>
            </w:r>
          </w:p>
        </w:tc>
        <w:tc>
          <w:tcPr>
            <w:tcW w:w="2564" w:type="dxa"/>
            <w:gridSpan w:val="2"/>
          </w:tcPr>
          <w:p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95" w:type="dxa"/>
          </w:tcPr>
          <w:p>
            <w:pPr>
              <w:pStyle w:val="TableParagraph"/>
              <w:spacing w:line="256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0.476417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0.319978</w:t>
            </w:r>
          </w:p>
        </w:tc>
        <w:tc>
          <w:tcPr>
            <w:tcW w:w="2564" w:type="dxa"/>
            <w:gridSpan w:val="2"/>
          </w:tcPr>
          <w:p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95" w:type="dxa"/>
          </w:tcPr>
          <w:p>
            <w:pPr>
              <w:pStyle w:val="TableParagraph"/>
              <w:spacing w:line="256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0.780799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2.559650</w:t>
            </w:r>
          </w:p>
        </w:tc>
        <w:tc>
          <w:tcPr>
            <w:tcW w:w="2564" w:type="dxa"/>
            <w:gridSpan w:val="2"/>
          </w:tcPr>
          <w:p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95" w:type="dxa"/>
          </w:tcPr>
          <w:p>
            <w:pPr>
              <w:pStyle w:val="TableParagraph"/>
              <w:spacing w:line="256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1.184835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1324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-4.273579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22" w:right="126"/>
              <w:jc w:val="center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56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6.019468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32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2.196759</w:t>
            </w:r>
          </w:p>
        </w:tc>
        <w:tc>
          <w:tcPr>
            <w:tcW w:w="256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9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0.000240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500" w:bottom="1200" w:left="1320" w:right="440"/>
        </w:sectPr>
      </w:pPr>
    </w:p>
    <w:p>
      <w:pPr>
        <w:spacing w:line="276" w:lineRule="auto" w:before="79"/>
        <w:ind w:left="811" w:right="993" w:firstLine="0"/>
        <w:jc w:val="left"/>
        <w:rPr>
          <w:b/>
          <w:sz w:val="24"/>
        </w:rPr>
      </w:pPr>
      <w:r>
        <w:rPr/>
        <w:pict>
          <v:shape style="position:absolute;margin-left:116.940002pt;margin-top:542.849976pt;width:51.55pt;height:51.7pt;mso-position-horizontal-relative:page;mso-position-vertical-relative:page;z-index:-25294848" coordorigin="2339,10857" coordsize="1031,1034" path="m2701,10857l2697,10857,2693,10858,2644,10905,2641,10913,2642,10916,2644,10923,2647,10927,3127,11407,3152,11432,3194,11482,3236,11552,3257,11615,3259,11635,3258,11654,3231,11721,3172,11766,3118,11775,3098,11773,3033,11752,2961,11708,2910,11665,2409,11165,2405,11162,2346,11198,2339,11215,2339,11219,2831,11716,2902,11780,2971,11830,3037,11865,3098,11885,3157,11891,3184,11889,3260,11862,3323,11806,3361,11730,3369,11673,3367,11644,3353,11581,3324,11515,3281,11447,3224,11377,2711,10862,2708,10860,2701,1085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240005pt;margin-top:397.679993pt;width:169.15pt;height:177.05pt;mso-position-horizontal-relative:page;mso-position-vertical-relative:page;z-index:-25294336" coordorigin="2845,7954" coordsize="3383,3541" path="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38.860001pt;margin-top:449.950012pt;width:108.26pt;height:.72pt;mso-position-horizontal-relative:page;mso-position-vertical-relative:page;z-index:-25293312" filled="true" fillcolor="#000000" stroked="false">
            <v:fill type="solid"/>
            <w10:wrap type="none"/>
          </v:rect>
        </w:pict>
      </w:r>
      <w:r>
        <w:rPr/>
        <w:pict>
          <v:rect style="position:absolute;margin-left:138.860001pt;margin-top:497.709991pt;width:108.26pt;height:.72pt;mso-position-horizontal-relative:page;mso-position-vertical-relative:page;z-index:-25292800" filled="true" fillcolor="#000000" stroked="false">
            <v:fill type="solid"/>
            <w10:wrap type="none"/>
          </v:rect>
        </w:pict>
      </w:r>
      <w:r>
        <w:rPr/>
        <w:pict>
          <v:rect style="position:absolute;margin-left:138.860001pt;margin-top:564.549988pt;width:108.26pt;height:.72003pt;mso-position-horizontal-relative:page;mso-position-vertical-relative:page;z-index:-25292288" filled="true" fillcolor="#000000" stroked="false">
            <v:fill type="solid"/>
            <w10:wrap type="none"/>
          </v:rect>
        </w:pict>
      </w:r>
      <w:r>
        <w:rPr/>
        <w:pict>
          <v:rect style="position:absolute;margin-left:138.860001pt;margin-top:631.540039pt;width:108.26pt;height:.71997pt;mso-position-horizontal-relative:page;mso-position-vertical-relative:page;z-index:-2529177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6: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Diagnostic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specified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Parsimonious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Error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Correction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Balance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Payments</w:t>
      </w:r>
    </w:p>
    <w:p>
      <w:pPr>
        <w:spacing w:before="200"/>
        <w:ind w:left="1171" w:right="0" w:firstLine="0"/>
        <w:jc w:val="left"/>
        <w:rPr>
          <w:b/>
          <w:sz w:val="20"/>
        </w:rPr>
      </w:pPr>
      <w:r>
        <w:rPr>
          <w:b/>
          <w:sz w:val="20"/>
        </w:rPr>
        <w:t>A.</w:t>
      </w:r>
      <w:r>
        <w:rPr>
          <w:b/>
          <w:spacing w:val="63"/>
          <w:sz w:val="20"/>
        </w:rPr>
        <w:t> </w:t>
      </w:r>
      <w:r>
        <w:rPr>
          <w:b/>
          <w:sz w:val="20"/>
        </w:rPr>
        <w:t>Residual Tests</w:t>
      </w:r>
    </w:p>
    <w:p>
      <w:pPr>
        <w:spacing w:before="0" w:after="2"/>
        <w:ind w:left="1531" w:right="0" w:firstLine="0"/>
        <w:jc w:val="left"/>
        <w:rPr>
          <w:b/>
          <w:sz w:val="20"/>
        </w:rPr>
      </w:pPr>
      <w:r>
        <w:rPr/>
        <w:pict>
          <v:shape style="position:absolute;margin-left:281.300018pt;margin-top:72.135933pt;width:237.4pt;height:230.5pt;mso-position-horizontal-relative:page;mso-position-vertical-relative:paragraph;z-index:-25293824" coordorigin="5626,1443" coordsize="4748,4610" path="m6603,5996l6602,5992,6600,5985,6597,5982,6306,5691,6268,5619,6080,5258,6004,5114,5993,5093,5983,5081,5979,5079,5969,5076,5964,5078,5957,5082,5944,5093,5928,5109,5923,5115,5916,5124,5914,5129,5912,5137,5912,5140,5917,5153,5921,5158,6079,5451,6115,5516,6178,5624,6177,5624,6002,5525,5929,5485,5783,5407,5705,5365,5696,5361,5692,5360,5684,5362,5680,5363,5675,5366,5670,5369,5658,5379,5642,5395,5632,5407,5628,5413,5626,5418,5628,5428,5631,5432,5637,5437,5643,5442,5664,5454,5736,5492,6098,5680,6242,5756,6532,6047,6536,6049,6542,6052,6546,6052,6550,6051,6554,6050,6564,6045,6569,6041,6575,6037,6587,6025,6592,6019,6595,6014,6600,6004,6601,6000,6603,5996xm7274,5263l7274,5226,7268,5188,7258,5148,7242,5107,7223,5065,7199,5022,7170,4977,7161,4965,7161,5236,7157,5262,7148,5287,7133,5311,7115,5333,7093,5352,7070,5366,7045,5376,7020,5380,6994,5381,6967,5379,6939,5372,6909,5361,6880,5347,6849,5330,6818,5309,6786,5285,6753,5259,6720,5230,6687,5199,6652,5166,6622,5134,6594,5103,6567,5071,6541,5040,6518,5008,6499,4977,6482,4946,6469,4916,6458,4886,6451,4857,6447,4829,6447,4802,6451,4775,6460,4751,6474,4728,6493,4706,6515,4687,6537,4673,6562,4663,6587,4659,6614,4658,6641,4661,6669,4667,6698,4678,6728,4692,6759,4709,6790,4729,6821,4752,6854,4778,6886,4806,6919,4836,6952,4869,6983,4900,7012,4932,7039,4964,7064,4996,7088,5028,7108,5059,7125,5090,7139,5121,7150,5151,7157,5180,7161,5208,7161,5236,7161,4965,7137,4932,7100,4886,7059,4840,7013,4793,6966,4747,6921,4706,6876,4670,6860,4658,6832,4637,6790,4609,6749,4586,6709,4568,6670,4554,6633,4545,6596,4540,6562,4541,6528,4545,6496,4554,6465,4569,6436,4588,6408,4613,6383,4642,6363,4672,6348,4705,6339,4739,6335,4775,6336,4812,6341,4850,6351,4890,6366,4931,6386,4973,6409,5016,6438,5060,6470,5105,6507,5150,6547,5195,6591,5241,6639,5287,6685,5329,6731,5366,6775,5399,6817,5428,6859,5451,6899,5470,6938,5484,6975,5494,7011,5499,7046,5498,7080,5494,7113,5485,7144,5470,7173,5451,7201,5426,7227,5397,7237,5381,7247,5366,7261,5334,7270,5299,7274,5263xm7572,5026l7572,5023,7569,5015,7567,5012,7239,4684,7409,4514,7410,4511,7410,4504,7409,4500,7404,4491,7400,4485,7385,4467,7369,4451,7361,4444,7355,4439,7349,4434,7344,4431,7336,4427,7332,4426,7328,4426,7325,4427,7323,4428,7153,4598,6887,4333,7068,4152,7069,4150,7069,4147,7068,4139,7063,4131,7059,4125,7043,4106,7035,4098,7027,4090,7008,4073,6993,4065,6989,4064,6982,4064,6980,4064,6753,4291,6750,4300,6752,4311,6754,4320,6759,4330,6767,4340,6777,4352,7502,5077,7505,5079,7513,5082,7516,5082,7520,5081,7524,5080,7534,5075,7539,5072,7545,5067,7557,5054,7565,5044,7570,5034,7571,5030,7572,5026xm8101,4498l8100,4494,8098,4487,8095,4484,8092,4481,7340,3729,7337,3726,7330,3724,7327,3724,7322,3724,7318,3726,7309,3731,7298,3739,7286,3751,7278,3761,7273,3771,7272,3775,7271,3779,7271,3783,7274,3790,7276,3794,8031,4549,8034,4551,8041,4554,8044,4554,8048,4553,8053,4552,8063,4547,8073,4538,8086,4526,8090,4520,8094,4515,8099,4506,8099,4501,8101,4498xm8456,4070l8456,4053,8454,4037,8451,4020,8448,4003,8442,3985,8436,3968,8428,3950,8419,3932,8409,3914,8397,3895,8383,3877,8369,3859,8352,3841,8346,3834,8346,4036,8345,4050,8343,4063,8340,4076,8335,4088,8328,4100,8320,4112,8310,4123,8216,4217,7941,3942,8018,3865,8024,3860,8034,3851,8049,3839,8063,3830,8078,3823,8093,3819,8108,3817,8124,3816,8139,3817,8155,3821,8171,3826,8188,3833,8204,3842,8221,3852,8238,3865,8255,3880,8273,3896,8288,3913,8301,3929,8313,3945,8323,3961,8331,3976,8337,3992,8341,4007,8344,4021,8346,4036,8346,3834,8335,3822,8328,3816,8315,3803,8295,3786,8275,3771,8254,3757,8234,3745,8214,3734,8195,3726,8190,3724,8176,3719,8158,3714,8139,3711,8122,3709,8105,3709,8089,3710,8073,3714,8059,3718,8046,3724,8048,3711,8048,3697,8048,3683,8046,3668,8043,3654,8039,3639,8034,3624,8028,3609,8021,3595,8013,3580,8004,3566,7993,3551,7982,3537,7971,3522,7964,3514,7964,3708,7964,3722,7962,3735,7958,3748,7952,3761,7943,3773,7932,3786,7859,3860,7606,3607,7673,3540,7686,3528,7700,3517,7713,3509,7726,3504,7739,3501,7751,3499,7765,3499,7777,3501,7791,3504,7805,3509,7818,3516,7832,3524,7846,3534,7860,3545,7874,3557,7888,3571,7900,3583,7912,3597,7923,3610,7933,3624,7941,3639,7949,3653,7955,3667,7959,3681,7962,3695,7964,3708,7964,3514,7958,3508,7950,3499,7945,3494,7921,3472,7898,3452,7875,3435,7852,3420,7829,3408,7806,3398,7784,3391,7762,3386,7740,3384,7719,3385,7698,3388,7677,3394,7656,3403,7635,3416,7614,3432,7592,3452,7481,3563,7476,3568,7473,3577,7474,3588,7477,3597,7482,3607,7489,3618,7500,3629,8195,4325,8206,4335,8217,4343,8227,4347,8236,4349,8247,4351,8256,4349,8387,4217,8389,4216,8402,4202,8413,4188,8423,4174,8431,4160,8438,4146,8444,4132,8449,4117,8452,4102,8454,4086,8456,4070xm9020,3585l9019,3580,9017,3575,9014,3569,9009,3564,9003,3559,8995,3554,8984,3546,8889,3486,8609,3309,8609,3420,8440,3589,8179,3184,8135,3117,8135,3116,8135,3116,8609,3420,8609,3309,8304,3116,8097,2985,8091,2982,8086,2979,8081,2978,8076,2977,8072,2977,8062,2980,8056,2983,8050,2988,8044,2992,8038,2999,8030,3007,8022,3015,8016,3021,8012,3026,8008,3032,8005,3037,8004,3042,8002,3047,8001,3051,8003,3056,8004,3060,8007,3065,8010,3071,8053,3139,8370,3641,8571,3958,8578,3969,8584,3977,8589,3983,8594,3988,8600,3991,8604,3993,8609,3994,8614,3993,8620,3989,8625,3985,8632,3980,8646,3965,8651,3959,8655,3954,8659,3949,8661,3945,8661,3940,8662,3936,8662,3932,8660,3928,8659,3924,8657,3920,8654,3916,8617,3859,8506,3688,8605,3589,8709,3486,8940,3634,8945,3636,8949,3638,8953,3640,8956,3641,8960,3641,8963,3640,8968,3639,8972,3637,8978,3633,8983,3629,9005,3607,9010,3600,9014,3595,9018,3590,9020,3585xm9323,3169l9321,3131,9314,3091,9302,3050,9285,3008,9263,2964,9236,2919,9213,2885,9213,3133,9212,3160,9207,3186,9198,3211,9186,3236,9168,3260,9147,3284,9080,3350,8473,2743,8539,2677,8565,2654,8590,2637,8617,2624,8644,2617,8672,2614,8700,2615,8729,2619,8759,2626,8790,2638,8821,2652,8852,2669,8884,2690,8916,2714,8948,2740,8980,2768,9012,2798,9049,2837,9083,2875,9113,2911,9138,2946,9160,2980,9178,3013,9193,3045,9203,3076,9210,3105,9213,3133,9213,2885,9204,2872,9166,2825,9124,2776,9076,2726,9032,2684,8988,2646,8947,2614,8945,2612,8902,2583,8860,2558,8819,2537,8778,2521,8738,2508,8700,2501,8662,2498,8625,2500,8590,2507,8555,2518,8522,2535,8489,2558,8457,2587,8341,2703,8338,2712,8339,2723,8342,2732,8347,2742,8354,2753,8365,2764,9060,3460,9072,3470,9082,3477,9092,3482,9101,3484,9112,3486,9121,3483,9230,3375,9252,3350,9258,3343,9282,3310,9300,3277,9313,3242,9320,3206,9323,3169xm9940,2665l9939,2660,9937,2655,9934,2649,9929,2644,9923,2639,9916,2633,9905,2626,9810,2566,9529,2389,9529,2500,9360,2669,9099,2264,9055,2197,9055,2196,9529,2500,9529,2389,9224,2196,9017,2065,9011,2062,9006,2059,8996,2056,8992,2057,8987,2059,8982,2060,8976,2063,8971,2068,8965,2072,8958,2079,8950,2087,8936,2101,8928,2112,8925,2117,8924,2122,8922,2127,8922,2131,8923,2135,8924,2140,8927,2145,8930,2150,9017,2287,9289,2720,9318,2765,9491,3038,9498,3049,9504,3057,9509,3062,9514,3068,9520,3071,9529,3074,9534,3072,9540,3069,9545,3065,9552,3059,9566,3045,9571,3039,9575,3034,9579,3029,9581,3024,9581,3019,9582,3015,9582,3012,9580,3007,9579,3004,9577,3000,9574,2995,9426,2768,9525,2669,9629,2566,9860,2714,9865,2716,9869,2718,9873,2719,9876,2721,9880,2721,9883,2720,9888,2719,9892,2717,9898,2713,9903,2709,9925,2687,9930,2680,9934,2675,9938,2670,9940,2665xm10374,2221l10372,2208,10369,2201,10362,2187,10356,2179,10348,2171,9625,1448,9622,1446,9615,1443,9611,1443,9602,1444,9598,1446,9593,1450,9582,1458,9570,1470,9559,1486,9556,1490,9555,1499,9556,1503,9557,1506,9558,1510,9560,1513,10011,1963,10186,2136,10186,2137,10037,2059,9959,2019,9898,1989,9801,1940,9573,1826,9421,1750,9397,1739,9378,1730,9366,1726,9356,1724,9347,1723,9338,1723,9330,1724,9316,1730,9309,1735,9263,1781,9260,1791,9261,1803,9264,1813,9269,1823,9277,1834,9287,1846,10010,2569,10013,2571,10016,2572,10020,2574,10024,2575,10028,2573,10032,2573,10042,2568,10052,2560,10065,2547,10073,2536,10076,2531,10078,2527,10078,2522,10080,2518,10080,2515,10078,2511,10077,2507,10075,2504,9533,1963,9421,1854,9422,1853,9468,1878,9565,1929,9686,1990,10057,2174,10204,2248,10233,2262,10272,2278,10285,2281,10295,2282,10305,2283,10314,2283,10321,2280,10329,2277,10336,2272,10367,2241,10370,2237,10373,2226,10374,222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A1: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Correlogram-Q-Statistics</w:t>
      </w:r>
    </w:p>
    <w:tbl>
      <w:tblPr>
        <w:tblW w:w="0" w:type="auto"/>
        <w:jc w:val="left"/>
        <w:tblInd w:w="1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444"/>
        <w:gridCol w:w="951"/>
        <w:gridCol w:w="753"/>
        <w:gridCol w:w="731"/>
        <w:gridCol w:w="887"/>
        <w:gridCol w:w="816"/>
      </w:tblGrid>
      <w:tr>
        <w:trPr>
          <w:trHeight w:val="270" w:hRule="atLeast"/>
        </w:trPr>
        <w:tc>
          <w:tcPr>
            <w:tcW w:w="7456" w:type="dxa"/>
            <w:gridSpan w:val="7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381" w:hRule="atLeast"/>
        </w:trPr>
        <w:tc>
          <w:tcPr>
            <w:tcW w:w="7456" w:type="dxa"/>
            <w:gridSpan w:val="7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34</w:t>
            </w:r>
          </w:p>
        </w:tc>
      </w:tr>
      <w:tr>
        <w:trPr>
          <w:trHeight w:val="485" w:hRule="atLeast"/>
        </w:trPr>
        <w:tc>
          <w:tcPr>
            <w:tcW w:w="187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206"/>
              <w:rPr>
                <w:sz w:val="24"/>
              </w:rPr>
            </w:pPr>
            <w:r>
              <w:rPr>
                <w:sz w:val="24"/>
              </w:rPr>
              <w:t>Autocorrelation</w:t>
            </w:r>
          </w:p>
        </w:tc>
        <w:tc>
          <w:tcPr>
            <w:tcW w:w="2395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49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75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52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73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PAC</w:t>
            </w:r>
          </w:p>
        </w:tc>
        <w:tc>
          <w:tcPr>
            <w:tcW w:w="887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87"/>
              <w:rPr>
                <w:sz w:val="24"/>
              </w:rPr>
            </w:pPr>
            <w:r>
              <w:rPr>
                <w:sz w:val="24"/>
              </w:rPr>
              <w:t>Q-Stat</w:t>
            </w:r>
          </w:p>
        </w:tc>
        <w:tc>
          <w:tcPr>
            <w:tcW w:w="81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53"/>
              <w:rPr>
                <w:sz w:val="24"/>
              </w:rPr>
            </w:pPr>
            <w:r>
              <w:rPr>
                <w:sz w:val="24"/>
              </w:rPr>
              <w:t>Prob</w:t>
            </w:r>
          </w:p>
        </w:tc>
      </w:tr>
      <w:tr>
        <w:trPr>
          <w:trHeight w:val="382" w:hRule="atLeast"/>
        </w:trPr>
        <w:tc>
          <w:tcPr>
            <w:tcW w:w="187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96" w:val="left" w:leader="none"/>
              </w:tabs>
              <w:spacing w:line="261" w:lineRule="exact" w:before="101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|**.</w:t>
              <w:tab/>
              <w:t>|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157" w:val="left" w:leader="none"/>
              </w:tabs>
              <w:spacing w:line="261" w:lineRule="exact" w:before="101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|**.</w:t>
              <w:tab/>
              <w:t>|</w:t>
            </w:r>
          </w:p>
        </w:tc>
        <w:tc>
          <w:tcPr>
            <w:tcW w:w="95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73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88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left="72"/>
              <w:rPr>
                <w:sz w:val="24"/>
              </w:rPr>
            </w:pPr>
            <w:r>
              <w:rPr>
                <w:sz w:val="24"/>
              </w:rPr>
              <w:t>2.9246</w:t>
            </w:r>
          </w:p>
        </w:tc>
        <w:tc>
          <w:tcPr>
            <w:tcW w:w="81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0.087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0.099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3.3004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0.192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0.127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0.102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3.9393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0.268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0.117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5.1100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-0.026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-0.122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5.1390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0.399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-0.005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5.1400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0.526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0.090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5.5945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0.588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5.7741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0.673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5.8774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0.752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0.087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6.2621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0.793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-0.039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6.3456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0.849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6.3826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0.896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6.4271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0.929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731" w:type="dxa"/>
          </w:tcPr>
          <w:p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-0.004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6.4766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0.953</w:t>
            </w:r>
          </w:p>
        </w:tc>
      </w:tr>
      <w:tr>
        <w:trPr>
          <w:trHeight w:val="378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976" w:val="left" w:leader="none"/>
              </w:tabs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037" w:val="left" w:leader="none"/>
              </w:tabs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5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73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88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72"/>
              <w:rPr>
                <w:sz w:val="24"/>
              </w:rPr>
            </w:pPr>
            <w:r>
              <w:rPr>
                <w:sz w:val="24"/>
              </w:rPr>
              <w:t>6.4785</w:t>
            </w:r>
          </w:p>
        </w:tc>
        <w:tc>
          <w:tcPr>
            <w:tcW w:w="8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0.971</w:t>
            </w:r>
          </w:p>
        </w:tc>
      </w:tr>
      <w:tr>
        <w:trPr>
          <w:trHeight w:val="653" w:hRule="atLeast"/>
        </w:trPr>
        <w:tc>
          <w:tcPr>
            <w:tcW w:w="7456" w:type="dxa"/>
            <w:gridSpan w:val="7"/>
            <w:tcBorders>
              <w:top w:val="doub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A2: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Jarque-Bera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</w:t>
            </w:r>
          </w:p>
        </w:tc>
      </w:tr>
      <w:tr>
        <w:trPr>
          <w:trHeight w:val="473" w:hRule="atLeast"/>
        </w:trPr>
        <w:tc>
          <w:tcPr>
            <w:tcW w:w="1874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3.134</w:t>
            </w:r>
          </w:p>
        </w:tc>
        <w:tc>
          <w:tcPr>
            <w:tcW w:w="170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51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3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7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</w:tr>
      <w:tr>
        <w:trPr>
          <w:trHeight w:val="391" w:hRule="atLeast"/>
        </w:trPr>
        <w:tc>
          <w:tcPr>
            <w:tcW w:w="7456" w:type="dxa"/>
            <w:gridSpan w:val="7"/>
            <w:tcBorders>
              <w:top w:val="double" w:sz="2" w:space="0" w:color="000000"/>
            </w:tcBorders>
          </w:tcPr>
          <w:p>
            <w:pPr>
              <w:pStyle w:val="TableParagraph"/>
              <w:spacing w:line="272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A3: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Breusch-Godfrey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Correlation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6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0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0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1.522699</w:t>
            </w:r>
          </w:p>
        </w:tc>
        <w:tc>
          <w:tcPr>
            <w:tcW w:w="170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0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31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3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0" w:lineRule="exact" w:before="87"/>
              <w:ind w:left="764"/>
              <w:rPr>
                <w:sz w:val="24"/>
              </w:rPr>
            </w:pPr>
            <w:r>
              <w:rPr>
                <w:sz w:val="24"/>
              </w:rPr>
              <w:t>0.239312</w:t>
            </w:r>
          </w:p>
        </w:tc>
      </w:tr>
      <w:tr>
        <w:trPr>
          <w:trHeight w:val="380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3.975502</w:t>
            </w:r>
          </w:p>
        </w:tc>
        <w:tc>
          <w:tcPr>
            <w:tcW w:w="170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3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3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0" w:lineRule="exact"/>
              <w:ind w:left="764"/>
              <w:rPr>
                <w:sz w:val="24"/>
              </w:rPr>
            </w:pPr>
            <w:r>
              <w:rPr>
                <w:sz w:val="24"/>
              </w:rPr>
              <w:t>0.137003</w:t>
            </w:r>
          </w:p>
        </w:tc>
      </w:tr>
      <w:tr>
        <w:trPr>
          <w:trHeight w:val="499" w:hRule="atLeast"/>
        </w:trPr>
        <w:tc>
          <w:tcPr>
            <w:tcW w:w="1874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A4: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ARCH Test:</w:t>
            </w:r>
          </w:p>
        </w:tc>
        <w:tc>
          <w:tcPr>
            <w:tcW w:w="144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7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2.610806</w:t>
            </w:r>
          </w:p>
        </w:tc>
        <w:tc>
          <w:tcPr>
            <w:tcW w:w="170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31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3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764"/>
              <w:rPr>
                <w:sz w:val="24"/>
              </w:rPr>
            </w:pPr>
            <w:r>
              <w:rPr>
                <w:sz w:val="24"/>
              </w:rPr>
              <w:t>0.116271</w:t>
            </w:r>
          </w:p>
        </w:tc>
      </w:tr>
      <w:tr>
        <w:trPr>
          <w:trHeight w:val="379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2.563360</w:t>
            </w:r>
          </w:p>
        </w:tc>
        <w:tc>
          <w:tcPr>
            <w:tcW w:w="170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3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3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764"/>
              <w:rPr>
                <w:sz w:val="24"/>
              </w:rPr>
            </w:pPr>
            <w:r>
              <w:rPr>
                <w:sz w:val="24"/>
              </w:rPr>
              <w:t>0.109366</w:t>
            </w:r>
          </w:p>
        </w:tc>
      </w:tr>
      <w:tr>
        <w:trPr>
          <w:trHeight w:val="502" w:hRule="atLeast"/>
        </w:trPr>
        <w:tc>
          <w:tcPr>
            <w:tcW w:w="7456" w:type="dxa"/>
            <w:gridSpan w:val="7"/>
            <w:tcBorders>
              <w:top w:val="double" w:sz="2" w:space="0" w:color="000000"/>
            </w:tcBorders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A.5: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Heteroskedasticity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5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2.240896</w:t>
            </w:r>
          </w:p>
        </w:tc>
        <w:tc>
          <w:tcPr>
            <w:tcW w:w="170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31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3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764"/>
              <w:rPr>
                <w:sz w:val="24"/>
              </w:rPr>
            </w:pPr>
            <w:r>
              <w:rPr>
                <w:sz w:val="24"/>
              </w:rPr>
              <w:t>0.054370</w:t>
            </w:r>
          </w:p>
        </w:tc>
      </w:tr>
      <w:tr>
        <w:trPr>
          <w:trHeight w:val="381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23.06429</w:t>
            </w:r>
          </w:p>
        </w:tc>
        <w:tc>
          <w:tcPr>
            <w:tcW w:w="170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3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3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764"/>
              <w:rPr>
                <w:sz w:val="24"/>
              </w:rPr>
            </w:pPr>
            <w:r>
              <w:rPr>
                <w:sz w:val="24"/>
              </w:rPr>
              <w:t>0.112027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tbl>
      <w:tblPr>
        <w:tblW w:w="0" w:type="auto"/>
        <w:jc w:val="left"/>
        <w:tblInd w:w="1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2211"/>
        <w:gridCol w:w="1925"/>
      </w:tblGrid>
      <w:tr>
        <w:trPr>
          <w:trHeight w:val="659" w:hRule="atLeast"/>
        </w:trPr>
        <w:tc>
          <w:tcPr>
            <w:tcW w:w="7454" w:type="dxa"/>
            <w:gridSpan w:val="4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Stability Tests</w:t>
            </w: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B1: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13.49802</w:t>
            </w:r>
          </w:p>
        </w:tc>
        <w:tc>
          <w:tcPr>
            <w:tcW w:w="221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92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0.000132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26.39928</w:t>
            </w:r>
          </w:p>
        </w:tc>
        <w:tc>
          <w:tcPr>
            <w:tcW w:w="221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92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0.000002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138.860001pt;margin-top:104.660004pt;width:108.26pt;height:.72pt;mso-position-horizontal-relative:page;mso-position-vertical-relative:page;z-index:-25290752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-25290240" from="127.013214pt,266.791656pt" to="297.42832pt,266.791656pt" stroked="true" strokeweight=".338253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6"/>
        <w:gridCol w:w="4631"/>
      </w:tblGrid>
      <w:tr>
        <w:trPr>
          <w:trHeight w:val="3348" w:hRule="atLeast"/>
        </w:trPr>
        <w:tc>
          <w:tcPr>
            <w:tcW w:w="4126" w:type="dxa"/>
          </w:tcPr>
          <w:p>
            <w:pPr>
              <w:pStyle w:val="TableParagraph"/>
              <w:spacing w:line="266" w:lineRule="exact"/>
              <w:ind w:left="302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Recursive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Residuals</w:t>
            </w: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242"/>
              <w:rPr>
                <w:rFonts w:ascii="Arial MT"/>
                <w:sz w:val="12"/>
              </w:rPr>
            </w:pPr>
            <w:r>
              <w:rPr>
                <w:rFonts w:ascii="Arial MT"/>
                <w:w w:val="120"/>
                <w:sz w:val="12"/>
              </w:rPr>
              <w:t>.8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242"/>
              <w:rPr>
                <w:rFonts w:ascii="Arial MT"/>
                <w:sz w:val="12"/>
              </w:rPr>
            </w:pPr>
            <w:r>
              <w:rPr>
                <w:rFonts w:ascii="Arial MT"/>
                <w:w w:val="120"/>
                <w:sz w:val="12"/>
              </w:rPr>
              <w:t>.4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242"/>
              <w:rPr>
                <w:rFonts w:ascii="Arial MT"/>
                <w:sz w:val="12"/>
              </w:rPr>
            </w:pPr>
            <w:r>
              <w:rPr>
                <w:rFonts w:ascii="Arial MT"/>
                <w:w w:val="120"/>
                <w:sz w:val="12"/>
              </w:rPr>
              <w:t>.0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200"/>
              <w:rPr>
                <w:rFonts w:ascii="Arial MT"/>
                <w:sz w:val="12"/>
              </w:rPr>
            </w:pPr>
            <w:r>
              <w:rPr>
                <w:rFonts w:ascii="Arial MT"/>
                <w:w w:val="120"/>
                <w:sz w:val="12"/>
              </w:rPr>
              <w:t>-.4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00"/>
              <w:rPr>
                <w:rFonts w:ascii="Arial MT"/>
                <w:sz w:val="12"/>
              </w:rPr>
            </w:pPr>
            <w:r>
              <w:rPr>
                <w:rFonts w:ascii="Arial MT"/>
                <w:w w:val="120"/>
                <w:sz w:val="12"/>
              </w:rPr>
              <w:t>-.8</w:t>
            </w:r>
          </w:p>
          <w:p>
            <w:pPr>
              <w:pStyle w:val="TableParagraph"/>
              <w:spacing w:before="6"/>
              <w:ind w:left="370" w:right="204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120"/>
                <w:sz w:val="12"/>
              </w:rPr>
              <w:t>86 </w:t>
            </w:r>
            <w:r>
              <w:rPr>
                <w:rFonts w:ascii="Arial MT"/>
                <w:spacing w:val="3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88  </w:t>
            </w:r>
            <w:r>
              <w:rPr>
                <w:rFonts w:ascii="Arial MT"/>
                <w:spacing w:val="1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90  </w:t>
            </w:r>
            <w:r>
              <w:rPr>
                <w:rFonts w:ascii="Arial MT"/>
                <w:spacing w:val="2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92  </w:t>
            </w:r>
            <w:r>
              <w:rPr>
                <w:rFonts w:ascii="Arial MT"/>
                <w:spacing w:val="3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94  </w:t>
            </w:r>
            <w:r>
              <w:rPr>
                <w:rFonts w:ascii="Arial MT"/>
                <w:spacing w:val="2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96  </w:t>
            </w:r>
            <w:r>
              <w:rPr>
                <w:rFonts w:ascii="Arial MT"/>
                <w:spacing w:val="3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98  </w:t>
            </w:r>
            <w:r>
              <w:rPr>
                <w:rFonts w:ascii="Arial MT"/>
                <w:spacing w:val="1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00  </w:t>
            </w:r>
            <w:r>
              <w:rPr>
                <w:rFonts w:ascii="Arial MT"/>
                <w:spacing w:val="4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02  </w:t>
            </w:r>
            <w:r>
              <w:rPr>
                <w:rFonts w:ascii="Arial MT"/>
                <w:spacing w:val="1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04  </w:t>
            </w:r>
            <w:r>
              <w:rPr>
                <w:rFonts w:ascii="Arial MT"/>
                <w:spacing w:val="4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06  </w:t>
            </w:r>
            <w:r>
              <w:rPr>
                <w:rFonts w:ascii="Arial MT"/>
                <w:spacing w:val="1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08  </w:t>
            </w:r>
            <w:r>
              <w:rPr>
                <w:rFonts w:ascii="Arial MT"/>
                <w:spacing w:val="4"/>
                <w:w w:val="120"/>
                <w:sz w:val="12"/>
              </w:rPr>
              <w:t> </w:t>
            </w:r>
            <w:r>
              <w:rPr>
                <w:rFonts w:ascii="Arial MT"/>
                <w:w w:val="120"/>
                <w:sz w:val="12"/>
              </w:rPr>
              <w:t>10</w:t>
            </w:r>
          </w:p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tabs>
                <w:tab w:pos="2905" w:val="left" w:leader="none"/>
              </w:tabs>
              <w:spacing w:before="1"/>
              <w:ind w:left="1200"/>
              <w:rPr>
                <w:rFonts w:ascii="Arial MT" w:hAnsi="Arial MT"/>
                <w:sz w:val="12"/>
              </w:rPr>
            </w:pPr>
            <w:r>
              <w:rPr>
                <w:rFonts w:ascii="Arial MT" w:hAnsi="Arial MT"/>
                <w:spacing w:val="-1"/>
                <w:w w:val="115"/>
                <w:sz w:val="12"/>
              </w:rPr>
              <w:t>Recursive</w:t>
            </w:r>
            <w:r>
              <w:rPr>
                <w:rFonts w:ascii="Arial MT" w:hAnsi="Arial MT"/>
                <w:spacing w:val="-8"/>
                <w:w w:val="115"/>
                <w:sz w:val="12"/>
              </w:rPr>
              <w:t> </w:t>
            </w:r>
            <w:r>
              <w:rPr>
                <w:rFonts w:ascii="Arial MT" w:hAnsi="Arial MT"/>
                <w:spacing w:val="-1"/>
                <w:w w:val="115"/>
                <w:sz w:val="12"/>
              </w:rPr>
              <w:t>Residuals</w:t>
              <w:tab/>
            </w:r>
            <w:r>
              <w:rPr>
                <w:rFonts w:ascii="Arial MT" w:hAnsi="Arial MT"/>
                <w:spacing w:val="-2"/>
                <w:w w:val="120"/>
                <w:sz w:val="12"/>
              </w:rPr>
              <w:t>±</w:t>
            </w:r>
            <w:r>
              <w:rPr>
                <w:rFonts w:ascii="Arial MT" w:hAnsi="Arial MT"/>
                <w:spacing w:val="-10"/>
                <w:w w:val="120"/>
                <w:sz w:val="12"/>
              </w:rPr>
              <w:t> </w:t>
            </w:r>
            <w:r>
              <w:rPr>
                <w:rFonts w:ascii="Arial MT" w:hAnsi="Arial MT"/>
                <w:spacing w:val="-1"/>
                <w:w w:val="120"/>
                <w:sz w:val="12"/>
              </w:rPr>
              <w:t>2</w:t>
            </w:r>
            <w:r>
              <w:rPr>
                <w:rFonts w:ascii="Arial MT" w:hAnsi="Arial MT"/>
                <w:spacing w:val="-7"/>
                <w:w w:val="120"/>
                <w:sz w:val="12"/>
              </w:rPr>
              <w:t> </w:t>
            </w:r>
            <w:r>
              <w:rPr>
                <w:rFonts w:ascii="Arial MT" w:hAnsi="Arial MT"/>
                <w:spacing w:val="-1"/>
                <w:w w:val="120"/>
                <w:sz w:val="12"/>
              </w:rPr>
              <w:t>S.E.</w:t>
            </w:r>
          </w:p>
        </w:tc>
        <w:tc>
          <w:tcPr>
            <w:tcW w:w="4631" w:type="dxa"/>
          </w:tcPr>
          <w:p>
            <w:pPr>
              <w:pStyle w:val="TableParagraph"/>
              <w:spacing w:line="266" w:lineRule="exact"/>
              <w:ind w:left="1285"/>
              <w:rPr>
                <w:b/>
                <w:sz w:val="24"/>
              </w:rPr>
            </w:pPr>
            <w:r>
              <w:rPr>
                <w:b/>
                <w:sz w:val="24"/>
              </w:rPr>
              <w:t>B3: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CUSUM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46"/>
              <w:rPr>
                <w:rFonts w:ascii="Arial MT"/>
                <w:sz w:val="11"/>
              </w:rPr>
            </w:pPr>
            <w:r>
              <w:rPr>
                <w:rFonts w:ascii="Arial MT"/>
                <w:w w:val="145"/>
                <w:sz w:val="11"/>
              </w:rPr>
              <w:t>15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246"/>
              <w:rPr>
                <w:rFonts w:ascii="Arial MT"/>
                <w:sz w:val="11"/>
              </w:rPr>
            </w:pPr>
            <w:r>
              <w:rPr>
                <w:rFonts w:ascii="Arial MT"/>
                <w:w w:val="145"/>
                <w:sz w:val="11"/>
              </w:rPr>
              <w:t>10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1"/>
              <w:ind w:left="333"/>
              <w:rPr>
                <w:rFonts w:ascii="Arial MT"/>
                <w:sz w:val="11"/>
              </w:rPr>
            </w:pPr>
            <w:r>
              <w:rPr>
                <w:rFonts w:ascii="Arial MT"/>
                <w:w w:val="144"/>
                <w:sz w:val="11"/>
              </w:rPr>
              <w:t>5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333"/>
              <w:rPr>
                <w:rFonts w:ascii="Arial MT"/>
                <w:sz w:val="11"/>
              </w:rPr>
            </w:pPr>
            <w:r>
              <w:rPr>
                <w:rFonts w:ascii="Arial MT"/>
                <w:w w:val="144"/>
                <w:sz w:val="11"/>
              </w:rPr>
              <w:t>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1"/>
              <w:ind w:left="285"/>
              <w:rPr>
                <w:rFonts w:ascii="Arial MT"/>
                <w:sz w:val="11"/>
              </w:rPr>
            </w:pPr>
            <w:r>
              <w:rPr>
                <w:rFonts w:ascii="Arial MT"/>
                <w:w w:val="145"/>
                <w:sz w:val="11"/>
              </w:rPr>
              <w:t>-5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197"/>
              <w:rPr>
                <w:rFonts w:ascii="Arial MT"/>
                <w:sz w:val="11"/>
              </w:rPr>
            </w:pPr>
            <w:r>
              <w:rPr>
                <w:rFonts w:ascii="Arial MT"/>
                <w:w w:val="145"/>
                <w:sz w:val="11"/>
              </w:rPr>
              <w:t>-10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197"/>
              <w:rPr>
                <w:rFonts w:ascii="Arial MT"/>
                <w:sz w:val="11"/>
              </w:rPr>
            </w:pPr>
            <w:r>
              <w:rPr>
                <w:rFonts w:ascii="Arial MT"/>
                <w:w w:val="145"/>
                <w:sz w:val="11"/>
              </w:rPr>
              <w:t>-15</w:t>
            </w:r>
          </w:p>
          <w:p>
            <w:pPr>
              <w:pStyle w:val="TableParagraph"/>
              <w:spacing w:before="16"/>
              <w:ind w:left="430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45"/>
                <w:sz w:val="11"/>
              </w:rPr>
              <w:t>86</w:t>
            </w:r>
            <w:r>
              <w:rPr>
                <w:rFonts w:ascii="Arial MT"/>
                <w:spacing w:val="97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88</w:t>
            </w:r>
            <w:r>
              <w:rPr>
                <w:rFonts w:ascii="Arial MT"/>
                <w:spacing w:val="97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90</w:t>
            </w:r>
            <w:r>
              <w:rPr>
                <w:rFonts w:ascii="Arial MT"/>
                <w:spacing w:val="99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92</w:t>
            </w:r>
            <w:r>
              <w:rPr>
                <w:rFonts w:ascii="Arial MT"/>
                <w:spacing w:val="97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94</w:t>
            </w:r>
            <w:r>
              <w:rPr>
                <w:rFonts w:ascii="Arial MT"/>
                <w:spacing w:val="100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96</w:t>
            </w:r>
            <w:r>
              <w:rPr>
                <w:rFonts w:ascii="Arial MT"/>
                <w:spacing w:val="97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98</w:t>
            </w:r>
            <w:r>
              <w:rPr>
                <w:rFonts w:ascii="Arial MT"/>
                <w:spacing w:val="97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00</w:t>
            </w:r>
            <w:r>
              <w:rPr>
                <w:rFonts w:ascii="Arial MT"/>
                <w:spacing w:val="99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02</w:t>
            </w:r>
            <w:r>
              <w:rPr>
                <w:rFonts w:ascii="Arial MT"/>
                <w:spacing w:val="98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04</w:t>
            </w:r>
            <w:r>
              <w:rPr>
                <w:rFonts w:ascii="Arial MT"/>
                <w:spacing w:val="99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06</w:t>
            </w:r>
            <w:r>
              <w:rPr>
                <w:rFonts w:ascii="Arial MT"/>
                <w:spacing w:val="97"/>
                <w:w w:val="145"/>
                <w:sz w:val="11"/>
              </w:rPr>
              <w:t> </w:t>
            </w:r>
            <w:r>
              <w:rPr>
                <w:rFonts w:ascii="Arial MT"/>
                <w:spacing w:val="-1"/>
                <w:w w:val="145"/>
                <w:sz w:val="11"/>
              </w:rPr>
              <w:t>08</w:t>
            </w:r>
            <w:r>
              <w:rPr>
                <w:rFonts w:ascii="Arial MT"/>
                <w:spacing w:val="99"/>
                <w:w w:val="145"/>
                <w:sz w:val="11"/>
              </w:rPr>
              <w:t> </w:t>
            </w:r>
            <w:r>
              <w:rPr>
                <w:rFonts w:ascii="Arial MT"/>
                <w:w w:val="145"/>
                <w:sz w:val="11"/>
              </w:rPr>
              <w:t>10</w:t>
            </w: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tabs>
                <w:tab w:pos="2568" w:val="left" w:leader="none"/>
              </w:tabs>
              <w:ind w:left="1519"/>
              <w:rPr>
                <w:rFonts w:ascii="Arial MT"/>
                <w:sz w:val="11"/>
              </w:rPr>
            </w:pPr>
            <w:r>
              <w:rPr>
                <w:rFonts w:ascii="Arial MT"/>
                <w:w w:val="145"/>
                <w:sz w:val="11"/>
              </w:rPr>
              <w:t>CUSUM</w:t>
              <w:tab/>
            </w:r>
            <w:r>
              <w:rPr>
                <w:rFonts w:ascii="Arial MT"/>
                <w:spacing w:val="-3"/>
                <w:w w:val="145"/>
                <w:sz w:val="11"/>
              </w:rPr>
              <w:t>5%</w:t>
            </w:r>
            <w:r>
              <w:rPr>
                <w:rFonts w:ascii="Arial MT"/>
                <w:spacing w:val="-12"/>
                <w:w w:val="145"/>
                <w:sz w:val="11"/>
              </w:rPr>
              <w:t> </w:t>
            </w:r>
            <w:r>
              <w:rPr>
                <w:rFonts w:ascii="Arial MT"/>
                <w:spacing w:val="-2"/>
                <w:w w:val="145"/>
                <w:sz w:val="11"/>
              </w:rPr>
              <w:t>Significance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Heading2"/>
        <w:spacing w:before="90"/>
        <w:ind w:left="1531"/>
      </w:pPr>
      <w:r>
        <w:rPr/>
        <w:drawing>
          <wp:anchor distT="0" distB="0" distL="0" distR="0" allowOverlap="1" layoutInCell="1" locked="0" behindDoc="1" simplePos="0" relativeHeight="478025216">
            <wp:simplePos x="0" y="0"/>
            <wp:positionH relativeFrom="page">
              <wp:posOffset>1485138</wp:posOffset>
            </wp:positionH>
            <wp:positionV relativeFrom="paragraph">
              <wp:posOffset>-2193123</wp:posOffset>
            </wp:positionV>
            <wp:extent cx="5102225" cy="5044439"/>
            <wp:effectExtent l="0" t="0" r="0" b="0"/>
            <wp:wrapNone/>
            <wp:docPr id="30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289728" from="127.013214pt,-48.489483pt" to="127.013214pt,-46.235733pt" stroked="true" strokeweight=".3994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9216" from="134.10582pt,-48.489483pt" to="134.10582pt,-46.235733pt" stroked="true" strokeweight=".3994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8704" from="141.187607pt,-48.489483pt" to="141.187607pt,-46.235733pt" stroked="true" strokeweight=".3994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8192" from="148.280212pt,-48.489483pt" to="148.280212pt,-46.235733pt" stroked="true" strokeweight=".3994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7680" from="155.373245pt,-48.489483pt" to="155.373245pt,-46.235733pt" stroked="true" strokeweight=".3994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7168" from="162.520279pt,-48.489483pt" to="162.520279pt,-46.235733pt" stroked="true" strokeweight=".399426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78029824">
            <wp:simplePos x="0" y="0"/>
            <wp:positionH relativeFrom="page">
              <wp:posOffset>1606085</wp:posOffset>
            </wp:positionH>
            <wp:positionV relativeFrom="paragraph">
              <wp:posOffset>-2005927</wp:posOffset>
            </wp:positionV>
            <wp:extent cx="2172362" cy="1414462"/>
            <wp:effectExtent l="0" t="0" r="0" b="0"/>
            <wp:wrapNone/>
            <wp:docPr id="30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62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030336">
            <wp:simplePos x="0" y="0"/>
            <wp:positionH relativeFrom="page">
              <wp:posOffset>1860439</wp:posOffset>
            </wp:positionH>
            <wp:positionV relativeFrom="paragraph">
              <wp:posOffset>-424105</wp:posOffset>
            </wp:positionV>
            <wp:extent cx="1651411" cy="123825"/>
            <wp:effectExtent l="0" t="0" r="0" b="0"/>
            <wp:wrapNone/>
            <wp:docPr id="30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41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030848">
            <wp:simplePos x="0" y="0"/>
            <wp:positionH relativeFrom="page">
              <wp:posOffset>4045711</wp:posOffset>
            </wp:positionH>
            <wp:positionV relativeFrom="paragraph">
              <wp:posOffset>-2100180</wp:posOffset>
            </wp:positionV>
            <wp:extent cx="2833710" cy="1824037"/>
            <wp:effectExtent l="0" t="0" r="0" b="0"/>
            <wp:wrapNone/>
            <wp:docPr id="30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710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610001pt;margin-top:30.487083pt;width:432.05pt;height:207.7pt;mso-position-horizontal-relative:page;mso-position-vertical-relative:paragraph;z-index:-25285120" coordorigin="2132,610" coordsize="8641,4154">
            <v:shape style="position:absolute;left:2132;top:609;width:8641;height:4154" type="#_x0000_t75" stroked="false">
              <v:imagedata r:id="rId42" o:title=""/>
            </v:shape>
            <v:shape style="position:absolute;left:4122;top:4228;width:1345;height:259" type="#_x0000_t202" filled="false" stroked="true" strokeweight=".404493pt" strokecolor="#000000">
              <v:textbox inset="0,0,0,0">
                <w:txbxContent>
                  <w:p>
                    <w:pPr>
                      <w:spacing w:before="36"/>
                      <w:ind w:left="459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15"/>
                        <w:sz w:val="16"/>
                      </w:rPr>
                      <w:t>DLBOPTF</w:t>
                    </w:r>
                  </w:p>
                </w:txbxContent>
              </v:textbox>
              <v:stroke dashstyle="solid"/>
              <w10:wrap type="none"/>
            </v:shape>
            <v:shape style="position:absolute;left:2431;top:785;width:12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12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31;top:1510;width:12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12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431;top:2236;width:12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12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75;top:2962;width:17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15"/>
                        <w:sz w:val="16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2375;top:3686;width:17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15"/>
                        <w:sz w:val="16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2830;top:3882;width:4351;height:181" type="#_x0000_t202" filled="false" stroked="false">
              <v:textbox inset="0,0,0,0">
                <w:txbxContent>
                  <w:p>
                    <w:pPr>
                      <w:tabs>
                        <w:tab w:pos="653" w:val="left" w:leader="none"/>
                        <w:tab w:pos="1308" w:val="left" w:leader="none"/>
                        <w:tab w:pos="1962" w:val="left" w:leader="none"/>
                        <w:tab w:pos="2616" w:val="left" w:leader="none"/>
                        <w:tab w:pos="3271" w:val="left" w:leader="none"/>
                        <w:tab w:pos="392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15"/>
                        <w:sz w:val="16"/>
                      </w:rPr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Forecast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Payments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6"/>
        </w:rPr>
      </w:pPr>
    </w:p>
    <w:tbl>
      <w:tblPr>
        <w:tblW w:w="0" w:type="auto"/>
        <w:jc w:val="left"/>
        <w:tblInd w:w="5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2"/>
        <w:gridCol w:w="907"/>
      </w:tblGrid>
      <w:tr>
        <w:trPr>
          <w:trHeight w:val="441" w:hRule="atLeast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0" w:lineRule="atLeast" w:before="41"/>
              <w:ind w:left="89" w:right="221"/>
              <w:rPr>
                <w:rFonts w:ascii="Arial MT"/>
                <w:sz w:val="16"/>
              </w:rPr>
            </w:pPr>
            <w:r>
              <w:rPr>
                <w:rFonts w:ascii="Arial MT"/>
                <w:w w:val="110"/>
                <w:sz w:val="16"/>
              </w:rPr>
              <w:t>Forecast:</w:t>
            </w:r>
            <w:r>
              <w:rPr>
                <w:rFonts w:ascii="Arial MT"/>
                <w:spacing w:val="14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DLBOPTF</w:t>
            </w:r>
            <w:r>
              <w:rPr>
                <w:rFonts w:ascii="Arial MT"/>
                <w:spacing w:val="-46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Actual:</w:t>
            </w:r>
            <w:r>
              <w:rPr>
                <w:rFonts w:ascii="Arial MT"/>
                <w:spacing w:val="-8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DLBOPT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6" w:hRule="atLeast"/>
        </w:trPr>
        <w:tc>
          <w:tcPr>
            <w:tcW w:w="24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89"/>
              <w:rPr>
                <w:rFonts w:ascii="Arial MT"/>
                <w:sz w:val="16"/>
              </w:rPr>
            </w:pPr>
            <w:r>
              <w:rPr>
                <w:rFonts w:ascii="Arial MT"/>
                <w:w w:val="110"/>
                <w:sz w:val="16"/>
              </w:rPr>
              <w:t>Forecast</w:t>
            </w:r>
            <w:r>
              <w:rPr>
                <w:rFonts w:ascii="Arial MT"/>
                <w:spacing w:val="6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sample:</w:t>
            </w:r>
            <w:r>
              <w:rPr>
                <w:rFonts w:ascii="Arial MT"/>
                <w:spacing w:val="7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1975</w:t>
            </w:r>
            <w:r>
              <w:rPr>
                <w:rFonts w:ascii="Arial MT"/>
                <w:spacing w:val="16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2010</w:t>
            </w:r>
          </w:p>
          <w:p>
            <w:pPr>
              <w:pStyle w:val="TableParagraph"/>
              <w:spacing w:before="15"/>
              <w:ind w:left="89"/>
              <w:rPr>
                <w:rFonts w:ascii="Arial MT"/>
                <w:sz w:val="16"/>
              </w:rPr>
            </w:pPr>
            <w:r>
              <w:rPr>
                <w:rFonts w:ascii="Arial MT"/>
                <w:w w:val="110"/>
                <w:sz w:val="16"/>
              </w:rPr>
              <w:t>Adjusted</w:t>
            </w:r>
            <w:r>
              <w:rPr>
                <w:rFonts w:ascii="Arial MT"/>
                <w:spacing w:val="9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sample: 1977</w:t>
            </w:r>
            <w:r>
              <w:rPr>
                <w:rFonts w:ascii="Arial MT"/>
                <w:spacing w:val="9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2010</w:t>
            </w:r>
          </w:p>
          <w:p>
            <w:pPr>
              <w:pStyle w:val="TableParagraph"/>
              <w:spacing w:before="16"/>
              <w:ind w:left="89"/>
              <w:rPr>
                <w:rFonts w:ascii="Arial MT"/>
                <w:sz w:val="16"/>
              </w:rPr>
            </w:pPr>
            <w:r>
              <w:rPr>
                <w:rFonts w:ascii="Arial MT"/>
                <w:spacing w:val="-1"/>
                <w:w w:val="110"/>
                <w:sz w:val="16"/>
              </w:rPr>
              <w:t>Included</w:t>
            </w:r>
            <w:r>
              <w:rPr>
                <w:rFonts w:ascii="Arial MT"/>
                <w:spacing w:val="-6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observations:</w:t>
            </w:r>
            <w:r>
              <w:rPr>
                <w:rFonts w:ascii="Arial MT"/>
                <w:spacing w:val="-11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34</w:t>
            </w:r>
          </w:p>
        </w:tc>
        <w:tc>
          <w:tcPr>
            <w:tcW w:w="907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24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4" w:lineRule="exact" w:before="104"/>
              <w:ind w:left="89"/>
              <w:rPr>
                <w:rFonts w:ascii="Arial MT"/>
                <w:sz w:val="16"/>
              </w:rPr>
            </w:pPr>
            <w:r>
              <w:rPr>
                <w:rFonts w:ascii="Arial MT"/>
                <w:w w:val="110"/>
                <w:sz w:val="16"/>
              </w:rPr>
              <w:t>Root</w:t>
            </w:r>
            <w:r>
              <w:rPr>
                <w:rFonts w:ascii="Arial MT"/>
                <w:spacing w:val="-4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Mean</w:t>
            </w:r>
            <w:r>
              <w:rPr>
                <w:rFonts w:ascii="Arial MT"/>
                <w:spacing w:val="-10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Squared</w:t>
            </w:r>
            <w:r>
              <w:rPr>
                <w:rFonts w:ascii="Arial MT"/>
                <w:spacing w:val="2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Error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 w:before="104"/>
              <w:ind w:left="53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0.273507</w:t>
            </w:r>
          </w:p>
        </w:tc>
      </w:tr>
      <w:tr>
        <w:trPr>
          <w:trHeight w:val="199" w:hRule="atLeast"/>
        </w:trPr>
        <w:tc>
          <w:tcPr>
            <w:tcW w:w="24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4" w:lineRule="exact" w:before="5"/>
              <w:ind w:left="89"/>
              <w:rPr>
                <w:rFonts w:ascii="Arial MT"/>
                <w:sz w:val="16"/>
              </w:rPr>
            </w:pPr>
            <w:r>
              <w:rPr>
                <w:rFonts w:ascii="Arial MT"/>
                <w:w w:val="110"/>
                <w:sz w:val="16"/>
              </w:rPr>
              <w:t>Mean</w:t>
            </w:r>
            <w:r>
              <w:rPr>
                <w:rFonts w:ascii="Arial MT"/>
                <w:spacing w:val="-12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Absolute</w:t>
            </w:r>
            <w:r>
              <w:rPr>
                <w:rFonts w:ascii="Arial MT"/>
                <w:spacing w:val="-1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Error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 w:before="5"/>
              <w:ind w:left="53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0.212960</w:t>
            </w:r>
          </w:p>
        </w:tc>
      </w:tr>
      <w:tr>
        <w:trPr>
          <w:trHeight w:val="198" w:hRule="atLeast"/>
        </w:trPr>
        <w:tc>
          <w:tcPr>
            <w:tcW w:w="24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3" w:lineRule="exact" w:before="5"/>
              <w:ind w:left="89"/>
              <w:rPr>
                <w:rFonts w:ascii="Arial MT"/>
                <w:sz w:val="16"/>
              </w:rPr>
            </w:pPr>
            <w:r>
              <w:rPr>
                <w:rFonts w:ascii="Arial MT"/>
                <w:w w:val="110"/>
                <w:sz w:val="16"/>
              </w:rPr>
              <w:t>Mean</w:t>
            </w:r>
            <w:r>
              <w:rPr>
                <w:rFonts w:ascii="Arial MT"/>
                <w:spacing w:val="-9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Abs.</w:t>
            </w:r>
            <w:r>
              <w:rPr>
                <w:rFonts w:ascii="Arial MT"/>
                <w:spacing w:val="-3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Percent</w:t>
            </w:r>
            <w:r>
              <w:rPr>
                <w:rFonts w:ascii="Arial MT"/>
                <w:spacing w:val="-3"/>
                <w:w w:val="110"/>
                <w:sz w:val="16"/>
              </w:rPr>
              <w:t> </w:t>
            </w:r>
            <w:r>
              <w:rPr>
                <w:rFonts w:ascii="Arial MT"/>
                <w:w w:val="110"/>
                <w:sz w:val="16"/>
              </w:rPr>
              <w:t>Error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3" w:lineRule="exact" w:before="5"/>
              <w:ind w:left="53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628.6361</w:t>
            </w:r>
          </w:p>
        </w:tc>
      </w:tr>
      <w:tr>
        <w:trPr>
          <w:trHeight w:val="198" w:hRule="atLeast"/>
        </w:trPr>
        <w:tc>
          <w:tcPr>
            <w:tcW w:w="24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4" w:lineRule="exact" w:before="4"/>
              <w:ind w:left="89"/>
              <w:rPr>
                <w:rFonts w:ascii="Arial MT"/>
                <w:sz w:val="16"/>
              </w:rPr>
            </w:pPr>
            <w:r>
              <w:rPr>
                <w:rFonts w:ascii="Arial MT"/>
                <w:spacing w:val="-1"/>
                <w:w w:val="110"/>
                <w:sz w:val="16"/>
              </w:rPr>
              <w:t>Theil</w:t>
            </w:r>
            <w:r>
              <w:rPr>
                <w:rFonts w:ascii="Arial MT"/>
                <w:spacing w:val="-9"/>
                <w:w w:val="110"/>
                <w:sz w:val="16"/>
              </w:rPr>
              <w:t> </w:t>
            </w:r>
            <w:r>
              <w:rPr>
                <w:rFonts w:ascii="Arial MT"/>
                <w:spacing w:val="-1"/>
                <w:w w:val="110"/>
                <w:sz w:val="16"/>
              </w:rPr>
              <w:t>Inequality</w:t>
            </w:r>
            <w:r>
              <w:rPr>
                <w:rFonts w:ascii="Arial MT"/>
                <w:spacing w:val="-14"/>
                <w:w w:val="110"/>
                <w:sz w:val="16"/>
              </w:rPr>
              <w:t> </w:t>
            </w:r>
            <w:r>
              <w:rPr>
                <w:rFonts w:ascii="Arial MT"/>
                <w:spacing w:val="-1"/>
                <w:w w:val="110"/>
                <w:sz w:val="16"/>
              </w:rPr>
              <w:t>Coefficient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 w:before="4"/>
              <w:ind w:left="53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0.301857</w:t>
            </w:r>
          </w:p>
        </w:tc>
      </w:tr>
      <w:tr>
        <w:trPr>
          <w:trHeight w:val="633" w:hRule="atLeast"/>
        </w:trPr>
        <w:tc>
          <w:tcPr>
            <w:tcW w:w="33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270" w:val="right" w:leader="none"/>
              </w:tabs>
              <w:spacing w:before="5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Bias</w:t>
            </w:r>
            <w:r>
              <w:rPr>
                <w:rFonts w:ascii="Arial MT"/>
                <w:spacing w:val="-9"/>
                <w:w w:val="115"/>
                <w:sz w:val="16"/>
              </w:rPr>
              <w:t> </w:t>
            </w:r>
            <w:r>
              <w:rPr>
                <w:rFonts w:ascii="Arial MT"/>
                <w:w w:val="115"/>
                <w:sz w:val="16"/>
              </w:rPr>
              <w:t>Proportion</w:t>
              <w:tab/>
              <w:t>0.000009</w:t>
            </w:r>
          </w:p>
          <w:p>
            <w:pPr>
              <w:pStyle w:val="TableParagraph"/>
              <w:tabs>
                <w:tab w:pos="3270" w:val="right" w:leader="none"/>
              </w:tabs>
              <w:spacing w:before="16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w w:val="115"/>
                <w:sz w:val="16"/>
              </w:rPr>
              <w:t>Variance</w:t>
            </w:r>
            <w:r>
              <w:rPr>
                <w:rFonts w:ascii="Arial MT"/>
                <w:spacing w:val="-9"/>
                <w:w w:val="115"/>
                <w:sz w:val="16"/>
              </w:rPr>
              <w:t> </w:t>
            </w:r>
            <w:r>
              <w:rPr>
                <w:rFonts w:ascii="Arial MT"/>
                <w:w w:val="115"/>
                <w:sz w:val="16"/>
              </w:rPr>
              <w:t>Proportion</w:t>
              <w:tab/>
              <w:t>0.014361</w:t>
            </w:r>
          </w:p>
          <w:p>
            <w:pPr>
              <w:pStyle w:val="TableParagraph"/>
              <w:tabs>
                <w:tab w:pos="3270" w:val="right" w:leader="none"/>
              </w:tabs>
              <w:spacing w:before="15"/>
              <w:ind w:left="314"/>
              <w:rPr>
                <w:rFonts w:ascii="Arial MT"/>
                <w:sz w:val="16"/>
              </w:rPr>
            </w:pPr>
            <w:r>
              <w:rPr>
                <w:rFonts w:ascii="Arial MT"/>
                <w:spacing w:val="-1"/>
                <w:w w:val="115"/>
                <w:sz w:val="16"/>
              </w:rPr>
              <w:t>Covariance</w:t>
            </w:r>
            <w:r>
              <w:rPr>
                <w:rFonts w:ascii="Arial MT"/>
                <w:spacing w:val="-12"/>
                <w:w w:val="115"/>
                <w:sz w:val="16"/>
              </w:rPr>
              <w:t> </w:t>
            </w:r>
            <w:r>
              <w:rPr>
                <w:rFonts w:ascii="Arial MT"/>
                <w:spacing w:val="-1"/>
                <w:w w:val="115"/>
                <w:sz w:val="16"/>
              </w:rPr>
              <w:t>Proportion</w:t>
              <w:tab/>
            </w:r>
            <w:r>
              <w:rPr>
                <w:rFonts w:ascii="Arial MT"/>
                <w:w w:val="115"/>
                <w:sz w:val="16"/>
              </w:rPr>
              <w:t>0.985630</w:t>
            </w:r>
          </w:p>
        </w:tc>
      </w:tr>
    </w:tbl>
    <w:p>
      <w:pPr>
        <w:spacing w:after="0"/>
        <w:rPr>
          <w:rFonts w:ascii="Arial MT"/>
          <w:sz w:val="16"/>
        </w:rPr>
        <w:sectPr>
          <w:pgSz w:w="12240" w:h="15840"/>
          <w:pgMar w:header="0" w:footer="1015" w:top="1440" w:bottom="1200" w:left="1320" w:right="440"/>
        </w:sectPr>
      </w:pPr>
    </w:p>
    <w:p>
      <w:pPr>
        <w:spacing w:line="276" w:lineRule="auto" w:before="79"/>
        <w:ind w:left="811" w:right="1385" w:firstLine="0"/>
        <w:jc w:val="left"/>
        <w:rPr>
          <w:b/>
          <w:sz w:val="24"/>
        </w:rPr>
      </w:pPr>
      <w:r>
        <w:rPr/>
        <w:pict>
          <v:shape style="position:absolute;margin-left:116.940002pt;margin-top:466.699982pt;width:132.950pt;height:127.85pt;mso-position-horizontal-relative:page;mso-position-vertical-relative:page;z-index:-25284608" coordorigin="2339,9334" coordsize="2659,2557" path="m3369,11673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3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17.400009pt;margin-top:397.679993pt;width:94pt;height:101.8pt;mso-position-horizontal-relative:page;mso-position-vertical-relative:page;z-index:-25284096" coordorigin="4348,7954" coordsize="1880,2036" path="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129.333130pt;width:237.4pt;height:230.5pt;mso-position-horizontal-relative:page;mso-position-vertical-relative:paragraph;z-index:-25283584" coordorigin="5626,2587" coordsize="4748,4610" path="m6603,7139l6602,7136,6600,7129,6597,7126,6306,6835,6268,6763,6080,6402,6004,6257,5993,6237,5983,6225,5979,6222,5969,6220,5964,6222,5957,6226,5944,6237,5928,6252,5923,6259,5916,6268,5914,6273,5912,6281,5912,6284,5917,6297,5921,6302,6079,6595,6115,6659,6178,6767,6177,6768,6002,6668,5929,6629,5783,6551,5705,6508,5696,6505,5692,6504,5684,6505,5680,6507,5675,6509,5670,6513,5658,6523,5642,6539,5632,6551,5628,6557,5626,6562,5628,6572,5631,6576,5637,6581,5643,6586,5664,6598,5736,6636,6098,6824,6242,6900,6532,7190,6536,7193,6542,7196,6546,7196,6550,7195,6554,7194,6564,7189,6569,7185,6575,7181,6587,7168,6592,7163,6595,7158,6600,7148,6601,7143,6603,7139xm7274,6407l7274,6370,7268,6332,7258,6292,7242,6251,7223,6209,7199,6165,7170,6121,7161,6109,7161,6380,7157,6406,7148,6431,7133,6455,7115,6477,7093,6496,7070,6510,7045,6520,7020,6524,6994,6525,6967,6523,6939,6516,6909,6505,6880,6491,6849,6473,6818,6453,6786,6429,6753,6403,6720,6374,6687,6343,6652,6309,6622,6278,6594,6247,6567,6215,6541,6183,6518,6152,6499,6121,6482,6090,6469,6059,6458,6030,6451,6001,6447,5973,6447,5946,6451,5919,6460,5895,6474,5871,6493,5850,6515,5831,6537,5817,6562,5807,6587,5802,6614,5802,6641,5805,6669,5811,6698,5822,6728,5836,6759,5853,6790,5873,6821,5896,6854,5922,6886,5950,6919,5980,6952,6012,6983,6044,7012,6076,7039,6108,7064,6140,7088,6172,7108,6203,7125,6234,7139,6264,7150,6295,7157,6324,7161,6352,7161,6380,7161,6109,7137,6076,7100,6030,7059,5984,7013,5937,6966,5891,6921,5850,6876,5814,6860,5802,6832,5781,6790,5753,6749,5730,6709,5712,6670,5698,6633,5689,6596,5684,6562,5685,6528,5689,6496,5698,6465,5713,6436,5732,6408,5757,6383,5786,6363,5816,6348,5849,6339,5883,6335,5919,6336,5956,6341,5994,6351,6034,6366,6075,6386,6117,6409,6160,6438,6204,6470,6249,6507,6294,6547,6339,6591,6385,6639,6431,6685,6473,6731,6510,6775,6543,6817,6572,6859,6595,6899,6614,6938,6628,6975,6638,7011,6643,7046,6642,7080,6638,7113,6629,7144,6614,7173,6595,7201,6570,7227,6541,7237,6525,7247,6510,7261,6478,7270,6443,7274,6407xm7572,6170l7572,6166,7569,6159,7567,6156,7239,5828,7409,5658,7410,5655,7410,5648,7409,5644,7404,5635,7400,5629,7385,5611,7369,5595,7361,5588,7355,5583,7349,5578,7344,5575,7336,5571,7332,5570,7328,5570,7325,5570,7323,5571,7153,5742,6887,5477,7068,5296,7069,5294,7069,5291,7068,5283,7063,5274,7059,5268,7043,5250,7035,5242,7027,5234,7008,5217,6993,5208,6989,5208,6982,5207,6980,5208,6753,5435,6750,5444,6752,5454,6754,5464,6759,5474,6767,5484,6777,5495,7502,6221,7505,6223,7513,6226,7516,6226,7520,6225,7524,6224,7534,6219,7539,6215,7545,6211,7557,6198,7565,6188,7570,6178,7571,6174,7572,6170xm8101,5641l8100,5638,8098,5631,8095,5628,8092,5625,7340,4873,7337,4870,7330,4868,7327,4867,7322,4868,7318,4869,7309,4874,7298,4882,7286,4895,7278,4905,7273,4915,7272,4919,7271,4923,7271,4927,7274,4934,7276,4938,8031,5692,8034,5695,8041,5698,8044,5698,8048,5696,8053,5696,8063,5690,8073,5682,8086,5670,8090,5664,8094,5659,8099,5650,8099,5645,8101,5641xm8456,5214l8456,5197,8454,5181,8451,5164,8448,5147,8442,5129,8436,5112,8428,5094,8419,5076,8409,5058,8397,5039,8383,5021,8369,5003,8352,4985,8346,4977,8346,5180,8345,5194,8343,5207,8340,5220,8335,5232,8328,5244,8320,5256,8310,5267,8216,5361,7941,5086,8018,5009,8024,5003,8034,4995,8049,4983,8063,4974,8078,4967,8093,4963,8108,4961,8124,4960,8139,4961,8155,4965,8171,4970,8188,4977,8204,4986,8221,4996,8238,5009,8255,5024,8273,5040,8288,5057,8301,5073,8313,5089,8323,5105,8331,5120,8337,5136,8341,5151,8344,5165,8346,5180,8346,4977,8335,4966,8328,4960,8315,4947,8295,4930,8275,4915,8254,4901,8234,4889,8214,4878,8195,4870,8190,4868,8176,4863,8158,4858,8139,4855,8122,4853,8105,4853,8089,4854,8073,4858,8059,4862,8046,4868,8048,4855,8048,4841,8048,4827,8046,4812,8043,4798,8039,4783,8034,4768,8028,4753,8021,4739,8013,4724,8004,4710,7993,4695,7982,4680,7971,4666,7964,4658,7964,4852,7964,4866,7962,4879,7958,4892,7952,4905,7943,4917,7932,4930,7859,5003,7606,4751,7673,4684,7686,4671,7700,4661,7713,4653,7726,4648,7739,4645,7751,4643,7765,4643,7777,4644,7791,4648,7805,4653,7818,4660,7832,4668,7846,4678,7860,4689,7874,4701,7888,4714,7900,4727,7912,4741,7923,4754,7933,4768,7941,4783,7949,4797,7955,4811,7959,4824,7962,4838,7964,4852,7964,4658,7958,4652,7950,4643,7945,4638,7921,4616,7898,4596,7875,4579,7852,4564,7829,4552,7806,4542,7784,4534,7762,4530,7740,4528,7719,4529,7698,4532,7677,4538,7656,4547,7635,4560,7614,4576,7592,4596,7481,4707,7476,4712,7473,4721,7474,4732,7477,4741,7482,4751,7489,4762,7500,4773,8195,5469,8206,5479,8217,5487,8227,5491,8236,5493,8247,5495,8256,5492,8387,5361,8389,5360,8402,5346,8413,5332,8423,5318,8431,5304,8438,5290,8444,5276,8449,5261,8452,5245,8454,5230,8456,5214xm9020,4728l9019,4724,9017,4719,9014,4713,9009,4708,9003,4703,8995,4697,8984,4690,8889,4629,8609,4453,8609,4564,8440,4733,8179,4328,8135,4261,8135,4260,8135,4260,8609,4564,8609,4453,8304,4260,8097,4129,8091,4126,8086,4123,8081,4121,8076,4120,8072,4121,8062,4124,8056,4127,8050,4132,8044,4136,8038,4143,8030,4151,8022,4158,8016,4164,8012,4170,8008,4175,8005,4181,8004,4186,8002,4191,8001,4195,8003,4199,8004,4204,8007,4209,8010,4214,8053,4283,8370,4785,8571,5102,8578,5113,8584,5121,8589,5126,8594,5132,8600,5135,8604,5137,8609,5138,8614,5136,8620,5133,8625,5129,8632,5123,8646,5109,8651,5103,8655,5098,8659,5093,8661,5088,8661,5083,8662,5079,8662,5076,8660,5071,8659,5068,8657,5064,8654,5059,8617,5003,8506,4832,8605,4733,8709,4629,8940,4778,8945,4780,8949,4782,8953,4783,8956,4785,8960,4785,8963,4783,8968,4783,8972,4781,8978,4777,8983,4773,9005,4751,9010,4744,9014,4739,9018,4734,9020,4728xm9323,4313l9321,4275,9314,4235,9302,4194,9285,4152,9263,4108,9236,4062,9213,4029,9213,4277,9212,4304,9207,4330,9198,4355,9186,4380,9168,4404,9147,4427,9080,4494,8473,3887,8539,3821,8565,3798,8590,3781,8617,3768,8644,3761,8672,3758,8700,3759,8729,3763,8759,3770,8790,3781,8821,3796,8852,3813,8884,3834,8916,3858,8948,3884,8980,3912,9012,3942,9049,3981,9083,4019,9113,4055,9138,4090,9160,4124,9178,4157,9193,4189,9203,4219,9210,4249,9213,4277,9213,4029,9204,4016,9166,3969,9124,3920,9076,3870,9032,3828,8988,3790,8947,3758,8945,3756,8902,3727,8860,3702,8819,3681,8778,3665,8738,3652,8700,3645,8662,3642,8625,3644,8590,3650,8555,3662,8522,3679,8489,3702,8457,3731,8341,3847,8338,3856,8339,3867,8342,3876,8347,3886,8354,3896,8365,3908,9060,4603,9072,4614,9082,4621,9092,4626,9101,4628,9112,4630,9121,4627,9230,4518,9252,4494,9258,4487,9282,4454,9300,4420,9313,4386,9320,4350,9323,4313xm9940,3808l9939,3803,9937,3798,9934,3793,9929,3788,9923,3783,9916,3777,9905,3770,9810,3709,9529,3533,9529,3644,9360,3813,9099,3408,9055,3340,9055,3340,9529,3644,9529,3533,9224,3340,9017,3209,9011,3206,9006,3203,8996,3200,8992,3201,8987,3202,8982,3204,8976,3207,8971,3212,8965,3216,8958,3223,8950,3231,8936,3244,8928,3255,8925,3261,8924,3266,8922,3271,8922,3275,8923,3279,8924,3284,8927,3289,8930,3294,9017,3431,9289,3863,9318,3909,9491,4182,9498,4193,9504,4201,9509,4206,9514,4212,9520,4215,9529,4218,9534,4216,9540,4213,9545,4209,9552,4203,9566,4189,9571,4183,9575,4178,9579,4173,9581,4168,9581,4163,9582,4159,9582,4155,9580,4151,9579,4148,9577,4144,9574,4139,9426,3912,9525,3813,9629,3709,9860,3857,9865,3860,9869,3862,9873,3863,9876,3864,9880,3865,9883,3863,9888,3863,9892,3861,9898,3856,9903,3853,9925,3831,9930,3824,9934,3819,9938,3814,9940,3808xm10374,3365l10372,3352,10369,3345,10362,3330,10356,3322,10348,3315,9625,2592,9622,2590,9615,2587,9611,2587,9602,2588,9598,2590,9593,2594,9582,2602,9570,2614,9559,2629,9556,2634,9555,2643,9556,2647,9557,2650,9558,2654,9560,2657,10011,3107,10186,3280,10186,3280,10037,3203,9959,3162,9898,3133,9801,3084,9573,2970,9421,2894,9397,2883,9378,2874,9366,2870,9356,2867,9347,2867,9338,2867,9330,2867,9316,2874,9309,2879,9263,2925,9260,2935,9261,2947,9264,2957,9269,2967,9277,2978,9287,2990,10010,3713,10013,3715,10016,3716,10020,3718,10024,3718,10028,3717,10032,3717,10042,3711,10052,3704,10065,3691,10073,3680,10076,3675,10078,3671,10078,3666,10080,3662,10080,3659,10078,3654,10077,3651,10075,3648,9533,3107,9421,2997,9422,2997,9468,3022,9565,3073,9686,3134,10057,3318,10204,3392,10233,3406,10272,3422,10285,3425,10295,3426,10305,3427,10314,3426,10321,3423,10329,3421,10336,3416,10367,3384,10370,3380,10373,3370,10374,336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08.139999pt;margin-top:119.813148pt;width:108.26pt;height:.72pt;mso-position-horizontal-relative:page;mso-position-vertical-relative:paragraph;z-index:-2528307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214.460007pt;width:108.26pt;height:.72pt;mso-position-horizontal-relative:page;mso-position-vertical-relative:page;z-index:-25282560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406.609985pt;width:108.26pt;height:.72pt;mso-position-horizontal-relative:page;mso-position-vertical-relative:page;z-index:-2528204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Unrestricted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Error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Correction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Current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Balance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Equation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338"/>
        <w:gridCol w:w="1261"/>
        <w:gridCol w:w="1301"/>
        <w:gridCol w:w="1194"/>
      </w:tblGrid>
      <w:tr>
        <w:trPr>
          <w:trHeight w:val="270" w:hRule="atLeast"/>
        </w:trPr>
        <w:tc>
          <w:tcPr>
            <w:tcW w:w="7259" w:type="dxa"/>
            <w:gridSpan w:val="5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Variable: DLCAB</w:t>
            </w:r>
          </w:p>
        </w:tc>
      </w:tr>
      <w:tr>
        <w:trPr>
          <w:trHeight w:val="275" w:hRule="atLeast"/>
        </w:trPr>
        <w:tc>
          <w:tcPr>
            <w:tcW w:w="7259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</w:tr>
      <w:tr>
        <w:trPr>
          <w:trHeight w:val="276" w:hRule="atLeast"/>
        </w:trPr>
        <w:tc>
          <w:tcPr>
            <w:tcW w:w="7259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(adjusted):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393" w:hRule="atLeast"/>
        </w:trPr>
        <w:tc>
          <w:tcPr>
            <w:tcW w:w="7259" w:type="dxa"/>
            <w:gridSpan w:val="5"/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 adjustments</w:t>
            </w:r>
          </w:p>
        </w:tc>
      </w:tr>
      <w:tr>
        <w:trPr>
          <w:trHeight w:val="487" w:hRule="atLeast"/>
        </w:trPr>
        <w:tc>
          <w:tcPr>
            <w:tcW w:w="21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left="66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33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6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36" w:right="112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0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119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>
        <w:trPr>
          <w:trHeight w:val="365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3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7.953133</w:t>
            </w:r>
          </w:p>
        </w:tc>
        <w:tc>
          <w:tcPr>
            <w:tcW w:w="126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4.744370</w:t>
            </w:r>
          </w:p>
        </w:tc>
        <w:tc>
          <w:tcPr>
            <w:tcW w:w="130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1.676331</w:t>
            </w:r>
          </w:p>
        </w:tc>
        <w:tc>
          <w:tcPr>
            <w:tcW w:w="119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0.1092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DLCABT(-2)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0.842378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0.489265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1.721719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0.1006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DREER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-1.398677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1.078752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-1.296570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0.2095</w:t>
            </w:r>
          </w:p>
        </w:tc>
      </w:tr>
      <w:tr>
        <w:trPr>
          <w:trHeight w:val="256" w:hRule="atLeast"/>
        </w:trPr>
        <w:tc>
          <w:tcPr>
            <w:tcW w:w="2165" w:type="dxa"/>
          </w:tcPr>
          <w:p>
            <w:pPr>
              <w:pStyle w:val="TableParagraph"/>
              <w:spacing w:line="236" w:lineRule="exact"/>
              <w:ind w:left="28"/>
              <w:rPr>
                <w:sz w:val="24"/>
              </w:rPr>
            </w:pPr>
            <w:r>
              <w:rPr>
                <w:sz w:val="24"/>
              </w:rPr>
              <w:t>DREER(-2)</w:t>
            </w:r>
          </w:p>
        </w:tc>
        <w:tc>
          <w:tcPr>
            <w:tcW w:w="1338" w:type="dxa"/>
          </w:tcPr>
          <w:p>
            <w:pPr>
              <w:pStyle w:val="TableParagraph"/>
              <w:spacing w:line="23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-0.881933</w:t>
            </w:r>
          </w:p>
        </w:tc>
        <w:tc>
          <w:tcPr>
            <w:tcW w:w="1261" w:type="dxa"/>
          </w:tcPr>
          <w:p>
            <w:pPr>
              <w:pStyle w:val="TableParagraph"/>
              <w:spacing w:line="23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0.964471</w:t>
            </w:r>
          </w:p>
        </w:tc>
        <w:tc>
          <w:tcPr>
            <w:tcW w:w="1301" w:type="dxa"/>
          </w:tcPr>
          <w:p>
            <w:pPr>
              <w:pStyle w:val="TableParagraph"/>
              <w:spacing w:line="23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-0.914422</w:t>
            </w:r>
          </w:p>
        </w:tc>
        <w:tc>
          <w:tcPr>
            <w:tcW w:w="1194" w:type="dxa"/>
          </w:tcPr>
          <w:p>
            <w:pPr>
              <w:pStyle w:val="TableParagraph"/>
              <w:spacing w:line="23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0.3714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4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DLGDP</w:t>
            </w:r>
            <w:r>
              <w:rPr>
                <w:sz w:val="24"/>
                <w:vertAlign w:val="superscript"/>
              </w:rPr>
              <w:t>d</w:t>
            </w:r>
            <w:r>
              <w:rPr>
                <w:sz w:val="24"/>
                <w:vertAlign w:val="baseline"/>
              </w:rPr>
              <w:t>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4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-0.740677</w:t>
            </w:r>
          </w:p>
        </w:tc>
        <w:tc>
          <w:tcPr>
            <w:tcW w:w="1261" w:type="dxa"/>
          </w:tcPr>
          <w:p>
            <w:pPr>
              <w:pStyle w:val="TableParagraph"/>
              <w:spacing w:line="241" w:lineRule="exact" w:before="15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0.744197</w:t>
            </w:r>
          </w:p>
        </w:tc>
        <w:tc>
          <w:tcPr>
            <w:tcW w:w="1301" w:type="dxa"/>
          </w:tcPr>
          <w:p>
            <w:pPr>
              <w:pStyle w:val="TableParagraph"/>
              <w:spacing w:line="241" w:lineRule="exact" w:before="15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-0.995270</w:t>
            </w:r>
          </w:p>
        </w:tc>
        <w:tc>
          <w:tcPr>
            <w:tcW w:w="1194" w:type="dxa"/>
          </w:tcPr>
          <w:p>
            <w:pPr>
              <w:pStyle w:val="TableParagraph"/>
              <w:spacing w:line="241" w:lineRule="exact" w:before="15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0.3315</w:t>
            </w:r>
          </w:p>
        </w:tc>
      </w:tr>
      <w:tr>
        <w:trPr>
          <w:trHeight w:val="295" w:hRule="atLeast"/>
        </w:trPr>
        <w:tc>
          <w:tcPr>
            <w:tcW w:w="2165" w:type="dxa"/>
          </w:tcPr>
          <w:p>
            <w:pPr>
              <w:pStyle w:val="TableParagraph"/>
              <w:spacing w:line="26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DLGDP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338" w:type="dxa"/>
          </w:tcPr>
          <w:p>
            <w:pPr>
              <w:pStyle w:val="TableParagraph"/>
              <w:spacing w:line="26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34.95267</w:t>
            </w:r>
          </w:p>
        </w:tc>
        <w:tc>
          <w:tcPr>
            <w:tcW w:w="1261" w:type="dxa"/>
          </w:tcPr>
          <w:p>
            <w:pPr>
              <w:pStyle w:val="TableParagraph"/>
              <w:spacing w:line="261" w:lineRule="exact" w:before="15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9.011529</w:t>
            </w:r>
          </w:p>
        </w:tc>
        <w:tc>
          <w:tcPr>
            <w:tcW w:w="1301" w:type="dxa"/>
          </w:tcPr>
          <w:p>
            <w:pPr>
              <w:pStyle w:val="TableParagraph"/>
              <w:spacing w:line="261" w:lineRule="exact" w:before="15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3.878662</w:t>
            </w:r>
          </w:p>
        </w:tc>
        <w:tc>
          <w:tcPr>
            <w:tcW w:w="1194" w:type="dxa"/>
          </w:tcPr>
          <w:p>
            <w:pPr>
              <w:pStyle w:val="TableParagraph"/>
              <w:spacing w:line="261" w:lineRule="exact" w:before="15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0.0009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DLMS2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-0.473844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0.160819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-2.946450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0.0080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DLMS2(-2)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0.307239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0.218170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1.408255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0.1744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DLWPI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10.64689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5.349619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1.990214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0.0604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LCABT(-1)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-0.957412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0.147763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-6.479382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LREER(-1)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-0.902312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0.754755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-1.195504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0.2459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LMS2(-1)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-0.543305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0.175869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-3.089259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0.0058</w:t>
            </w:r>
          </w:p>
        </w:tc>
      </w:tr>
      <w:tr>
        <w:trPr>
          <w:trHeight w:val="395" w:hRule="atLeast"/>
        </w:trPr>
        <w:tc>
          <w:tcPr>
            <w:tcW w:w="21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LWPI(-1)</w:t>
            </w:r>
          </w:p>
        </w:tc>
        <w:tc>
          <w:tcPr>
            <w:tcW w:w="133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1.081049</w:t>
            </w:r>
          </w:p>
        </w:tc>
        <w:tc>
          <w:tcPr>
            <w:tcW w:w="12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0.405483</w:t>
            </w:r>
          </w:p>
        </w:tc>
        <w:tc>
          <w:tcPr>
            <w:tcW w:w="130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2.666074</w:t>
            </w:r>
          </w:p>
        </w:tc>
        <w:tc>
          <w:tcPr>
            <w:tcW w:w="119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0.0148</w:t>
            </w:r>
          </w:p>
        </w:tc>
      </w:tr>
      <w:tr>
        <w:trPr>
          <w:trHeight w:val="365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3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0.810870</w:t>
            </w:r>
          </w:p>
        </w:tc>
        <w:tc>
          <w:tcPr>
            <w:tcW w:w="2562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9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-0.069495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0.697392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1.237466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0.680728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2.355796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9.267818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2.945330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-25.87064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7.145610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33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2.174522</w:t>
            </w:r>
          </w:p>
        </w:tc>
        <w:tc>
          <w:tcPr>
            <w:tcW w:w="2562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9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0.000069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spacing w:line="276" w:lineRule="auto"/>
        <w:ind w:right="993"/>
      </w:pPr>
      <w:r>
        <w:rPr/>
        <w:pict>
          <v:shape style="position:absolute;margin-left:116.940002pt;margin-top:397.679993pt;width:194.45pt;height:196.9pt;mso-position-horizontal-relative:page;mso-position-vertical-relative:page;z-index:-25281536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08.139999pt;margin-top:471.070007pt;width:108.26pt;height:.72pt;mso-position-horizontal-relative:page;mso-position-vertical-relative:page;z-index:-2528051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518.830017pt;width:108.26pt;height:.71997pt;mso-position-horizontal-relative:page;mso-position-vertical-relative:page;z-index:-25280000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585.669983pt;width:108.26pt;height:.72003pt;mso-position-horizontal-relative:page;mso-position-vertical-relative:page;z-index:-25279488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652.540039pt;width:108.26pt;height:.71997pt;mso-position-horizontal-relative:page;mso-position-vertical-relative:page;z-index:-25278976" filled="true" fillcolor="#000000" stroked="false">
            <v:fill type="solid"/>
            <w10:wrap type="none"/>
          </v:rect>
        </w:pict>
      </w:r>
      <w:r>
        <w:rPr/>
        <w:t>Appendix</w:t>
      </w:r>
      <w:r>
        <w:rPr>
          <w:spacing w:val="-1"/>
        </w:rPr>
        <w:t> </w:t>
      </w:r>
      <w:r>
        <w:rPr/>
        <w:t>8:</w:t>
      </w:r>
      <w:r>
        <w:rPr>
          <w:spacing w:val="54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Parsimonious Current</w:t>
      </w:r>
      <w:r>
        <w:rPr>
          <w:spacing w:val="-1"/>
        </w:rPr>
        <w:t> </w:t>
      </w:r>
      <w:r>
        <w:rPr/>
        <w:t>Account</w:t>
      </w:r>
      <w:r>
        <w:rPr>
          <w:spacing w:val="-2"/>
        </w:rPr>
        <w:t> </w:t>
      </w:r>
      <w:r>
        <w:rPr/>
        <w:t>Balance</w:t>
      </w:r>
      <w:r>
        <w:rPr>
          <w:spacing w:val="-57"/>
        </w:rPr>
        <w:t> </w:t>
      </w:r>
      <w:r>
        <w:rPr/>
        <w:t>Equation</w:t>
      </w:r>
    </w:p>
    <w:p>
      <w:pPr>
        <w:spacing w:before="201"/>
        <w:ind w:left="811" w:right="0" w:firstLine="0"/>
        <w:jc w:val="left"/>
        <w:rPr>
          <w:b/>
          <w:sz w:val="24"/>
        </w:rPr>
      </w:pPr>
      <w:r>
        <w:rPr>
          <w:b/>
          <w:sz w:val="24"/>
        </w:rPr>
        <w:t>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Residual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spacing w:before="0"/>
      </w:pPr>
      <w:r>
        <w:rPr/>
        <w:pict>
          <v:shape style="position:absolute;margin-left:281.300018pt;margin-top:57.803108pt;width:237.4pt;height:230.5pt;mso-position-horizontal-relative:page;mso-position-vertical-relative:paragraph;z-index:-25281024" coordorigin="5626,1156" coordsize="4748,4610" path="m6603,5709l6602,5706,6600,5698,6597,5695,6306,5405,6268,5333,6080,4971,6004,4827,5993,4807,5983,4795,5979,4792,5969,4789,5964,4791,5957,4795,5944,4806,5928,4822,5923,4828,5916,4838,5914,4842,5912,4850,5912,4854,5917,4867,5921,4871,6079,5165,6115,5229,6178,5337,6177,5338,6002,5238,5929,5198,5783,5120,5705,5078,5696,5074,5692,5073,5684,5075,5680,5076,5675,5079,5670,5083,5658,5092,5642,5108,5632,5121,5628,5126,5626,5131,5628,5141,5631,5146,5637,5150,5643,5155,5664,5167,5736,5205,6098,5393,6242,5469,6532,5760,6536,5762,6542,5765,6546,5765,6550,5764,6554,5763,6564,5758,6569,5755,6575,5750,6587,5738,6592,5732,6595,5727,6600,5717,6601,5713,6603,5709xm7274,4977l7274,4940,7268,4901,7258,4861,7242,4820,7223,4778,7199,4735,7170,4690,7161,4678,7161,4949,7157,4976,7148,5001,7133,5024,7115,5046,7093,5065,7070,5080,7045,5089,7020,5094,6994,5095,6967,5092,6939,5085,6909,5074,6880,5060,6849,5043,6818,5022,6786,4998,6753,4972,6720,4943,6687,4912,6652,4879,6622,4848,6594,4816,6567,4785,6541,4753,6518,4721,6499,4690,6482,4659,6469,4629,6458,4599,6451,4571,6447,4543,6447,4515,6451,4489,6460,4464,6474,4441,6493,4419,6515,4400,6537,4386,6562,4377,6587,4372,6614,4371,6641,4374,6669,4381,6698,4391,6728,4405,6759,4422,6790,4442,6821,4465,6854,4491,6886,4520,6919,4550,6952,4582,6983,4613,7012,4645,7039,4677,7064,4709,7088,4741,7108,4773,7125,4804,7139,4834,7150,4864,7157,4893,7161,4922,7161,4949,7161,4678,7137,4645,7100,4599,7059,4553,7013,4506,6966,4461,6921,4420,6876,4383,6860,4371,6832,4351,6790,4323,6749,4300,6709,4281,6670,4267,6633,4258,6596,4254,6562,4254,6528,4258,6496,4268,6465,4282,6436,4302,6408,4326,6383,4355,6363,4386,6348,4418,6339,4452,6335,4488,6336,4525,6341,4564,6351,4603,6366,4644,6386,4686,6409,4729,6438,4773,6470,4818,6507,4863,6547,4909,6591,4955,6639,5001,6685,5042,6731,5080,6775,5113,6817,5141,6859,5164,6899,5183,6938,5198,6975,5207,7011,5212,7046,5212,7080,5207,7113,5198,7144,5184,7173,5164,7201,5139,7227,5110,7237,5095,7247,5080,7261,5047,7270,5012,7274,4977xm7572,4739l7572,4736,7569,4728,7567,4725,7239,4397,7409,4227,7410,4224,7410,4217,7409,4213,7404,4204,7400,4198,7385,4180,7369,4164,7361,4157,7355,4152,7349,4147,7344,4144,7336,4140,7332,4139,7328,4139,7325,4140,7323,4141,7153,4311,6887,4046,7068,3866,7069,3864,7069,3860,7068,3853,7063,3844,7059,3838,7043,3819,7035,3811,7027,3804,7008,3787,6993,3778,6989,3777,6982,3777,6980,3778,6753,4004,6750,4013,6752,4024,6754,4033,6759,4043,6767,4054,6777,4065,7502,4790,7505,4792,7513,4795,7516,4796,7520,4794,7524,4793,7534,4788,7539,4785,7545,4780,7557,4768,7565,4757,7570,4747,7571,4743,7572,4739xm8101,4211l8100,4207,8098,4200,8095,4197,8092,4194,7340,3442,7337,3440,7330,3437,7327,3437,7322,3438,7318,3439,7309,3444,7298,3452,7286,3464,7278,3474,7273,3484,7272,3488,7271,3492,7271,3496,7274,3503,7276,3507,8031,4262,8034,4264,8041,4267,8044,4267,8048,4266,8053,4265,8063,4260,8073,4252,8086,4239,8090,4233,8094,4229,8099,4219,8099,4215,8101,4211xm8456,3783l8456,3767,8454,3750,8451,3733,8448,3716,8442,3699,8436,3681,8428,3664,8419,3646,8409,3627,8397,3609,8383,3591,8369,3572,8352,3554,8346,3547,8346,3749,8345,3764,8343,3777,8340,3789,8335,3802,8328,3814,8320,3825,8310,3836,8216,3930,7941,3655,8018,3578,8024,3573,8034,3564,8049,3553,8063,3543,8078,3536,8093,3532,8108,3530,8124,3529,8139,3531,8155,3534,8171,3539,8188,3546,8204,3555,8221,3566,8238,3578,8255,3593,8273,3610,8288,3626,8301,3642,8313,3658,8323,3674,8331,3690,8337,3705,8341,3720,8344,3735,8346,3749,8346,3547,8335,3535,8328,3529,8315,3517,8295,3499,8275,3484,8254,3470,8234,3458,8214,3448,8195,3439,8190,3438,8176,3433,8158,3428,8139,3424,8122,3422,8105,3422,8089,3424,8073,3427,8059,3432,8046,3438,8048,3424,8048,3410,8048,3396,8046,3382,8043,3367,8039,3353,8034,3338,8028,3323,8021,3308,8013,3294,8004,3279,7993,3264,7982,3250,7971,3235,7964,3228,7964,3422,7964,3435,7962,3448,7958,3461,7952,3474,7943,3487,7932,3500,7859,3573,7606,3320,7673,3253,7686,3241,7700,3231,7713,3223,7726,3217,7739,3214,7751,3212,7765,3212,7777,3214,7791,3218,7805,3223,7818,3230,7832,3238,7846,3247,7860,3258,7874,3270,7888,3284,7900,3297,7912,3310,7923,3323,7933,3337,7941,3352,7949,3366,7955,3380,7959,3394,7962,3408,7964,3422,7964,3228,7958,3221,7950,3212,7945,3207,7921,3185,7898,3165,7875,3148,7852,3133,7829,3121,7806,3111,7784,3104,7762,3099,7740,3097,7719,3098,7698,3101,7677,3107,7656,3116,7635,3129,7614,3145,7592,3166,7481,3276,7476,3282,7473,3290,7474,3301,7477,3311,7482,3320,7489,3331,7500,3342,8195,4038,8206,4048,8217,4056,8227,4061,8236,4063,8247,4064,8256,4062,8387,3930,8389,3929,8402,3915,8413,3901,8423,3887,8431,3873,8438,3860,8444,3845,8449,3830,8452,3815,8454,3799,8456,3783xm9020,3298l9019,3293,9017,3288,9014,3283,9009,3277,9003,3272,8995,3267,8984,3259,8889,3199,8609,3022,8609,3133,8440,3303,8179,2897,8135,2830,8135,2830,8135,2830,8609,3133,8609,3022,8304,2830,8097,2698,8091,2695,8086,2692,8081,2691,8076,2690,8072,2690,8062,2693,8056,2696,8050,2701,8044,2706,8038,2712,8030,2720,8022,2728,8016,2734,8012,2739,8008,2745,8005,2750,8004,2755,8002,2760,8001,2764,8003,2769,8004,2774,8007,2778,8010,2784,8053,2852,8370,3354,8571,3672,8578,3683,8584,3690,8589,3696,8594,3702,8600,3705,8604,3706,8609,3707,8614,3706,8620,3702,8625,3698,8632,3693,8646,3678,8651,3672,8655,3667,8659,3662,8661,3658,8661,3653,8662,3649,8662,3645,8660,3641,8659,3637,8657,3633,8654,3629,8617,3572,8506,3401,8605,3303,8709,3199,8940,3347,8945,3350,8949,3351,8953,3353,8956,3354,8960,3354,8963,3353,8968,3352,8972,3350,8978,3346,8983,3342,9005,3320,9010,3314,9014,3308,9018,3303,9020,3298xm9323,2883l9321,2844,9314,2804,9302,2763,9285,2721,9263,2677,9236,2632,9213,2599,9213,2847,9212,2874,9207,2899,9198,2925,9186,2949,9168,2973,9147,2997,9080,3063,8473,2456,8539,2390,8565,2368,8590,2350,8617,2338,8644,2330,8672,2328,8700,2328,8729,2332,8759,2340,8790,2351,8821,2365,8852,2382,8884,2403,8916,2427,8948,2453,8980,2481,9012,2511,9049,2551,9083,2588,9113,2625,9138,2659,9160,2694,9178,2726,9193,2758,9203,2789,9210,2818,9213,2847,9213,2599,9204,2586,9166,2538,9124,2489,9076,2439,9032,2397,8988,2360,8947,2328,8945,2326,8902,2296,8860,2271,8819,2251,8778,2234,8738,2222,8700,2214,8662,2212,8625,2214,8590,2220,8555,2231,8522,2249,8489,2272,8457,2301,8341,2416,8338,2425,8339,2436,8342,2445,8347,2455,8354,2466,8365,2477,9060,3173,9072,3183,9082,3191,9092,3195,9101,3197,9112,3199,9121,3197,9230,3088,9252,3063,9258,3056,9282,3023,9300,2990,9313,2955,9320,2920,9323,2883xm9940,2378l9939,2373,9937,2368,9934,2363,9929,2357,9923,2352,9916,2347,9905,2339,9810,2279,9529,2102,9529,2213,9360,2383,9099,1977,9055,1910,9055,1909,9529,2213,9529,2102,9224,1909,9017,1778,9011,1775,9006,1772,8996,1770,8992,1770,8987,1772,8982,1773,8976,1776,8971,1781,8965,1785,8958,1792,8950,1800,8936,1814,8928,1825,8925,1830,8924,1835,8922,1840,8922,1844,8923,1849,8924,1854,8927,1858,8930,1864,9017,2000,9289,2433,9318,2479,9491,2752,9498,2762,9504,2770,9509,2776,9514,2782,9520,2785,9529,2787,9534,2786,9540,2782,9545,2778,9552,2773,9566,2758,9571,2752,9575,2747,9579,2742,9581,2738,9581,2733,9582,2729,9582,2725,9580,2721,9579,2717,9577,2713,9574,2709,9426,2481,9525,2383,9629,2279,9860,2427,9865,2429,9869,2431,9873,2433,9876,2434,9880,2434,9883,2433,9888,2432,9892,2430,9898,2426,9903,2422,9925,2400,9930,2394,9934,2388,9938,2383,9940,2378xm10374,1934l10372,1922,10369,1915,10362,1900,10356,1892,10348,1884,9625,1161,9622,1159,9615,1157,9611,1156,9602,1157,9598,1160,9593,1163,9582,1171,9570,1183,9559,1199,9556,1203,9555,1212,9556,1216,9557,1220,9558,1223,9560,1226,10011,1676,10186,1849,10186,1850,10037,1772,9959,1732,9898,1702,9801,1654,9573,1540,9421,1463,9397,1452,9378,1444,9366,1440,9356,1437,9347,1436,9338,1436,9330,1437,9316,1443,9309,1448,9263,1494,9260,1504,9261,1516,9264,1526,9269,1536,9277,1548,9287,1559,10010,2282,10013,2284,10016,2285,10020,2287,10024,2288,10028,2286,10032,2286,10042,2281,10052,2273,10065,2260,10073,2249,10076,2244,10078,2240,10078,2236,10080,2232,10080,2228,10078,2224,10077,2220,10075,2218,9533,1677,9421,1567,9422,1566,9468,1592,9565,1643,9686,1703,10057,1887,10204,1961,10233,1975,10272,1991,10285,1994,10295,1995,10305,1997,10314,1996,10321,1993,10329,1990,10336,1985,10367,1954,10370,1950,10373,1939,10374,1934xe" filled="true" fillcolor="#ffc000" stroked="false">
            <v:path arrowok="t"/>
            <v:fill opacity="32896f" type="solid"/>
            <w10:wrap type="none"/>
          </v:shape>
        </w:pict>
      </w:r>
      <w:r>
        <w:rPr/>
        <w:t>A1:</w:t>
      </w:r>
      <w:r>
        <w:rPr>
          <w:spacing w:val="-4"/>
        </w:rPr>
        <w:t> </w:t>
      </w:r>
      <w:r>
        <w:rPr/>
        <w:t>Correlogram-Q-Statistics</w:t>
      </w:r>
    </w:p>
    <w:p>
      <w:pPr>
        <w:pStyle w:val="BodyText"/>
        <w:spacing w:before="3" w:after="1"/>
        <w:rPr>
          <w:b/>
          <w:sz w:val="21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444"/>
        <w:gridCol w:w="921"/>
        <w:gridCol w:w="788"/>
        <w:gridCol w:w="849"/>
        <w:gridCol w:w="929"/>
        <w:gridCol w:w="812"/>
      </w:tblGrid>
      <w:tr>
        <w:trPr>
          <w:trHeight w:val="270" w:hRule="atLeast"/>
        </w:trPr>
        <w:tc>
          <w:tcPr>
            <w:tcW w:w="7617" w:type="dxa"/>
            <w:gridSpan w:val="7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378" w:hRule="atLeast"/>
        </w:trPr>
        <w:tc>
          <w:tcPr>
            <w:tcW w:w="7617" w:type="dxa"/>
            <w:gridSpan w:val="7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33</w:t>
            </w:r>
          </w:p>
        </w:tc>
      </w:tr>
      <w:tr>
        <w:trPr>
          <w:trHeight w:val="487" w:hRule="atLeast"/>
        </w:trPr>
        <w:tc>
          <w:tcPr>
            <w:tcW w:w="187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206"/>
              <w:rPr>
                <w:sz w:val="24"/>
              </w:rPr>
            </w:pPr>
            <w:r>
              <w:rPr>
                <w:sz w:val="24"/>
              </w:rPr>
              <w:t>Autocorrelation</w:t>
            </w:r>
          </w:p>
        </w:tc>
        <w:tc>
          <w:tcPr>
            <w:tcW w:w="2365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49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78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53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84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13" w:right="200"/>
              <w:jc w:val="center"/>
              <w:rPr>
                <w:sz w:val="24"/>
              </w:rPr>
            </w:pPr>
            <w:r>
              <w:rPr>
                <w:sz w:val="24"/>
              </w:rPr>
              <w:t>PAC</w:t>
            </w:r>
          </w:p>
        </w:tc>
        <w:tc>
          <w:tcPr>
            <w:tcW w:w="9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01"/>
              <w:rPr>
                <w:sz w:val="24"/>
              </w:rPr>
            </w:pPr>
            <w:r>
              <w:rPr>
                <w:sz w:val="24"/>
              </w:rPr>
              <w:t>Q-Stat</w:t>
            </w:r>
          </w:p>
        </w:tc>
        <w:tc>
          <w:tcPr>
            <w:tcW w:w="81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48"/>
              <w:rPr>
                <w:sz w:val="24"/>
              </w:rPr>
            </w:pPr>
            <w:r>
              <w:rPr>
                <w:sz w:val="24"/>
              </w:rPr>
              <w:t>Prob</w:t>
            </w:r>
          </w:p>
        </w:tc>
      </w:tr>
      <w:tr>
        <w:trPr>
          <w:trHeight w:val="380" w:hRule="atLeast"/>
        </w:trPr>
        <w:tc>
          <w:tcPr>
            <w:tcW w:w="187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261" w:lineRule="exact" w:before="99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1" w:lineRule="exact" w:before="99"/>
              <w:ind w:left="389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38"/>
              <w:rPr>
                <w:sz w:val="24"/>
              </w:rPr>
            </w:pPr>
            <w:r>
              <w:rPr>
                <w:sz w:val="24"/>
              </w:rPr>
              <w:t>-0.092</w:t>
            </w:r>
          </w:p>
        </w:tc>
        <w:tc>
          <w:tcPr>
            <w:tcW w:w="84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-0.092</w:t>
            </w:r>
          </w:p>
        </w:tc>
        <w:tc>
          <w:tcPr>
            <w:tcW w:w="9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127"/>
              <w:rPr>
                <w:sz w:val="24"/>
              </w:rPr>
            </w:pPr>
            <w:r>
              <w:rPr>
                <w:sz w:val="24"/>
              </w:rPr>
              <w:t>0.3066</w:t>
            </w:r>
          </w:p>
        </w:tc>
        <w:tc>
          <w:tcPr>
            <w:tcW w:w="81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0.580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-0.091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-0.101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0.6178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0.734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15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.**|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-0.186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-0.208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1.9430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0.584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-0.034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1.9611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0.743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0.112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92" w:right="75"/>
              <w:jc w:val="center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2.4764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0.780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-0.017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2.4764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0.871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-0.151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-0.144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3.4922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0.836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-0.088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-0.097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3.8472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0.871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-0.055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-0.120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3.9939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0.912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0.117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92" w:right="75"/>
              <w:jc w:val="center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4.6839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0.911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0.103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92" w:right="75"/>
              <w:jc w:val="center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5.2374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0.919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-0.058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-0.033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5.4216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0.942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-0.084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-0.054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5.8244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0.952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-0.016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13" w:right="75"/>
              <w:jc w:val="center"/>
              <w:rPr>
                <w:sz w:val="24"/>
              </w:rPr>
            </w:pPr>
            <w:r>
              <w:rPr>
                <w:sz w:val="24"/>
              </w:rPr>
              <w:t>-0.026</w:t>
            </w:r>
          </w:p>
        </w:tc>
        <w:tc>
          <w:tcPr>
            <w:tcW w:w="929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5.8408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0.970</w:t>
            </w:r>
          </w:p>
        </w:tc>
      </w:tr>
      <w:tr>
        <w:trPr>
          <w:trHeight w:val="381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037" w:val="left" w:leader="none"/>
              </w:tabs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</w:r>
          </w:p>
        </w:tc>
        <w:tc>
          <w:tcPr>
            <w:tcW w:w="92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84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92" w:right="75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9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6.1871</w:t>
            </w:r>
          </w:p>
        </w:tc>
        <w:tc>
          <w:tcPr>
            <w:tcW w:w="81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0.976</w:t>
            </w:r>
          </w:p>
        </w:tc>
      </w:tr>
      <w:tr>
        <w:trPr>
          <w:trHeight w:val="499" w:hRule="atLeast"/>
        </w:trPr>
        <w:tc>
          <w:tcPr>
            <w:tcW w:w="7617" w:type="dxa"/>
            <w:gridSpan w:val="7"/>
            <w:tcBorders>
              <w:top w:val="double" w:sz="2" w:space="0" w:color="000000"/>
            </w:tcBorders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A2: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Jarque-Bera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</w:t>
            </w:r>
          </w:p>
        </w:tc>
      </w:tr>
      <w:tr>
        <w:trPr>
          <w:trHeight w:val="470" w:hRule="atLeast"/>
        </w:trPr>
        <w:tc>
          <w:tcPr>
            <w:tcW w:w="1874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389"/>
              <w:rPr>
                <w:sz w:val="24"/>
              </w:rPr>
            </w:pPr>
            <w:r>
              <w:rPr>
                <w:sz w:val="24"/>
              </w:rPr>
              <w:t>0.936349</w:t>
            </w:r>
          </w:p>
        </w:tc>
        <w:tc>
          <w:tcPr>
            <w:tcW w:w="1709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0.6261</w:t>
            </w:r>
          </w:p>
        </w:tc>
      </w:tr>
      <w:tr>
        <w:trPr>
          <w:trHeight w:val="394" w:hRule="atLeast"/>
        </w:trPr>
        <w:tc>
          <w:tcPr>
            <w:tcW w:w="7617" w:type="dxa"/>
            <w:gridSpan w:val="7"/>
            <w:tcBorders>
              <w:top w:val="double" w:sz="2" w:space="0" w:color="000000"/>
            </w:tcBorders>
          </w:tcPr>
          <w:p>
            <w:pPr>
              <w:pStyle w:val="TableParagraph"/>
              <w:spacing w:line="274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A3: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Breusch-Godfrey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Serial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Correlation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5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389"/>
              <w:rPr>
                <w:sz w:val="24"/>
              </w:rPr>
            </w:pPr>
            <w:r>
              <w:rPr>
                <w:sz w:val="24"/>
              </w:rPr>
              <w:t>0.379122</w:t>
            </w:r>
          </w:p>
        </w:tc>
        <w:tc>
          <w:tcPr>
            <w:tcW w:w="1709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9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804"/>
              <w:rPr>
                <w:sz w:val="24"/>
              </w:rPr>
            </w:pPr>
            <w:r>
              <w:rPr>
                <w:sz w:val="24"/>
              </w:rPr>
              <w:t>0.689800</w:t>
            </w:r>
          </w:p>
        </w:tc>
      </w:tr>
      <w:tr>
        <w:trPr>
          <w:trHeight w:val="381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1.333923</w:t>
            </w:r>
          </w:p>
        </w:tc>
        <w:tc>
          <w:tcPr>
            <w:tcW w:w="1709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9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804"/>
              <w:rPr>
                <w:sz w:val="24"/>
              </w:rPr>
            </w:pPr>
            <w:r>
              <w:rPr>
                <w:sz w:val="24"/>
              </w:rPr>
              <w:t>0.513266</w:t>
            </w:r>
          </w:p>
        </w:tc>
      </w:tr>
      <w:tr>
        <w:trPr>
          <w:trHeight w:val="499" w:hRule="atLeast"/>
        </w:trPr>
        <w:tc>
          <w:tcPr>
            <w:tcW w:w="1874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A4: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ARCH Test:</w:t>
            </w:r>
          </w:p>
        </w:tc>
        <w:tc>
          <w:tcPr>
            <w:tcW w:w="144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8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389"/>
              <w:rPr>
                <w:sz w:val="24"/>
              </w:rPr>
            </w:pPr>
            <w:r>
              <w:rPr>
                <w:sz w:val="24"/>
              </w:rPr>
              <w:t>0.172937</w:t>
            </w:r>
          </w:p>
        </w:tc>
        <w:tc>
          <w:tcPr>
            <w:tcW w:w="1709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9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804"/>
              <w:rPr>
                <w:sz w:val="24"/>
              </w:rPr>
            </w:pPr>
            <w:r>
              <w:rPr>
                <w:sz w:val="24"/>
              </w:rPr>
              <w:t>0.680475</w:t>
            </w:r>
          </w:p>
        </w:tc>
      </w:tr>
      <w:tr>
        <w:trPr>
          <w:trHeight w:val="379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0.183408</w:t>
            </w:r>
          </w:p>
        </w:tc>
        <w:tc>
          <w:tcPr>
            <w:tcW w:w="1709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9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804"/>
              <w:rPr>
                <w:sz w:val="24"/>
              </w:rPr>
            </w:pPr>
            <w:r>
              <w:rPr>
                <w:sz w:val="24"/>
              </w:rPr>
              <w:t>0.668460</w:t>
            </w:r>
          </w:p>
        </w:tc>
      </w:tr>
      <w:tr>
        <w:trPr>
          <w:trHeight w:val="499" w:hRule="atLeast"/>
        </w:trPr>
        <w:tc>
          <w:tcPr>
            <w:tcW w:w="7617" w:type="dxa"/>
            <w:gridSpan w:val="7"/>
            <w:tcBorders>
              <w:top w:val="double" w:sz="2" w:space="0" w:color="000000"/>
            </w:tcBorders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A5: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Heteroskedasticity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389"/>
              <w:rPr>
                <w:sz w:val="24"/>
              </w:rPr>
            </w:pPr>
            <w:r>
              <w:rPr>
                <w:sz w:val="24"/>
              </w:rPr>
              <w:t>3.869138</w:t>
            </w:r>
          </w:p>
        </w:tc>
        <w:tc>
          <w:tcPr>
            <w:tcW w:w="1709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9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804"/>
              <w:rPr>
                <w:sz w:val="24"/>
              </w:rPr>
            </w:pPr>
            <w:r>
              <w:rPr>
                <w:sz w:val="24"/>
              </w:rPr>
              <w:t>0.026559</w:t>
            </w:r>
          </w:p>
        </w:tc>
      </w:tr>
      <w:tr>
        <w:trPr>
          <w:trHeight w:val="381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30.38249</w:t>
            </w:r>
          </w:p>
        </w:tc>
        <w:tc>
          <w:tcPr>
            <w:tcW w:w="1709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9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804"/>
              <w:rPr>
                <w:sz w:val="24"/>
              </w:rPr>
            </w:pPr>
            <w:r>
              <w:rPr>
                <w:sz w:val="24"/>
              </w:rPr>
              <w:t>0.172396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4" w:after="1"/>
        <w:rPr>
          <w:b/>
          <w:sz w:val="19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2293"/>
        <w:gridCol w:w="2010"/>
      </w:tblGrid>
      <w:tr>
        <w:trPr>
          <w:trHeight w:val="935" w:hRule="atLeast"/>
        </w:trPr>
        <w:tc>
          <w:tcPr>
            <w:tcW w:w="7621" w:type="dxa"/>
            <w:gridSpan w:val="4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Stability Tests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B1: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38.12258</w:t>
            </w:r>
          </w:p>
        </w:tc>
        <w:tc>
          <w:tcPr>
            <w:tcW w:w="229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01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0.000006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36.32510</w:t>
            </w:r>
          </w:p>
        </w:tc>
        <w:tc>
          <w:tcPr>
            <w:tcW w:w="229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01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before="90"/>
        <w:ind w:left="811" w:right="0" w:firstLine="0"/>
        <w:jc w:val="left"/>
        <w:rPr>
          <w:b/>
          <w:sz w:val="24"/>
        </w:rPr>
      </w:pPr>
      <w:r>
        <w:rPr/>
        <w:pict>
          <v:group style="position:absolute;margin-left:106.610001pt;margin-top:-4.296902pt;width:412.1pt;height:397.2pt;mso-position-horizontal-relative:page;mso-position-vertical-relative:paragraph;z-index:-25277952" coordorigin="2132,-86" coordsize="8242,7944">
            <v:shape style="position:absolute;left:2338;top:-86;width:8035;height:7944" type="#_x0000_t75" stroked="false">
              <v:imagedata r:id="rId43" o:title=""/>
            </v:shape>
            <v:rect style="position:absolute;left:2132;top:1126;width:4169;height:2986" filled="true" fillcolor="#ffffff" stroked="false">
              <v:fill type="solid"/>
            </v:rect>
            <w10:wrap type="none"/>
          </v:group>
        </w:pict>
      </w:r>
      <w:r>
        <w:rPr/>
        <w:pict>
          <v:rect style="position:absolute;margin-left:108.139999pt;margin-top:-69.376892pt;width:108.26pt;height:.71999pt;mso-position-horizontal-relative:page;mso-position-vertical-relative:paragraph;z-index:-25277440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5275904" from="121.083618pt,130.7146pt" to="123.750351pt,130.7146pt" stroked="true" strokeweight=".34436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5392" from="121.083618pt,108.607979pt" to="123.750351pt,108.607979pt" stroked="true" strokeweight=".34436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880" from="121.083618pt,86.546066pt" to="123.750351pt,86.546066pt" stroked="true" strokeweight=".34436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368" from="121.083618pt,64.484154pt" to="123.750351pt,64.484154pt" stroked="true" strokeweight=".344366pt" strokecolor="#000000">
            <v:stroke dashstyle="solid"/>
            <w10:wrap type="none"/>
          </v:line>
        </w:pict>
      </w:r>
      <w:r>
        <w:rPr/>
        <w:pict>
          <v:group style="position:absolute;margin-left:123.483681pt;margin-top:63.975338pt;width:181pt;height:113.7pt;mso-position-horizontal-relative:page;mso-position-vertical-relative:paragraph;z-index:-25273856" coordorigin="2470,1280" coordsize="3620,2274">
            <v:line style="position:absolute" from="2481,2172" to="6077,2172" stroked="true" strokeweight=".344366pt" strokecolor="#000000">
              <v:stroke dashstyle="solid"/>
            </v:line>
            <v:shape style="position:absolute;left:2481;top:2091;width:3596;height:1335" coordorigin="2481,2091" coordsize="3596,1335" path="m2481,2383l2670,2115,2859,2248,3048,2299,3237,2197,3427,2414,3616,2160,3805,2241,3995,2225,4184,2323,4373,2191,4562,2244,4751,2155,4941,2218,5129,2216,5319,2091,5509,2384,5697,2297,5887,3426,6077,2159e" filled="false" stroked="true" strokeweight=".411098pt" strokecolor="#0000ff">
              <v:path arrowok="t"/>
              <v:stroke dashstyle="solid"/>
            </v:shape>
            <v:shape style="position:absolute;left:2481;top:2438;width:376;height:155" coordorigin="2481,2439" coordsize="376,155" path="m2481,2593l2509,2576m2525,2566l2554,2550m2571,2539l2599,2523m2616,2513l2644,2496m2661,2486l2670,2481,2693,2475m2713,2471l2747,2463m2768,2459l2802,2451m2823,2447l2857,2439e" filled="false" stroked="true" strokeweight=".445139pt" strokecolor="#ff0000">
              <v:path arrowok="t"/>
              <v:stroke dashstyle="solid"/>
            </v:shape>
            <v:line style="position:absolute" from="2874,2438" to="2917,2438" stroked="true" strokeweight=".448753pt" strokecolor="#ff0000">
              <v:stroke dashstyle="solid"/>
            </v:line>
            <v:line style="position:absolute" from="2930,2436" to="2973,2436" stroked="true" strokeweight=".456239pt" strokecolor="#ff0000">
              <v:stroke dashstyle="solid"/>
            </v:line>
            <v:line style="position:absolute" from="2985,2435" to="3029,2435" stroked="true" strokeweight=".445013pt" strokecolor="#ff0000">
              <v:stroke dashstyle="solid"/>
            </v:line>
            <v:shape style="position:absolute;left:3045;top:2408;width:412;height:57" coordorigin="3045,2408" coordsize="412,57" path="m3045,2435l3048,2435,3079,2430m3100,2427l3135,2422m3156,2419l3191,2414m3212,2411l3237,2408,3246,2410m3265,2416l3298,2426m3318,2431l3351,2441m3370,2447l3403,2457m3422,2463l3427,2465,3456,2461e" filled="false" stroked="true" strokeweight=".445139pt" strokecolor="#ff0000">
              <v:path arrowok="t"/>
              <v:stroke dashstyle="solid"/>
            </v:shape>
            <v:line style="position:absolute" from="3473,2457" to="3516,2457" stroked="true" strokeweight=".595536pt" strokecolor="#ff0000">
              <v:stroke dashstyle="solid"/>
            </v:line>
            <v:line style="position:absolute" from="3529,2450" to="3572,2450" stroked="true" strokeweight=".606925pt" strokecolor="#ff0000">
              <v:stroke dashstyle="solid"/>
            </v:line>
            <v:shape style="position:absolute;left:3588;top:2441;width:36;height:5" coordorigin="3589,2442" coordsize="36,5" path="m3589,2446l3616,2443,3624,2442e" filled="false" stroked="true" strokeweight=".401416pt" strokecolor="#ff0000">
              <v:path arrowok="t"/>
              <v:stroke dashstyle="solid"/>
            </v:shape>
            <v:line style="position:absolute" from="3641,2439" to="3684,2439" stroked="true" strokeweight=".550197pt" strokecolor="#ff0000">
              <v:stroke dashstyle="solid"/>
            </v:line>
            <v:line style="position:absolute" from="3697,2436" to="3740,2436" stroked="true" strokeweight=".550183pt" strokecolor="#ff0000">
              <v:stroke dashstyle="solid"/>
            </v:line>
            <v:line style="position:absolute" from="3753,2431" to="3796,2431" stroked="true" strokeweight=".550183pt" strokecolor="#ff0000">
              <v:stroke dashstyle="solid"/>
            </v:line>
            <v:line style="position:absolute" from="3809,2428" to="3852,2428" stroked="true" strokeweight=".505006pt" strokecolor="#ff0000">
              <v:stroke dashstyle="solid"/>
            </v:line>
            <v:line style="position:absolute" from="3865,2425" to="3908,2425" stroked="true" strokeweight=".550188pt" strokecolor="#ff0000">
              <v:stroke dashstyle="solid"/>
            </v:line>
            <v:line style="position:absolute" from="3921,2421" to="3964,2421" stroked="true" strokeweight=".493736pt" strokecolor="#ff0000">
              <v:stroke dashstyle="solid"/>
            </v:line>
            <v:shape style="position:absolute;left:3980;top:2418;width:36;height:2" coordorigin="3980,2418" coordsize="36,0" path="m3980,2418l3995,2418,4016,2418e" filled="false" stroked="true" strokeweight=".400221pt" strokecolor="#ff0000">
              <v:path arrowok="t"/>
              <v:stroke dashstyle="solid"/>
            </v:shape>
            <v:line style="position:absolute" from="4032,2419" to="4076,2419" stroked="true" strokeweight=".456237pt" strokecolor="#ff0000">
              <v:stroke dashstyle="solid"/>
            </v:line>
            <v:line style="position:absolute" from="4088,2421" to="4131,2421" stroked="true" strokeweight=".445014pt" strokecolor="#ff0000">
              <v:stroke dashstyle="solid"/>
            </v:line>
            <v:line style="position:absolute" from="4144,2422" to="4188,2422" stroked="true" strokeweight=".456237pt" strokecolor="#ff0000">
              <v:stroke dashstyle="solid"/>
            </v:line>
            <v:line style="position:absolute" from="4199,2421" to="4242,2421" stroked="true" strokeweight=".49373pt" strokecolor="#ff0000">
              <v:stroke dashstyle="solid"/>
            </v:line>
            <v:line style="position:absolute" from="4255,2418" to="4298,2418" stroked="true" strokeweight=".493736pt" strokecolor="#ff0000">
              <v:stroke dashstyle="solid"/>
            </v:line>
            <v:line style="position:absolute" from="4311,2415" to="4354,2415" stroked="true" strokeweight=".49373pt" strokecolor="#ff0000">
              <v:stroke dashstyle="solid"/>
            </v:line>
            <v:shape style="position:absolute;left:4370;top:2411;width:36;height:2" coordorigin="4371,2411" coordsize="36,2" path="m4371,2413l4373,2413,4406,2411e" filled="false" stroked="true" strokeweight=".400471pt" strokecolor="#ff0000">
              <v:path arrowok="t"/>
              <v:stroke dashstyle="solid"/>
            </v:shape>
            <v:line style="position:absolute" from="4423,2410" to="4466,2410" stroked="true" strokeweight=".501241pt" strokecolor="#ff0000">
              <v:stroke dashstyle="solid"/>
            </v:line>
            <v:line style="position:absolute" from="4479,2408" to="4522,2408" stroked="true" strokeweight=".456237pt" strokecolor="#ff0000">
              <v:stroke dashstyle="solid"/>
            </v:line>
            <v:shape style="position:absolute;left:4538;top:2405;width:36;height:2" coordorigin="4539,2405" coordsize="36,1" path="m4539,2406l4562,2406,4574,2405e" filled="false" stroked="true" strokeweight=".40029pt" strokecolor="#ff0000">
              <v:path arrowok="t"/>
              <v:stroke dashstyle="solid"/>
            </v:shape>
            <v:line style="position:absolute" from="4590,2403" to="4634,2403" stroked="true" strokeweight=".49373pt" strokecolor="#ff0000">
              <v:stroke dashstyle="solid"/>
            </v:line>
            <v:line style="position:absolute" from="4646,2401" to="4690,2401" stroked="true" strokeweight=".448753pt" strokecolor="#ff0000">
              <v:stroke dashstyle="solid"/>
            </v:line>
            <v:line style="position:absolute" from="4702,2398" to="4746,2398" stroked="true" strokeweight=".505001pt" strokecolor="#ff0000">
              <v:stroke dashstyle="solid"/>
            </v:line>
            <v:line style="position:absolute" from="4758,2396" to="4802,2396" stroked="true" strokeweight=".456237pt" strokecolor="#ff0000">
              <v:stroke dashstyle="solid"/>
            </v:line>
            <v:line style="position:absolute" from="4814,2394" to="4857,2394" stroked="true" strokeweight=".445014pt" strokecolor="#ff0000">
              <v:stroke dashstyle="solid"/>
            </v:line>
            <v:line style="position:absolute" from="4870,2392" to="4914,2392" stroked="true" strokeweight=".448753pt" strokecolor="#ff0000">
              <v:stroke dashstyle="solid"/>
            </v:line>
            <v:shape style="position:absolute;left:4930;top:2389;width:36;height:2" coordorigin="4930,2389" coordsize="36,2" path="m4930,2390l4941,2390,4965,2389e" filled="false" stroked="true" strokeweight=".400311pt" strokecolor="#ff0000">
              <v:path arrowok="t"/>
              <v:stroke dashstyle="solid"/>
            </v:shape>
            <v:line style="position:absolute" from="4982,2388" to="5025,2388" stroked="true" strokeweight=".445012pt" strokecolor="#ff0000">
              <v:stroke dashstyle="solid"/>
            </v:line>
            <v:line style="position:absolute" from="5038,2386" to="5081,2386" stroked="true" strokeweight=".448753pt" strokecolor="#ff0000">
              <v:stroke dashstyle="solid"/>
            </v:line>
            <v:shape style="position:absolute;left:5098;top:2381;width:204;height:4" coordorigin="5098,2381" coordsize="204,4" path="m5098,2385l5129,2384,5133,2383m5154,2383l5189,2383m5210,2382l5245,2382m5266,2381l5301,2381e" filled="false" stroked="true" strokeweight=".445139pt" strokecolor="#ff0000">
              <v:path arrowok="t"/>
              <v:stroke dashstyle="solid"/>
            </v:shape>
            <v:line style="position:absolute" from="5318,2383" to="5361,2383" stroked="true" strokeweight=".553961pt" strokecolor="#ff0000">
              <v:stroke dashstyle="solid"/>
            </v:line>
            <v:line style="position:absolute" from="5374,2388" to="5417,2388" stroked="true" strokeweight=".606916pt" strokecolor="#ff0000">
              <v:stroke dashstyle="solid"/>
            </v:line>
            <v:line style="position:absolute" from="5430,2394" to="5473,2394" stroked="true" strokeweight=".550188pt" strokecolor="#ff0000">
              <v:stroke dashstyle="solid"/>
            </v:line>
            <v:shape style="position:absolute;left:5489;top:2397;width:393;height:386" coordorigin="5489,2397" coordsize="393,386" path="m5489,2397l5509,2400,5525,2400m5545,2400l5581,2400m5601,2400l5637,2400m5657,2400l5692,2400m5702,2413l5716,2440m5723,2456l5736,2483m5745,2499l5757,2526m5765,2541l5779,2568m5786,2584l5800,2611m5807,2627l5820,2654m5828,2670l5841,2697m5848,2713l5862,2740m5870,2756l5882,2783e" filled="false" stroked="true" strokeweight=".445139pt" strokecolor="#ff0000">
              <v:path arrowok="t"/>
              <v:stroke dashstyle="solid"/>
            </v:shape>
            <v:line style="position:absolute" from="5894,2787" to="5937,2787" stroked="true" strokeweight=".550188pt" strokecolor="#ff0000">
              <v:stroke dashstyle="solid"/>
            </v:line>
            <v:line style="position:absolute" from="5950,2782" to="5993,2782" stroked="true" strokeweight=".550188pt" strokecolor="#ff0000">
              <v:stroke dashstyle="solid"/>
            </v:line>
            <v:line style="position:absolute" from="6006,2777" to="6049,2777" stroked="true" strokeweight=".550202pt" strokecolor="#ff0000">
              <v:stroke dashstyle="solid"/>
            </v:line>
            <v:line style="position:absolute" from="6062,2774" to="6081,2774" stroked="true" strokeweight=".449694pt" strokecolor="#ff0000">
              <v:stroke dashstyle="solid"/>
            </v:line>
            <v:shape style="position:absolute;left:2481;top:3507;width:3596;height:46" coordorigin="2481,3508" coordsize="3596,46" path="m2481,3508l2481,3553m2670,3508l2670,3553m2670,3508l2670,3553m2859,3508l2859,3553m3048,3508l3048,3553m3048,3508l3048,3553m3237,3508l3237,3553m3427,3508l3427,3553m3427,3508l3427,3553m3616,3508l3616,3553m3805,3508l3805,3553m3805,3508l3805,3553m3995,3508l3995,3553m4184,3508l4184,3553m4184,3508l4184,3553m4373,3508l4373,3553m4562,3508l4562,3553m4562,3508l4562,3553m4751,3508l4751,3553m4941,3508l4941,3553m4941,3508l4941,3553m5129,3508l5129,3553m5319,3508l5319,3553m5319,3508l5319,3553m5509,3508l5509,3553m5697,3508l5697,3553m5697,3508l5697,3553m5887,3508l5887,3553m6077,3508l6077,3553m6077,3508l6077,3553e" filled="false" stroked="true" strokeweight=".383015pt" strokecolor="#000000">
              <v:path arrowok="t"/>
              <v:stroke dashstyle="solid"/>
            </v:shape>
            <v:shape style="position:absolute;left:2481;top:1751;width:379;height:154" coordorigin="2481,1752" coordsize="379,154" path="m2481,1752l2510,1769m2527,1779l2555,1796m2572,1806l2602,1822m2617,1833l2647,1849m2664,1859l2670,1864,2695,1869m2716,1874l2750,1881m2771,1886l2805,1893m2825,1898l2859,1905e" filled="false" stroked="true" strokeweight=".445139pt" strokecolor="#ff0000">
              <v:path arrowok="t"/>
              <v:stroke dashstyle="solid"/>
            </v:shape>
            <v:line style="position:absolute" from="2875,1907" to="2918,1907" stroked="true" strokeweight=".448754pt" strokecolor="#ff0000">
              <v:stroke dashstyle="solid"/>
            </v:line>
            <v:line style="position:absolute" from="2931,1908" to="2974,1908" stroked="true" strokeweight=".448753pt" strokecolor="#ff0000">
              <v:stroke dashstyle="solid"/>
            </v:line>
            <v:line style="position:absolute" from="2987,1909" to="3030,1909" stroked="true" strokeweight=".456237pt" strokecolor="#ff0000">
              <v:stroke dashstyle="solid"/>
            </v:line>
            <v:shape style="position:absolute;left:3046;top:1880;width:413;height:56" coordorigin="3047,1880" coordsize="413,56" path="m3047,1909l3048,1910,3081,1914m3101,1917l3137,1922m3157,1924l3193,1929m3213,1932l3237,1936,3247,1933m3267,1927l3299,1917m3319,1912l3352,1902m3371,1896l3404,1887m3424,1881l3427,1880,3459,1883e" filled="false" stroked="true" strokeweight=".445139pt" strokecolor="#ff0000">
              <v:path arrowok="t"/>
              <v:stroke dashstyle="solid"/>
            </v:shape>
            <v:line style="position:absolute" from="3476,1887" to="3519,1887" stroked="true" strokeweight=".606898pt" strokecolor="#ff0000">
              <v:stroke dashstyle="solid"/>
            </v:line>
            <v:line style="position:absolute" from="3531,1893" to="3575,1893" stroked="true" strokeweight=".606898pt" strokecolor="#ff0000">
              <v:stroke dashstyle="solid"/>
            </v:line>
            <v:shape style="position:absolute;left:3591;top:1898;width:36;height:3" coordorigin="3591,1898" coordsize="36,3" path="m3591,1898l3616,1901,3627,1901e" filled="false" stroked="true" strokeweight=".400857pt" strokecolor="#ff0000">
              <v:path arrowok="t"/>
              <v:stroke dashstyle="solid"/>
            </v:shape>
            <v:line style="position:absolute" from="3643,1904" to="3687,1904" stroked="true" strokeweight=".501243pt" strokecolor="#ff0000">
              <v:stroke dashstyle="solid"/>
            </v:line>
            <v:line style="position:absolute" from="3699,1908" to="3742,1908" stroked="true" strokeweight=".553971pt" strokecolor="#ff0000">
              <v:stroke dashstyle="solid"/>
            </v:line>
            <v:shape style="position:absolute;left:3755;top:1911;width:100;height:4" coordorigin="3755,1912" coordsize="100,4" path="m3755,1912l3798,1912m3811,1916l3854,1916e" filled="false" stroked="true" strokeweight=".550188pt" strokecolor="#ff0000">
              <v:path arrowok="t"/>
              <v:stroke dashstyle="solid"/>
            </v:shape>
            <v:line style="position:absolute" from="3867,1919" to="3910,1919" stroked="true" strokeweight=".49373pt" strokecolor="#ff0000">
              <v:stroke dashstyle="solid"/>
            </v:line>
            <v:line style="position:absolute" from="3923,1923" to="3966,1923" stroked="true" strokeweight=".505001pt" strokecolor="#ff0000">
              <v:stroke dashstyle="solid"/>
            </v:line>
            <v:shape style="position:absolute;left:3982;top:1926;width:36;height:2" coordorigin="3983,1926" coordsize="36,2" path="m3983,1926l3995,1927,4018,1926e" filled="false" stroked="true" strokeweight=".400312pt" strokecolor="#ff0000">
              <v:path arrowok="t"/>
              <v:stroke dashstyle="solid"/>
            </v:shape>
            <v:line style="position:absolute" from="4035,1925" to="4078,1925" stroked="true" strokeweight=".445012pt" strokecolor="#ff0000">
              <v:stroke dashstyle="solid"/>
            </v:line>
            <v:line style="position:absolute" from="4091,1923" to="4134,1923" stroked="true" strokeweight=".448753pt" strokecolor="#ff0000">
              <v:stroke dashstyle="solid"/>
            </v:line>
            <v:shape style="position:absolute;left:4150;top:1920;width:36;height:2" coordorigin="4151,1920" coordsize="36,2" path="m4151,1921l4184,1920,4186,1920e" filled="false" stroked="true" strokeweight=".400311pt" strokecolor="#ff0000">
              <v:path arrowok="t"/>
              <v:stroke dashstyle="solid"/>
            </v:shape>
            <v:line style="position:absolute" from="4203,1922" to="4246,1922" stroked="true" strokeweight=".49373pt" strokecolor="#ff0000">
              <v:stroke dashstyle="solid"/>
            </v:line>
            <v:line style="position:absolute" from="4259,1926" to="4302,1926" stroked="true" strokeweight=".550202pt" strokecolor="#ff0000">
              <v:stroke dashstyle="solid"/>
            </v:line>
            <v:line style="position:absolute" from="4314,1929" to="4358,1929" stroked="true" strokeweight=".505001pt" strokecolor="#ff0000">
              <v:stroke dashstyle="solid"/>
            </v:line>
            <v:line style="position:absolute" from="4370,1933" to="4414,1933" stroked="true" strokeweight=".456237pt" strokecolor="#ff0000">
              <v:stroke dashstyle="solid"/>
            </v:line>
            <v:line style="position:absolute" from="4426,1934" to="4470,1934" stroked="true" strokeweight=".448753pt" strokecolor="#ff0000">
              <v:stroke dashstyle="solid"/>
            </v:line>
            <v:line style="position:absolute" from="4482,1936" to="4526,1936" stroked="true" strokeweight=".456237pt" strokecolor="#ff0000">
              <v:stroke dashstyle="solid"/>
            </v:line>
            <v:shape style="position:absolute;left:4542;top:1937;width:36;height:2" coordorigin="4542,1937" coordsize="36,1" path="m4542,1937l4562,1938,4577,1938e" filled="false" stroked="true" strokeweight=".40028pt" strokecolor="#ff0000">
              <v:path arrowok="t"/>
              <v:stroke dashstyle="solid"/>
            </v:shape>
            <v:line style="position:absolute" from="4594,1940" to="4637,1940" stroked="true" strokeweight=".49373pt" strokecolor="#ff0000">
              <v:stroke dashstyle="solid"/>
            </v:line>
            <v:line style="position:absolute" from="4650,1943" to="4693,1943" stroked="true" strokeweight=".493728pt" strokecolor="#ff0000">
              <v:stroke dashstyle="solid"/>
            </v:line>
            <v:line style="position:absolute" from="4706,1945" to="4749,1945" stroked="true" strokeweight=".505001pt" strokecolor="#ff0000">
              <v:stroke dashstyle="solid"/>
            </v:line>
            <v:line style="position:absolute" from="4762,1947" to="4805,1947" stroked="true" strokeweight=".456237pt" strokecolor="#ff0000">
              <v:stroke dashstyle="solid"/>
            </v:line>
            <v:line style="position:absolute" from="4818,1949" to="4861,1949" stroked="true" strokeweight=".445014pt" strokecolor="#ff0000">
              <v:stroke dashstyle="solid"/>
            </v:line>
            <v:line style="position:absolute" from="4874,1952" to="4917,1952" stroked="true" strokeweight=".448753pt" strokecolor="#ff0000">
              <v:stroke dashstyle="solid"/>
            </v:line>
            <v:shape style="position:absolute;left:4933;top:1952;width:36;height:3" coordorigin="4934,1953" coordsize="36,3" path="m4934,1953l4941,1954,4969,1955e" filled="false" stroked="true" strokeweight=".400534pt" strokecolor="#ff0000">
              <v:path arrowok="t"/>
              <v:stroke dashstyle="solid"/>
            </v:shape>
            <v:line style="position:absolute" from="4986,1956" to="5029,1956" stroked="true" strokeweight=".504998pt" strokecolor="#ff0000">
              <v:stroke dashstyle="solid"/>
            </v:line>
            <v:line style="position:absolute" from="5042,1958" to="5085,1958" stroked="true" strokeweight=".493728pt" strokecolor="#ff0000">
              <v:stroke dashstyle="solid"/>
            </v:line>
            <v:shape style="position:absolute;left:5101;top:1958;width:92;height:3" coordorigin="5102,1959" coordsize="92,3" path="m5102,1959l5129,1961,5137,1961m5157,1961l5193,1961e" filled="false" stroked="true" strokeweight=".445139pt" strokecolor="#ff0000">
              <v:path arrowok="t"/>
              <v:stroke dashstyle="solid"/>
            </v:shape>
            <v:line style="position:absolute" from="5209,1961" to="5253,1961" stroked="true" strokeweight=".448753pt" strokecolor="#ff0000">
              <v:stroke dashstyle="solid"/>
            </v:line>
            <v:line style="position:absolute" from="5269,1962" to="5305,1962" stroked="true" strokeweight=".400221pt" strokecolor="#ff0000">
              <v:stroke dashstyle="solid"/>
            </v:line>
            <v:line style="position:absolute" from="5321,1960" to="5365,1960" stroked="true" strokeweight=".550188pt" strokecolor="#ff0000">
              <v:stroke dashstyle="solid"/>
            </v:line>
            <v:line style="position:absolute" from="5377,1955" to="5420,1955" stroked="true" strokeweight=".610706pt" strokecolor="#ff0000">
              <v:stroke dashstyle="solid"/>
            </v:line>
            <v:line style="position:absolute" from="5433,1950" to="5477,1950" stroked="true" strokeweight=".550183pt" strokecolor="#ff0000">
              <v:stroke dashstyle="solid"/>
            </v:line>
            <v:shape style="position:absolute;left:5493;top:1559;width:391;height:387" coordorigin="5493,1560" coordsize="391,387" path="m5493,1946l5509,1945,5528,1944m5549,1944l5584,1944m5605,1944l5640,1944m5661,1944l5696,1944m5703,1929l5717,1902m5725,1886l5738,1859m5746,1843l5759,1817m5767,1801l5780,1774m5787,1758l5801,1731m5808,1715l5821,1688m5829,1672l5842,1645m5851,1629l5863,1602m5871,1587l5883,1560e" filled="false" stroked="true" strokeweight=".445139pt" strokecolor="#ff0000">
              <v:path arrowok="t"/>
              <v:stroke dashstyle="solid"/>
            </v:shape>
            <v:line style="position:absolute" from="5898,1558" to="5941,1558" stroked="true" strokeweight=".550188pt" strokecolor="#ff0000">
              <v:stroke dashstyle="solid"/>
            </v:line>
            <v:line style="position:absolute" from="5953,1562" to="5997,1562" stroked="true" strokeweight=".550188pt" strokecolor="#ff0000">
              <v:stroke dashstyle="solid"/>
            </v:line>
            <v:line style="position:absolute" from="6010,1567" to="6053,1567" stroked="true" strokeweight=".550202pt" strokecolor="#ff0000">
              <v:stroke dashstyle="solid"/>
            </v:line>
            <v:line style="position:absolute" from="6069,1571" to="6077,1572" stroked="true" strokeweight=".40155pt" strokecolor="#ff0000">
              <v:stroke dashstyle="solid"/>
            </v:line>
            <v:rect style="position:absolute;left:2475;top:1284;width:3610;height:2219" filled="false" stroked="true" strokeweight=".523649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320.459991pt;margin-top:56.321766pt;width:225.039986pt;height:149.251335pt;mso-position-horizontal-relative:page;mso-position-vertical-relative:paragraph;z-index:-25272832" filled="true" fillcolor="#ffffff" stroked="false">
            <v:fill type="solid"/>
            <w10:wrap type="none"/>
          </v:rect>
        </w:pict>
      </w:r>
      <w:r>
        <w:rPr/>
        <w:pict>
          <v:group style="position:absolute;margin-left:336.121765pt;margin-top:63.96637pt;width:198.45pt;height:113.7pt;mso-position-horizontal-relative:page;mso-position-vertical-relative:paragraph;z-index:-25272320" coordorigin="6722,1279" coordsize="3969,2274">
            <v:shape style="position:absolute;left:6722;top:2393;width:3956;height:1161" coordorigin="6722,2393" coordsize="3956,1161" path="m6722,3497l6780,3497m6787,3508l6787,3553m6722,3129l6780,3129m6722,2762l6780,2762m6722,2393l6780,2393m6787,2393l10678,2393e" filled="false" stroked="true" strokeweight=".400323pt" strokecolor="#000000">
              <v:path arrowok="t"/>
              <v:stroke dashstyle="solid"/>
            </v:shape>
            <v:shape style="position:absolute;left:6786;top:2434;width:3891;height:632" coordorigin="6787,2434" coordsize="3891,632" path="m6787,2449l6991,2434,7196,2454,7400,2487,7605,2493,7811,2556,8014,2553,8220,2571,8425,2585,8629,2625,8834,2630,9038,2649,9243,2644,9449,2657,9653,2668,9858,2647,10063,2703,10267,2736,10472,3065,10678,3061e" filled="false" stroked="true" strokeweight=".403558pt" strokecolor="#0000ff">
              <v:path arrowok="t"/>
              <v:stroke dashstyle="solid"/>
            </v:shape>
            <v:shape style="position:absolute;left:6786;top:2704;width:3891;height:625" coordorigin="6787,2705" coordsize="3891,625" path="m6787,2705l6825,2711m6847,2714l6884,2720m6907,2724l6943,2730m6966,2733l6991,2738,7003,2739m7025,2743l7062,2749m7084,2752l7121,2758m7143,2762l7180,2768m7203,2772l7241,2778m7263,2781l7300,2786m7322,2790l7359,2796m7381,2800l7400,2803,7418,2805m7441,2809l7478,2815m7500,2818l7537,2824m7559,2828l7596,2834m7618,2838l7656,2844m7679,2847l7716,2853m7738,2857l7775,2863m7797,2866l7811,2869,7834,2872m7856,2876l7893,2882m7916,2885l7953,2891m7975,2895l8012,2901m8034,2905l8071,2911m8093,2914l8130,2920m8153,2924l8191,2930m8213,2933l8220,2935,8250,2939m8272,2943l8309,2949m8332,2952l8369,2958m8391,2962l8425,2968,8428,2968m8450,2972l8488,2978m8511,2981l8547,2987m8570,2991l8606,2997m8629,3000l8629,3001,8666,3006m8688,3010l8725,3016m8747,3019l8784,3025m8807,3028l8834,3033,8843,3034m8866,3039l8903,3045m8925,3047l8962,3053m8984,3057l9021,3063m9043,3066l9080,3072m9103,3076l9139,3082m9162,3085l9199,3091m9221,3095l9243,3099,9258,3101m9280,3104l9317,3110m9339,3114l9376,3120m9399,3123l9435,3129m9458,3133l9495,3139m9517,3143l9555,3149m9577,3152l9615,3158m9637,3162l9653,3165,9674,3168m9696,3171l9733,3177m9755,3181l9792,3187m9815,3190l9851,3196m9872,3200l9909,3206m9931,3209l9968,3215m9991,3219l10028,3225m10050,3228l10063,3231,10087,3234m10109,3238l10146,3244m10168,3247l10205,3253m10228,3257l10264,3263m10287,3267l10324,3272m10346,3275l10383,3281m10405,3285l10443,3291m10466,3294l10472,3296,10503,3300m10525,3304l10562,3310m10584,3313l10621,3319m10643,3323l10678,3329e" filled="false" stroked="true" strokeweight=".465254pt" strokecolor="#ff0000">
              <v:path arrowok="t"/>
              <v:stroke dashstyle="solid"/>
            </v:shape>
            <v:line style="position:absolute" from="6722,2026" to="6780,2026" stroked="true" strokeweight=".344366pt" strokecolor="#000000">
              <v:stroke dashstyle="solid"/>
            </v:line>
            <v:shape style="position:absolute;left:6786;top:1457;width:3891;height:625" coordorigin="6787,1457" coordsize="3891,625" path="m6787,2081l6824,2076m6846,2072l6883,2066m6905,2062l6943,2056m6966,2053l6991,2049,7003,2047m7025,2043l7062,2037m7084,2034l7121,2028m7143,2024l7180,2018m7203,2014l7241,2008m7263,2005l7300,1999m7322,1995l7359,1989m7381,1986l7400,1983,7418,1980m7441,1976l7478,1970m7500,1967l7537,1961m7559,1957l7596,1951m7618,1947l7656,1941m7679,1938l7716,1932m7738,1928l7775,1922m7797,1919l7811,1917,7834,1913m7856,1909l7893,1903m7916,1900l7953,1894m7975,1890l8012,1884m8034,1880l8071,1874m8093,1871l8130,1865m8153,1861l8191,1855m8213,1852l8220,1851,8250,1846m8272,1842l8309,1836m8332,1834l8369,1828m8391,1823l8425,1819,8428,1817m8450,1814l8488,1808m8511,1805l8547,1799m8570,1795l8606,1789m8629,1786l8666,1780m8688,1776l8725,1770m8747,1767l8784,1761m8807,1757l8834,1753,8843,1751m8866,1747l8903,1741m8925,1738l8962,1732m8984,1728l9021,1722m9043,1719l9080,1713m9103,1709l9139,1703m9162,1700l9199,1694m9221,1690l9243,1687,9258,1684m9280,1681l9317,1675m9339,1671l9376,1665m9399,1662l9435,1656m9456,1652l9493,1646m9516,1643l9553,1637m9575,1633l9612,1627m9634,1624l9653,1621,9671,1618m9693,1614l9730,1608m9753,1605l9789,1599m9812,1595l9849,1590m9871,1586l9909,1580m9931,1577l9968,1571m9991,1567l10028,1561m10050,1558l10063,1556,10087,1552m10109,1548l10146,1542m10168,1539l10205,1533m10228,1529l10264,1523m10287,1519l10324,1513m10346,1510l10383,1504m10405,1500l10443,1494m10466,1491l10472,1490,10503,1485m10525,1481l10562,1475m10584,1472l10621,1466m10643,1462l10678,1457e" filled="false" stroked="true" strokeweight=".465254pt" strokecolor="#ff0000">
              <v:path arrowok="t"/>
              <v:stroke dashstyle="solid"/>
            </v:shape>
            <v:shape style="position:absolute;left:6722;top:1289;width:3956;height:2264" coordorigin="6722,1290" coordsize="3956,2264" path="m6722,1657l6780,1657m6722,1290l6780,1290m6991,3508l6991,3553m6991,3508l6991,3553m7196,3508l7196,3553m7400,3508l7400,3553m7400,3508l7400,3553m7605,3508l7605,3553m7811,3508l7811,3553m7811,3508l7811,3553m8014,3508l8014,3553m8220,3508l8220,3553m8220,3508l8220,3553m8425,3508l8425,3553m8629,3508l8629,3553m8629,3508l8629,3553m8834,3508l8834,3553m9038,3508l9038,3553m9038,3508l9038,3553m9243,3508l9243,3553m9449,3508l9449,3553m9449,3508l9449,3553m9653,3508l9653,3553m9858,3508l9858,3553m9858,3508l9858,3553m10063,3508l10063,3553m10267,3508l10267,3553m10267,3508l10267,3553m10472,3508l10472,3553m10678,3508l10678,3553m10678,3508l10678,3553e" filled="false" stroked="true" strokeweight=".400323pt" strokecolor="#000000">
              <v:path arrowok="t"/>
              <v:stroke dashstyle="solid"/>
            </v:shape>
            <v:rect style="position:absolute;left:6780;top:1284;width:3906;height:2219" filled="false" stroked="true" strokeweight=".532396pt" strokecolor="#000000">
              <v:stroke dashstyle="solid"/>
            </v:rect>
            <w10:wrap type="none"/>
          </v:group>
        </w:pict>
      </w:r>
      <w:r>
        <w:rPr>
          <w:b/>
          <w:sz w:val="24"/>
        </w:rPr>
        <w:t>B2: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Recursive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Estimates</w:t>
      </w: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8"/>
        <w:gridCol w:w="4657"/>
      </w:tblGrid>
      <w:tr>
        <w:trPr>
          <w:trHeight w:val="3395" w:hRule="atLeast"/>
        </w:trPr>
        <w:tc>
          <w:tcPr>
            <w:tcW w:w="4248" w:type="dxa"/>
          </w:tcPr>
          <w:p>
            <w:pPr>
              <w:pStyle w:val="TableParagraph"/>
              <w:spacing w:line="266" w:lineRule="exact"/>
              <w:ind w:left="1068"/>
              <w:rPr>
                <w:b/>
                <w:sz w:val="24"/>
              </w:rPr>
            </w:pPr>
            <w:r>
              <w:rPr>
                <w:b/>
                <w:sz w:val="24"/>
              </w:rPr>
              <w:t>Recursive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Residuals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45"/>
              <w:rPr>
                <w:rFonts w:ascii="Arial MT"/>
                <w:sz w:val="12"/>
              </w:rPr>
            </w:pPr>
            <w:r>
              <w:rPr>
                <w:rFonts w:ascii="Arial MT"/>
                <w:w w:val="124"/>
                <w:sz w:val="12"/>
              </w:rPr>
              <w:t>2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245"/>
              <w:rPr>
                <w:rFonts w:ascii="Arial MT"/>
                <w:sz w:val="12"/>
              </w:rPr>
            </w:pPr>
            <w:r>
              <w:rPr>
                <w:rFonts w:ascii="Arial MT"/>
                <w:w w:val="124"/>
                <w:sz w:val="12"/>
              </w:rPr>
              <w:t>1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245"/>
              <w:rPr>
                <w:rFonts w:ascii="Arial MT"/>
                <w:sz w:val="12"/>
              </w:rPr>
            </w:pPr>
            <w:r>
              <w:rPr>
                <w:rFonts w:ascii="Arial MT"/>
                <w:w w:val="124"/>
                <w:sz w:val="12"/>
              </w:rPr>
              <w:t>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200"/>
              <w:rPr>
                <w:rFonts w:ascii="Arial MT"/>
                <w:sz w:val="12"/>
              </w:rPr>
            </w:pPr>
            <w:r>
              <w:rPr>
                <w:rFonts w:ascii="Arial MT"/>
                <w:w w:val="125"/>
                <w:sz w:val="12"/>
              </w:rPr>
              <w:t>-1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200"/>
              <w:rPr>
                <w:rFonts w:ascii="Arial MT"/>
                <w:sz w:val="12"/>
              </w:rPr>
            </w:pPr>
            <w:r>
              <w:rPr>
                <w:rFonts w:ascii="Arial MT"/>
                <w:w w:val="125"/>
                <w:sz w:val="12"/>
              </w:rPr>
              <w:t>-2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200"/>
              <w:rPr>
                <w:rFonts w:ascii="Arial MT"/>
                <w:sz w:val="12"/>
              </w:rPr>
            </w:pPr>
            <w:r>
              <w:rPr>
                <w:rFonts w:ascii="Arial MT"/>
                <w:w w:val="125"/>
                <w:sz w:val="12"/>
              </w:rPr>
              <w:t>-3</w:t>
            </w:r>
          </w:p>
          <w:p>
            <w:pPr>
              <w:pStyle w:val="TableParagraph"/>
              <w:tabs>
                <w:tab w:pos="902" w:val="left" w:leader="none"/>
                <w:tab w:pos="1282" w:val="left" w:leader="none"/>
                <w:tab w:pos="1660" w:val="left" w:leader="none"/>
                <w:tab w:pos="2038" w:val="left" w:leader="none"/>
                <w:tab w:pos="2416" w:val="left" w:leader="none"/>
                <w:tab w:pos="2796" w:val="left" w:leader="none"/>
                <w:tab w:pos="3174" w:val="left" w:leader="none"/>
                <w:tab w:pos="3552" w:val="left" w:leader="none"/>
                <w:tab w:pos="3931" w:val="left" w:leader="none"/>
              </w:tabs>
              <w:spacing w:before="9"/>
              <w:ind w:left="524"/>
              <w:rPr>
                <w:rFonts w:ascii="Arial MT"/>
                <w:sz w:val="12"/>
              </w:rPr>
            </w:pPr>
            <w:r>
              <w:rPr>
                <w:rFonts w:ascii="Arial MT"/>
                <w:w w:val="125"/>
                <w:sz w:val="12"/>
              </w:rPr>
              <w:t>92</w:t>
              <w:tab/>
              <w:t>94</w:t>
              <w:tab/>
              <w:t>96</w:t>
              <w:tab/>
              <w:t>98</w:t>
              <w:tab/>
              <w:t>00</w:t>
              <w:tab/>
              <w:t>02</w:t>
              <w:tab/>
              <w:t>04</w:t>
              <w:tab/>
              <w:t>06</w:t>
              <w:tab/>
              <w:t>08</w:t>
              <w:tab/>
              <w:t>10</w:t>
            </w: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tabs>
                <w:tab w:pos="3017" w:val="left" w:leader="none"/>
              </w:tabs>
              <w:spacing w:before="1"/>
              <w:ind w:left="1219"/>
              <w:rPr>
                <w:rFonts w:ascii="Arial MT" w:hAnsi="Arial MT"/>
                <w:sz w:val="12"/>
              </w:rPr>
            </w:pPr>
            <w:r>
              <w:rPr>
                <w:rFonts w:ascii="Arial MT" w:hAnsi="Arial MT"/>
                <w:w w:val="120"/>
                <w:sz w:val="12"/>
              </w:rPr>
              <w:t>Recursive</w:t>
            </w:r>
            <w:r>
              <w:rPr>
                <w:rFonts w:ascii="Arial MT" w:hAnsi="Arial MT"/>
                <w:spacing w:val="-9"/>
                <w:w w:val="120"/>
                <w:sz w:val="12"/>
              </w:rPr>
              <w:t> </w:t>
            </w:r>
            <w:r>
              <w:rPr>
                <w:rFonts w:ascii="Arial MT" w:hAnsi="Arial MT"/>
                <w:w w:val="120"/>
                <w:sz w:val="12"/>
              </w:rPr>
              <w:t>Residuals</w:t>
              <w:tab/>
            </w:r>
            <w:r>
              <w:rPr>
                <w:rFonts w:ascii="Arial MT" w:hAnsi="Arial MT"/>
                <w:spacing w:val="-1"/>
                <w:w w:val="125"/>
                <w:sz w:val="12"/>
              </w:rPr>
              <w:t>±</w:t>
            </w:r>
            <w:r>
              <w:rPr>
                <w:rFonts w:ascii="Arial MT" w:hAnsi="Arial MT"/>
                <w:spacing w:val="-11"/>
                <w:w w:val="125"/>
                <w:sz w:val="12"/>
              </w:rPr>
              <w:t> </w:t>
            </w:r>
            <w:r>
              <w:rPr>
                <w:rFonts w:ascii="Arial MT" w:hAnsi="Arial MT"/>
                <w:w w:val="125"/>
                <w:sz w:val="12"/>
              </w:rPr>
              <w:t>2</w:t>
            </w:r>
            <w:r>
              <w:rPr>
                <w:rFonts w:ascii="Arial MT" w:hAnsi="Arial MT"/>
                <w:spacing w:val="-6"/>
                <w:w w:val="125"/>
                <w:sz w:val="12"/>
              </w:rPr>
              <w:t> </w:t>
            </w:r>
            <w:r>
              <w:rPr>
                <w:rFonts w:ascii="Arial MT" w:hAnsi="Arial MT"/>
                <w:w w:val="125"/>
                <w:sz w:val="12"/>
              </w:rPr>
              <w:t>S.E.</w:t>
            </w:r>
          </w:p>
        </w:tc>
        <w:tc>
          <w:tcPr>
            <w:tcW w:w="4657" w:type="dxa"/>
          </w:tcPr>
          <w:p>
            <w:pPr>
              <w:pStyle w:val="TableParagraph"/>
              <w:spacing w:line="266" w:lineRule="exact"/>
              <w:ind w:left="1584" w:right="1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CUSUM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00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15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00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8"/>
              <w:rPr>
                <w:rFonts w:ascii="Arial MT"/>
                <w:sz w:val="12"/>
              </w:rPr>
            </w:pPr>
            <w:r>
              <w:rPr>
                <w:rFonts w:ascii="Arial MT"/>
                <w:w w:val="134"/>
                <w:sz w:val="12"/>
              </w:rPr>
              <w:t>5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8"/>
              <w:rPr>
                <w:rFonts w:ascii="Arial MT"/>
                <w:sz w:val="12"/>
              </w:rPr>
            </w:pPr>
            <w:r>
              <w:rPr>
                <w:rFonts w:ascii="Arial MT"/>
                <w:w w:val="134"/>
                <w:sz w:val="12"/>
              </w:rPr>
              <w:t>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39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-5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50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-10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50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-15</w:t>
            </w:r>
          </w:p>
          <w:p>
            <w:pPr>
              <w:pStyle w:val="TableParagraph"/>
              <w:tabs>
                <w:tab w:pos="1000" w:val="left" w:leader="none"/>
                <w:tab w:pos="1410" w:val="left" w:leader="none"/>
                <w:tab w:pos="1819" w:val="left" w:leader="none"/>
                <w:tab w:pos="2229" w:val="left" w:leader="none"/>
                <w:tab w:pos="2638" w:val="left" w:leader="none"/>
                <w:tab w:pos="3048" w:val="left" w:leader="none"/>
                <w:tab w:pos="3458" w:val="left" w:leader="none"/>
                <w:tab w:pos="3867" w:val="left" w:leader="none"/>
                <w:tab w:pos="4277" w:val="left" w:leader="none"/>
              </w:tabs>
              <w:spacing w:before="9"/>
              <w:ind w:left="591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92</w:t>
              <w:tab/>
              <w:t>94</w:t>
              <w:tab/>
              <w:t>96</w:t>
              <w:tab/>
              <w:t>98</w:t>
              <w:tab/>
              <w:t>00</w:t>
              <w:tab/>
              <w:t>02</w:t>
              <w:tab/>
              <w:t>04</w:t>
              <w:tab/>
              <w:t>06</w:t>
              <w:tab/>
              <w:t>08</w:t>
              <w:tab/>
              <w:t>10</w:t>
            </w: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tabs>
                <w:tab w:pos="2562" w:val="left" w:leader="none"/>
              </w:tabs>
              <w:spacing w:before="1"/>
              <w:ind w:left="1495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CUSUM</w:t>
              <w:tab/>
            </w:r>
            <w:r>
              <w:rPr>
                <w:rFonts w:ascii="Arial MT"/>
                <w:spacing w:val="-3"/>
                <w:w w:val="135"/>
                <w:sz w:val="12"/>
              </w:rPr>
              <w:t>5%</w:t>
            </w:r>
            <w:r>
              <w:rPr>
                <w:rFonts w:ascii="Arial MT"/>
                <w:spacing w:val="-12"/>
                <w:w w:val="135"/>
                <w:sz w:val="12"/>
              </w:rPr>
              <w:t> </w:t>
            </w:r>
            <w:r>
              <w:rPr>
                <w:rFonts w:ascii="Arial MT"/>
                <w:spacing w:val="-2"/>
                <w:w w:val="135"/>
                <w:sz w:val="12"/>
              </w:rPr>
              <w:t>Significance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Heading2"/>
        <w:spacing w:before="0"/>
        <w:ind w:left="1531"/>
      </w:pPr>
      <w:r>
        <w:rPr/>
        <w:pict>
          <v:line style="position:absolute;mso-position-horizontal-relative:page;mso-position-vertical-relative:paragraph;z-index:-25276928" from="121.083618pt,-68.762726pt" to="123.750351pt,-68.762726pt" stroked="true" strokeweight=".34436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416" from="121.083618pt,-90.824638pt" to="123.750351pt,-90.824638pt" stroked="true" strokeweight=".344366pt" strokecolor="#000000">
            <v:stroke dashstyle="solid"/>
            <w10:wrap type="none"/>
          </v:line>
        </w:pict>
      </w:r>
      <w:r>
        <w:rPr/>
        <w:pict>
          <v:group style="position:absolute;margin-left:144.615234pt;margin-top:-52.899883pt;width:138.3pt;height:10pt;mso-position-horizontal-relative:page;mso-position-vertical-relative:paragraph;z-index:-25273344" coordorigin="2892,-1058" coordsize="2766,200">
            <v:rect style="position:absolute;left:2895;top:-1055;width:2760;height:194" filled="false" stroked="true" strokeweight=".344743pt" strokecolor="#000000">
              <v:stroke dashstyle="solid"/>
            </v:rect>
            <v:line style="position:absolute" from="2963,-952" to="3224,-952" stroked="true" strokeweight=".400221pt" strokecolor="#0000ff">
              <v:stroke dashstyle="solid"/>
            </v:line>
            <v:shape style="position:absolute;left:4761;top:-952;width:259;height:2" coordorigin="4761,-952" coordsize="259,0" path="m4761,-952l4796,-952m4817,-952l4852,-952m4873,-952l4908,-952m4929,-952l4964,-952m4985,-952l5020,-952e" filled="false" stroked="true" strokeweight=".445139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9.232758pt;margin-top:-52.900105pt;width:134.4pt;height:10pt;mso-position-horizontal-relative:page;mso-position-vertical-relative:paragraph;z-index:-25271808" coordorigin="7385,-1058" coordsize="2688,200">
            <v:rect style="position:absolute;left:7388;top:-1055;width:2681;height:194" filled="false" stroked="true" strokeweight=".344944pt" strokecolor="#000000">
              <v:stroke dashstyle="solid"/>
            </v:rect>
            <v:line style="position:absolute" from="7461,-952" to="7744,-952" stroked="true" strokeweight=".400221pt" strokecolor="#0000ff">
              <v:stroke dashstyle="solid"/>
            </v:line>
            <v:shape style="position:absolute;left:8527;top:-952;width:281;height:2" coordorigin="8528,-952" coordsize="281,0" path="m8528,-952l8566,-952m8588,-952l8626,-952m8649,-952l8687,-952m8709,-952l8747,-952m8770,-952l8808,-952e" filled="false" stroked="true" strokeweight=".465254pt" strokecolor="#ff0000">
              <v:path arrowok="t"/>
              <v:stroke dashstyle="solid"/>
            </v:shape>
            <w10:wrap type="none"/>
          </v:group>
        </w:pict>
      </w:r>
      <w:r>
        <w:rPr/>
        <w:t>Forecasting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Account</w:t>
      </w:r>
      <w:r>
        <w:rPr>
          <w:spacing w:val="-2"/>
        </w:rPr>
        <w:t> </w:t>
      </w:r>
      <w:r>
        <w:rPr/>
        <w:t>Balance</w:t>
      </w:r>
    </w:p>
    <w:p>
      <w:pPr>
        <w:pStyle w:val="BodyText"/>
        <w:spacing w:before="6"/>
        <w:rPr>
          <w:b/>
          <w:sz w:val="17"/>
        </w:rPr>
      </w:pPr>
      <w:r>
        <w:rPr/>
        <w:pict>
          <v:group style="position:absolute;margin-left:106.610001pt;margin-top:12.02417pt;width:442.35pt;height:180.4pt;mso-position-horizontal-relative:page;mso-position-vertical-relative:paragraph;z-index:-15575552;mso-wrap-distance-left:0;mso-wrap-distance-right:0" coordorigin="2132,240" coordsize="8847,3608">
            <v:rect style="position:absolute;left:2132;top:240;width:8847;height:3608" filled="true" fillcolor="#ffffff" stroked="false">
              <v:fill type="solid"/>
            </v:rect>
            <v:shape style="position:absolute;left:2581;top:496;width:4494;height:2584" coordorigin="2581,497" coordsize="4494,2584" path="m2581,3016l2646,3016m2581,2701l2646,2701m2581,2386l2646,2386m2581,2071l2646,2071m2581,1756l2646,1756m2581,1441l2646,1441m2581,1126l2646,1126m2581,811l2646,811m2581,497l2646,497m2653,3028l2653,3054m2791,3028l2791,3054m2929,3028l2929,3054m3067,3028l3067,3054m3206,3028l3206,3054m3344,3028l3344,3054m3483,3028l3483,3054m3619,3028l3619,3054m3758,3028l3758,3054m3896,3028l3896,3054m4035,3028l4035,3054m4173,3028l4173,3054m4311,3028l4311,3054m4448,3028l4448,3054m4587,3028l4587,3054m4725,3028l4725,3054m4863,3028l4863,3054m5002,3028l5002,3054m5140,3028l5140,3054m5279,3028l5279,3054m5415,3028l5415,3054m5554,3028l5554,3054m5693,3028l5693,3054m5831,3028l5831,3054m5969,3028l5969,3054m6108,3028l6108,3054m6245,3028l6245,3054m6383,3028l6383,3054m6521,3028l6521,3054m6660,3028l6660,3054m6798,3028l6798,3054m6937,3028l6937,3054m7075,3028l7075,3054m2929,3028l2929,3080m3619,3028l3619,3080m4311,3028l4311,3080m5002,3028l5002,3080m5693,3028l5693,3080m6383,3028l6383,3080m7075,3028l7075,3080e" filled="false" stroked="true" strokeweight=".405092pt" strokecolor="#000000">
              <v:path arrowok="t"/>
              <v:stroke dashstyle="solid"/>
            </v:shape>
            <v:shape style="position:absolute;left:2653;top:1239;width:4422;height:1177" coordorigin="2653,1239" coordsize="4422,1177" path="m2653,1848l2791,1703,2929,1779,3067,1675,3206,1880,3344,1568,3483,1812,3619,1691,3758,1864,3896,1696,4035,1822,4173,1700,4311,1730,4448,1721,4587,1777,4725,1826,4863,1686,5002,1757,5140,1730,5279,1703,5415,1633,5554,1749,5693,1585,5831,1803,5969,1806,6108,1860,6245,1812,6383,1924,6521,1789,6660,1924,6798,1954,6937,2416,7075,1239e" filled="false" stroked="true" strokeweight=".412512pt" strokecolor="#0000ff">
              <v:path arrowok="t"/>
              <v:stroke dashstyle="solid"/>
            </v:shape>
            <v:shape style="position:absolute;left:2653;top:1453;width:154;height:144" coordorigin="2653,1453" coordsize="154,144" path="m2653,1597l2678,1570m2693,1555l2720,1528m2734,1513l2760,1486m2774,1471l2791,1455,2807,1453e" filled="false" stroked="true" strokeweight=".468385pt" strokecolor="#ff0000">
              <v:path arrowok="t"/>
              <v:stroke dashstyle="solid"/>
            </v:shape>
            <v:line style="position:absolute" from="2828,1448" to="2879,1448" stroked="true" strokeweight=".647132pt" strokecolor="#ff0000">
              <v:stroke dashstyle="solid"/>
            </v:line>
            <v:shape style="position:absolute;left:2899;top:1158;width:1418;height:323" coordorigin="2900,1158" coordsize="1418,323" path="m2900,1443l2929,1440,2938,1432m2954,1418l2981,1394m2998,1380l3026,1355m3043,1341l3067,1321,3070,1326m3084,1341l3107,1369m3121,1384l3144,1412m3158,1427l3181,1455m3195,1471l3206,1481,3213,1462m3221,1444l3233,1412m3241,1395l3255,1363m3263,1346l3275,1314m3282,1297l3297,1265m3304,1247l3316,1216m3324,1198l3338,1167m3347,1158l3366,1188m3376,1204l3397,1233m3407,1250l3427,1279m3438,1295l3458,1325m3469,1341l3483,1360,3492,1350m3507,1336l3535,1312m3550,1298l3578,1273m3593,1259l3619,1237,3621,1239m3635,1256l3658,1284m3672,1300l3695,1328m3709,1343l3732,1371m3746,1388l3758,1401,3768,1385m3781,1369l3804,1341m3816,1325l3838,1297m3850,1280l3873,1252m3885,1236l3896,1224,3912,1238m3928,1252l3956,1277m3973,1291l4001,1315m4018,1329l4035,1342,4047,1330m4064,1316l4091,1292m4108,1278l4136,1253m4152,1239l4173,1223,4185,1225m4210,1230l4251,1239m4276,1245l4311,1253,4317,1252e" filled="false" stroked="true" strokeweight=".468385pt" strokecolor="#ff0000">
              <v:path arrowok="t"/>
              <v:stroke dashstyle="solid"/>
            </v:shape>
            <v:line style="position:absolute" from="4338,1250" to="4389,1250" stroked="true" strokeweight=".456581pt" strokecolor="#ff0000">
              <v:stroke dashstyle="solid"/>
            </v:line>
            <v:shape style="position:absolute;left:4409;top:1219;width:643;height:137" coordorigin="4410,1219" coordsize="643,137" path="m4410,1249l4448,1247,4453,1249m4474,1257l4513,1272m4534,1280l4573,1294m4595,1304l4633,1319m4654,1327l4693,1342m4714,1350l4725,1356,4744,1337m4759,1322l4785,1295m4800,1280l4827,1254m4842,1239l4863,1219,4871,1223m4893,1232l4930,1250m4951,1260l4988,1277m5010,1284l5053,1278e" filled="false" stroked="true" strokeweight=".468385pt" strokecolor="#ff0000">
              <v:path arrowok="t"/>
              <v:stroke dashstyle="solid"/>
            </v:shape>
            <v:line style="position:absolute" from="5073,1273" to="5124,1273" stroked="true" strokeweight=".638201pt" strokecolor="#ff0000">
              <v:stroke dashstyle="solid"/>
            </v:line>
            <v:shape style="position:absolute;left:5145;top:1119;width:1787;height:785" coordorigin="5145,1120" coordsize="1787,785" path="m5145,1267l5188,1259m5212,1256l5254,1247m5279,1244l5316,1226m5336,1216l5373,1199m5392,1189l5415,1178,5426,1188m5443,1202l5473,1226m5489,1240l5519,1264m5536,1278l5554,1292,5563,1280m5576,1264l5599,1236m5611,1219l5634,1191m5646,1175l5670,1147m5682,1130l5693,1120,5703,1139m5712,1156l5731,1185m5740,1203l5759,1232m5768,1250l5786,1279m5795,1297l5814,1326m5823,1343l5831,1353,5858,1346m5881,1340l5923,1329m5948,1323l5969,1319,5986,1329m6005,1341l6037,1363m6055,1375l6088,1396m6106,1409l6108,1411,6140,1394m6160,1383l6197,1364m6217,1354l6245,1340,6251,1347m6266,1361l6292,1387m6308,1402l6334,1427m6349,1441l6375,1467m6391,1464l6415,1437m6429,1421l6455,1395m6469,1380l6494,1353m6508,1337l6521,1325,6535,1337m6551,1353l6578,1377m6594,1391l6621,1417m6637,1431l6660,1451,6667,1453m6690,1460l6730,1474m6753,1481l6794,1495m6803,1512l6814,1544m6820,1563l6830,1596m6837,1615l6847,1647m6854,1666l6864,1699m6870,1717l6881,1750m6887,1769l6898,1802m6904,1820l6915,1853m6921,1872l6932,1905e" filled="false" stroked="true" strokeweight=".468385pt" strokecolor="#ff0000">
              <v:path arrowok="t"/>
              <v:stroke dashstyle="solid"/>
            </v:shape>
            <v:line style="position:absolute" from="6938,1873" to="6938,1917" stroked="true" strokeweight=".693439pt" strokecolor="#ff0000">
              <v:stroke dashstyle="solid"/>
            </v:line>
            <v:line style="position:absolute" from="6944,1822" to="6944,1865" stroked="true" strokeweight=".687722pt" strokecolor="#ff0000">
              <v:stroke dashstyle="solid"/>
            </v:line>
            <v:line style="position:absolute" from="6951,1771" to="6951,1814" stroked="true" strokeweight=".676292pt" strokecolor="#ff0000">
              <v:stroke dashstyle="solid"/>
            </v:line>
            <v:line style="position:absolute" from="6957,1719" to="6957,1763" stroked="true" strokeweight=".693435pt" strokecolor="#ff0000">
              <v:stroke dashstyle="solid"/>
            </v:line>
            <v:shape style="position:absolute;left:6959;top:1518;width:24;height:188" coordorigin="6960,1519" coordsize="24,188" path="m6960,1706l6964,1673m6966,1654l6970,1622m6972,1603l6977,1570m6978,1551l6983,1519e" filled="false" stroked="true" strokeweight=".468385pt" strokecolor="#ff0000">
              <v:path arrowok="t"/>
              <v:stroke dashstyle="solid"/>
            </v:shape>
            <v:line style="position:absolute" from="6986,1462" to="6986,1505" stroked="true" strokeweight=".687715pt" strokecolor="#ff0000">
              <v:stroke dashstyle="solid"/>
            </v:line>
            <v:line style="position:absolute" from="6992,1410" to="6992,1454" stroked="true" strokeweight=".676283pt" strokecolor="#ff0000">
              <v:stroke dashstyle="solid"/>
            </v:line>
            <v:line style="position:absolute" from="6998,1359" to="6998,1402" stroked="true" strokeweight=".687725pt" strokecolor="#ff0000">
              <v:stroke dashstyle="solid"/>
            </v:line>
            <v:line style="position:absolute" from="7004,1307" to="7004,1351" stroked="true" strokeweight=".676289pt" strokecolor="#ff0000">
              <v:stroke dashstyle="solid"/>
            </v:line>
            <v:shape style="position:absolute;left:7007;top:1106;width:24;height:188" coordorigin="7008,1107" coordsize="24,188" path="m7008,1294l7012,1261m7013,1243l7018,1210m7020,1191l7024,1158m7026,1140l7031,1107e" filled="false" stroked="true" strokeweight=".468385pt" strokecolor="#ff0000">
              <v:path arrowok="t"/>
              <v:stroke dashstyle="solid"/>
            </v:shape>
            <v:line style="position:absolute" from="7034,1050" to="7034,1094" stroked="true" strokeweight=".693435pt" strokecolor="#ff0000">
              <v:stroke dashstyle="solid"/>
            </v:line>
            <v:line style="position:absolute" from="7040,999" to="7040,1042" stroked="true" strokeweight=".687715pt" strokecolor="#ff0000">
              <v:stroke dashstyle="solid"/>
            </v:line>
            <v:line style="position:absolute" from="7046,947" to="7046,991" stroked="true" strokeweight=".676283pt" strokecolor="#ff0000">
              <v:stroke dashstyle="solid"/>
            </v:line>
            <v:line style="position:absolute" from="7052,896" to="7052,939" stroked="true" strokeweight=".693428pt" strokecolor="#ff0000">
              <v:stroke dashstyle="solid"/>
            </v:line>
            <v:shape style="position:absolute;left:2653;top:724;width:4422;height:1603" coordorigin="2653,725" coordsize="4422,1603" path="m7055,882l7060,850m7061,831l7066,798m7067,780l7072,747m7073,728l7075,725m2653,2101l2678,2073m2692,2058l2717,2031m2730,2016l2755,1989m2769,1973l2791,1951,2793,1956m2807,1972l2830,2000m2844,2017l2867,2045m2880,2061l2903,2089m2917,2106l2929,2119,2946,2107m2964,2095l2998,2074m3017,2062l3049,2041m3067,2030l3083,2060m3093,2078l3110,2108m3119,2126l3136,2156m3146,2174l3163,2204m3173,2221l3190,2252m3199,2269l3206,2278,3215,2255m3224,2238l3238,2206m3246,2189l3261,2158m3269,2141l3282,2109m3292,2092l3306,2060m3313,2042l3329,2012m3336,1995l3344,1980,3352,1997m3360,2014l3375,2045m3383,2062l3398,2093m3407,2110l3422,2142m3430,2160l3446,2190m3453,2207l3469,2238m3478,2255l3483,2264,3502,2245m3518,2231l3546,2206m3562,2192l3590,2168m3605,2154l3619,2143,3630,2160m3642,2176l3664,2204m3676,2220l3698,2248m3710,2265l3732,2294m3744,2310l3758,2327,3767,2315m3781,2300l3805,2272m3819,2255l3844,2227m3858,2211l3882,2183m3896,2170l3922,2196m3938,2210l3964,2236m3979,2251l4005,2276m4021,2290l4035,2302,4048,2289m4064,2275l4091,2250m4107,2236l4135,2211m4150,2197l4173,2177,4181,2178m4205,2184l4247,2192m4270,2198l4311,2206e" filled="false" stroked="true" strokeweight=".468385pt" strokecolor="#ff0000">
              <v:path arrowok="t"/>
              <v:stroke dashstyle="solid"/>
            </v:shape>
            <v:line style="position:absolute" from="4330,2203" to="4382,2203" stroked="true" strokeweight=".580279pt" strokecolor="#ff0000">
              <v:stroke dashstyle="solid"/>
            </v:line>
            <v:line style="position:absolute" from="4398,2197" to="4449,2197" stroked="true" strokeweight=".580279pt" strokecolor="#ff0000">
              <v:stroke dashstyle="solid"/>
            </v:line>
            <v:shape style="position:absolute;left:4468;top:2050;width:1528;height:246" coordorigin="4468,2051" coordsize="1528,246" path="m4468,2203l4507,2219m4528,2227l4567,2244m4588,2253l4628,2265m4651,2273l4691,2285m4714,2292l4725,2296,4744,2276m4758,2261l4784,2234m4798,2219l4823,2192m4837,2177l4863,2151,4863,2151m4884,2162l4917,2182m4937,2192l4971,2212m4991,2224l5002,2231,5028,2223m5051,2217l5091,2205m5114,2199l5140,2192,5156,2189m5179,2183l5220,2175m5243,2169l5279,2162,5283,2158m5303,2148l5340,2129m5360,2119l5396,2100m5415,2089l5443,2114m5460,2128l5489,2153m5506,2167l5536,2191m5553,2205l5554,2205,5577,2178m5591,2163l5616,2135m5629,2120l5654,2092m5668,2076l5693,2051,5693,2052m5703,2068l5723,2097m5734,2114l5754,2143m5766,2160l5786,2189m5797,2205l5817,2234m5828,2251l5831,2253,5868,2264m5891,2271l5931,2282m5954,2288l5969,2294,5996,2296e" filled="false" stroked="true" strokeweight=".468385pt" strokecolor="#ff0000">
              <v:path arrowok="t"/>
              <v:stroke dashstyle="solid"/>
            </v:shape>
            <v:line style="position:absolute" from="6016,2301" to="6067,2301" stroked="true" strokeweight=".647092pt" strokecolor="#ff0000">
              <v:stroke dashstyle="solid"/>
            </v:line>
            <v:shape style="position:absolute;left:6087;top:2251;width:566;height:142" coordorigin="6088,2252" coordsize="566,142" path="m6088,2306l6108,2308,6129,2303m6154,2300l6197,2293m6222,2288l6245,2285,6260,2294m6278,2307l6311,2328m6329,2339l6362,2361m6380,2373l6383,2377,6406,2355m6421,2341l6449,2316m6464,2302l6492,2276m6508,2262l6521,2252,6535,2267m6549,2282l6575,2309m6589,2324l6614,2351m6629,2366l6654,2393e" filled="false" stroked="true" strokeweight=".468385pt" strokecolor="#ff0000">
              <v:path arrowok="t"/>
              <v:stroke dashstyle="solid"/>
            </v:shape>
            <v:line style="position:absolute" from="6671,2401" to="6722,2401" stroked="true" strokeweight=".584714pt" strokecolor="#ff0000">
              <v:stroke dashstyle="solid"/>
            </v:line>
            <v:line style="position:absolute" from="6739,2406" to="6790,2406" stroked="true" strokeweight=".647092pt" strokecolor="#ff0000">
              <v:stroke dashstyle="solid"/>
            </v:line>
            <v:shape style="position:absolute;left:6799;top:1753;width:276;height:1159" coordorigin="6800,1754" coordsize="276,1159" path="m6800,2419l6809,2452m6814,2471l6823,2503m6829,2522l6837,2555m6843,2573l6852,2606m6857,2625l6866,2658m6870,2676l6880,2709m6884,2728l6894,2761m6898,2779l6907,2812m6914,2831l6921,2863m6927,2882l6937,2912,6937,2911m6938,2893l6943,2860m6944,2841l6949,2809m6950,2790l6955,2757m6957,2738l6961,2706m6963,2687l6968,2654m6969,2635l6973,2603m6975,2584l6980,2551m6981,2532l6986,2500m6987,2481l6992,2448m6993,2430l6998,2397m7000,2378l7004,2345m7006,2327l7010,2294m7012,2275l7017,2243m7018,2224l7023,2191m7024,2172l7029,2140m7031,2121l7035,2088m7037,2069l7041,2037m7043,2018l7047,1985m7049,1967l7054,1934m7055,1915l7060,1882m7061,1864l7066,1831m7067,1812l7072,1779m7073,1761l7075,1754e" filled="false" stroked="true" strokeweight=".468385pt" strokecolor="#ff0000">
              <v:path arrowok="t"/>
              <v:stroke dashstyle="solid"/>
            </v:shape>
            <v:rect style="position:absolute;left:2645;top:490;width:4439;height:2534" filled="false" stroked="true" strokeweight=".624021pt" strokecolor="#000000">
              <v:stroke dashstyle="solid"/>
            </v:rect>
            <v:line style="position:absolute" from="4256,3502" to="4577,3502" stroked="true" strokeweight=".404pt" strokecolor="#0000ff">
              <v:stroke dashstyle="solid"/>
            </v:line>
            <v:shape style="position:absolute;left:4174;top:3382;width:1369;height:225" type="#_x0000_t202" filled="false" stroked="true" strokeweight=".354388pt" strokecolor="#000000">
              <v:textbox inset="0,0,0,0">
                <w:txbxContent>
                  <w:p>
                    <w:pPr>
                      <w:spacing w:before="30"/>
                      <w:ind w:left="47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DLCABTF</w:t>
                    </w:r>
                  </w:p>
                </w:txbxContent>
              </v:textbox>
              <v:stroke dashstyle="solid"/>
              <w10:wrap type="none"/>
            </v:shape>
            <v:shape style="position:absolute;left:7353;top:497;width:3430;height:2325" type="#_x0000_t202" filled="false" stroked="true" strokeweight=".398876pt" strokecolor="#000000">
              <v:textbox inset="0,0,0,0">
                <w:txbxContent>
                  <w:p>
                    <w:pPr>
                      <w:spacing w:line="256" w:lineRule="auto" w:before="42"/>
                      <w:ind w:left="88" w:right="115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Forecast:</w:t>
                    </w:r>
                    <w:r>
                      <w:rPr>
                        <w:rFonts w:ascii="Arial MT"/>
                        <w:spacing w:val="9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DLCABTF</w:t>
                    </w:r>
                    <w:r>
                      <w:rPr>
                        <w:rFonts w:ascii="Arial MT"/>
                        <w:spacing w:val="-47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Actual:</w:t>
                    </w:r>
                    <w:r>
                      <w:rPr>
                        <w:rFonts w:ascii="Arial MT"/>
                        <w:spacing w:val="-8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DLCABT</w:t>
                    </w:r>
                  </w:p>
                  <w:p>
                    <w:pPr>
                      <w:spacing w:before="1"/>
                      <w:ind w:left="8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Forecast sample: 1975</w:t>
                    </w:r>
                    <w:r>
                      <w:rPr>
                        <w:rFonts w:ascii="Arial MT"/>
                        <w:spacing w:val="8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2012</w:t>
                    </w:r>
                  </w:p>
                  <w:p>
                    <w:pPr>
                      <w:spacing w:before="12"/>
                      <w:ind w:left="8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Adjusted</w:t>
                    </w:r>
                    <w:r>
                      <w:rPr>
                        <w:rFonts w:ascii="Arial MT"/>
                        <w:spacing w:val="2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sample:</w:t>
                    </w:r>
                    <w:r>
                      <w:rPr>
                        <w:rFonts w:ascii="Arial MT"/>
                        <w:spacing w:val="-6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1978</w:t>
                    </w:r>
                    <w:r>
                      <w:rPr>
                        <w:rFonts w:ascii="Arial MT"/>
                        <w:spacing w:val="2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2010</w:t>
                    </w:r>
                  </w:p>
                  <w:p>
                    <w:pPr>
                      <w:spacing w:before="12"/>
                      <w:ind w:left="8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2"/>
                        <w:w w:val="130"/>
                        <w:sz w:val="14"/>
                      </w:rPr>
                      <w:t>Included</w:t>
                    </w:r>
                    <w:r>
                      <w:rPr>
                        <w:rFonts w:ascii="Arial MT"/>
                        <w:spacing w:val="-5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30"/>
                        <w:sz w:val="14"/>
                      </w:rPr>
                      <w:t>observations:</w:t>
                    </w:r>
                    <w:r>
                      <w:rPr>
                        <w:rFonts w:ascii="Arial MT"/>
                        <w:spacing w:val="-11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30"/>
                        <w:sz w:val="14"/>
                      </w:rPr>
                      <w:t>33</w:t>
                    </w:r>
                  </w:p>
                  <w:p>
                    <w:pPr>
                      <w:tabs>
                        <w:tab w:pos="3345" w:val="right" w:leader="none"/>
                      </w:tabs>
                      <w:spacing w:before="184"/>
                      <w:ind w:left="8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Root</w:t>
                    </w:r>
                    <w:r>
                      <w:rPr>
                        <w:rFonts w:ascii="Arial MT"/>
                        <w:spacing w:val="-9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Mean</w:t>
                    </w:r>
                    <w:r>
                      <w:rPr>
                        <w:rFonts w:ascii="Arial MT"/>
                        <w:spacing w:val="-14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Squared</w:t>
                    </w:r>
                    <w:r>
                      <w:rPr>
                        <w:rFonts w:ascii="Arial MT"/>
                        <w:spacing w:val="-3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Error</w:t>
                      <w:tab/>
                      <w:t>0.603284</w:t>
                    </w:r>
                  </w:p>
                  <w:p>
                    <w:pPr>
                      <w:tabs>
                        <w:tab w:pos="3345" w:val="right" w:leader="none"/>
                      </w:tabs>
                      <w:spacing w:before="12"/>
                      <w:ind w:left="8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Mean</w:t>
                    </w:r>
                    <w:r>
                      <w:rPr>
                        <w:rFonts w:ascii="Arial MT"/>
                        <w:spacing w:val="-16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Absolute</w:t>
                    </w:r>
                    <w:r>
                      <w:rPr>
                        <w:rFonts w:ascii="Arial MT"/>
                        <w:spacing w:val="-4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Error</w:t>
                      <w:tab/>
                      <w:t>0.506253</w:t>
                    </w:r>
                  </w:p>
                  <w:p>
                    <w:pPr>
                      <w:tabs>
                        <w:tab w:pos="3345" w:val="right" w:leader="none"/>
                      </w:tabs>
                      <w:spacing w:before="12"/>
                      <w:ind w:left="8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Mean</w:t>
                    </w:r>
                    <w:r>
                      <w:rPr>
                        <w:rFonts w:ascii="Arial MT"/>
                        <w:spacing w:val="-15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Abs.</w:t>
                    </w:r>
                    <w:r>
                      <w:rPr>
                        <w:rFonts w:ascii="Arial MT"/>
                        <w:spacing w:val="-9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Percent</w:t>
                    </w:r>
                    <w:r>
                      <w:rPr>
                        <w:rFonts w:ascii="Arial MT"/>
                        <w:spacing w:val="-9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Error</w:t>
                      <w:tab/>
                      <w:t>346.5479</w:t>
                    </w:r>
                  </w:p>
                  <w:p>
                    <w:pPr>
                      <w:tabs>
                        <w:tab w:pos="3345" w:val="right" w:leader="none"/>
                      </w:tabs>
                      <w:spacing w:before="11"/>
                      <w:ind w:left="8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30"/>
                        <w:sz w:val="14"/>
                      </w:rPr>
                      <w:t>Theil</w:t>
                    </w:r>
                    <w:r>
                      <w:rPr>
                        <w:rFonts w:ascii="Arial MT"/>
                        <w:spacing w:val="-11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30"/>
                        <w:sz w:val="14"/>
                      </w:rPr>
                      <w:t>Inequality</w:t>
                    </w:r>
                    <w:r>
                      <w:rPr>
                        <w:rFonts w:ascii="Arial MT"/>
                        <w:spacing w:val="-15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30"/>
                        <w:sz w:val="14"/>
                      </w:rPr>
                      <w:t>Coefficient</w:t>
                      <w:tab/>
                      <w:t>0.260896</w:t>
                    </w:r>
                  </w:p>
                  <w:p>
                    <w:pPr>
                      <w:tabs>
                        <w:tab w:pos="3345" w:val="right" w:leader="none"/>
                      </w:tabs>
                      <w:spacing w:before="12"/>
                      <w:ind w:left="31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Bias</w:t>
                    </w:r>
                    <w:r>
                      <w:rPr>
                        <w:rFonts w:ascii="Arial MT"/>
                        <w:spacing w:val="-4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Proportion</w:t>
                      <w:tab/>
                      <w:t>0.002309</w:t>
                    </w:r>
                  </w:p>
                  <w:p>
                    <w:pPr>
                      <w:tabs>
                        <w:tab w:pos="3345" w:val="right" w:leader="none"/>
                      </w:tabs>
                      <w:spacing w:before="12"/>
                      <w:ind w:left="31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Variance</w:t>
                    </w:r>
                    <w:r>
                      <w:rPr>
                        <w:rFonts w:ascii="Arial MT"/>
                        <w:spacing w:val="-3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Proportion</w:t>
                      <w:tab/>
                      <w:t>0.047313</w:t>
                    </w:r>
                  </w:p>
                  <w:p>
                    <w:pPr>
                      <w:tabs>
                        <w:tab w:pos="3345" w:val="right" w:leader="none"/>
                      </w:tabs>
                      <w:spacing w:before="12"/>
                      <w:ind w:left="31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Covariance</w:t>
                    </w:r>
                    <w:r>
                      <w:rPr>
                        <w:rFonts w:ascii="Arial MT"/>
                        <w:spacing w:val="-4"/>
                        <w:w w:val="13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Proportion</w:t>
                      <w:tab/>
                      <w:t>0.950378</w:t>
                    </w:r>
                  </w:p>
                </w:txbxContent>
              </v:textbox>
              <v:stroke dashstyle="solid"/>
              <w10:wrap type="none"/>
            </v:shape>
            <v:shape style="position:absolute;left:2381;top:393;width:180;height:267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57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1"/>
                        <w:sz w:val="14"/>
                      </w:rPr>
                      <w:t>8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57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1"/>
                        <w:sz w:val="14"/>
                      </w:rPr>
                      <w:t>6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57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1"/>
                        <w:sz w:val="14"/>
                      </w:rPr>
                      <w:t>4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57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1"/>
                        <w:sz w:val="14"/>
                      </w:rPr>
                      <w:t>2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57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1"/>
                        <w:sz w:val="14"/>
                      </w:rPr>
                      <w:t>0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-2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-4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-6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-8</w:t>
                    </w:r>
                  </w:p>
                </w:txbxContent>
              </v:textbox>
              <w10:wrap type="none"/>
            </v:shape>
            <v:shape style="position:absolute;left:2721;top:3082;width:4581;height:157" type="#_x0000_t202" filled="false" stroked="false">
              <v:textbox inset="0,0,0,0">
                <w:txbxContent>
                  <w:p>
                    <w:pPr>
                      <w:tabs>
                        <w:tab w:pos="690" w:val="left" w:leader="none"/>
                        <w:tab w:pos="1382" w:val="left" w:leader="none"/>
                        <w:tab w:pos="2073" w:val="left" w:leader="none"/>
                        <w:tab w:pos="2763" w:val="left" w:leader="none"/>
                        <w:tab w:pos="3454" w:val="left" w:leader="none"/>
                        <w:tab w:pos="4146" w:val="left" w:leader="none"/>
                      </w:tabs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240" w:h="15840"/>
          <w:pgMar w:header="0" w:footer="1015" w:top="1500" w:bottom="1200" w:left="1320" w:right="440"/>
        </w:sectPr>
      </w:pPr>
    </w:p>
    <w:p>
      <w:pPr>
        <w:spacing w:before="76"/>
        <w:ind w:left="811" w:right="993" w:firstLine="0"/>
        <w:jc w:val="left"/>
        <w:rPr>
          <w:b/>
          <w:sz w:val="24"/>
        </w:rPr>
      </w:pPr>
      <w:r>
        <w:rPr/>
        <w:pict>
          <v:shape style="position:absolute;margin-left:116.940002pt;margin-top:397.679993pt;width:194.45pt;height:196.9pt;mso-position-horizontal-relative:page;mso-position-vertical-relative:page;z-index:-25271296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129.303116pt;width:237.4pt;height:230.5pt;mso-position-horizontal-relative:page;mso-position-vertical-relative:paragraph;z-index:-25270784" coordorigin="5626,2586" coordsize="4748,4610" path="m6603,7139l6602,7136,6600,7128,6597,7125,6306,6835,6268,6763,6080,6401,6004,6257,5993,6237,5983,6225,5979,6222,5969,6219,5964,6221,5957,6225,5944,6236,5928,6252,5923,6258,5916,6268,5914,6272,5912,6280,5912,6284,5917,6297,5921,6301,6079,6595,6115,6659,6178,6767,6177,6768,6002,6668,5929,6628,5783,6550,5705,6508,5696,6504,5692,6503,5684,6505,5680,6506,5675,6509,5670,6513,5658,6522,5642,6538,5632,6551,5628,6556,5626,6561,5628,6571,5631,6576,5637,6580,5643,6585,5664,6597,5736,6635,6098,6823,6242,6899,6532,7190,6536,7192,6542,7195,6546,7195,6550,7194,6554,7193,6564,7188,6569,7185,6575,7180,6587,7168,6592,7162,6595,7157,6600,7147,6601,7143,6603,7139xm7274,6407l7274,6370,7268,6331,7258,6291,7242,6250,7223,6208,7199,6165,7170,6120,7161,6108,7161,6379,7157,6406,7148,6431,7133,6454,7115,6476,7093,6495,7070,6510,7045,6519,7020,6524,6994,6525,6967,6522,6939,6515,6909,6504,6880,6490,6849,6473,6818,6452,6786,6428,6753,6402,6720,6373,6687,6342,6652,6309,6622,6278,6594,6246,6567,6215,6541,6183,6518,6151,6499,6120,6482,6089,6469,6059,6458,6029,6451,6001,6447,5973,6447,5945,6451,5919,6460,5894,6474,5871,6493,5849,6515,5830,6537,5816,6562,5807,6587,5802,6614,5801,6641,5804,6669,5811,6698,5821,6728,5835,6759,5852,6790,5872,6821,5895,6854,5921,6886,5950,6919,5980,6952,6012,6983,6043,7012,6075,7039,6107,7064,6139,7088,6171,7108,6203,7125,6234,7139,6264,7150,6294,7157,6323,7161,6352,7161,6379,7161,6108,7137,6075,7100,6029,7059,5983,7013,5936,6966,5891,6921,5850,6876,5813,6860,5801,6832,5781,6790,5753,6749,5730,6709,5711,6670,5697,6633,5688,6596,5684,6562,5684,6528,5688,6496,5698,6465,5712,6436,5732,6408,5756,6383,5785,6363,5816,6348,5848,6339,5882,6335,5918,6336,5955,6341,5994,6351,6033,6366,6074,6386,6116,6409,6159,6438,6203,6470,6248,6507,6293,6547,6339,6591,6385,6639,6431,6685,6472,6731,6510,6775,6543,6817,6571,6859,6594,6899,6613,6938,6628,6975,6637,7011,6642,7046,6642,7080,6637,7113,6628,7144,6614,7173,6594,7201,6569,7227,6540,7237,6525,7247,6510,7261,6477,7270,6442,7274,6407xm7572,6169l7572,6166,7569,6158,7567,6155,7239,5827,7409,5657,7410,5654,7410,5647,7409,5643,7404,5634,7400,5628,7385,5610,7369,5594,7361,5587,7355,5582,7349,5577,7344,5574,7336,5570,7332,5569,7328,5569,7325,5570,7323,5571,7153,5741,6887,5476,7068,5296,7069,5294,7069,5290,7068,5283,7063,5274,7059,5268,7043,5249,7035,5241,7027,5234,7008,5217,6993,5208,6989,5207,6982,5207,6980,5208,6753,5434,6750,5443,6752,5454,6754,5463,6759,5473,6767,5484,6777,5495,7502,6220,7505,6222,7513,6225,7516,6226,7520,6224,7524,6223,7534,6218,7539,6215,7545,6210,7557,6198,7565,6187,7570,6177,7571,6173,7572,6169xm8101,5641l8100,5637,8098,5630,8095,5627,8092,5624,7340,4872,7337,4870,7330,4867,7327,4867,7322,4868,7318,4869,7309,4874,7298,4882,7286,4894,7278,4904,7273,4914,7272,4918,7271,4922,7271,4926,7274,4933,7276,4937,8031,5692,8034,5694,8041,5697,8044,5697,8048,5696,8053,5695,8063,5690,8073,5682,8086,5669,8090,5663,8094,5659,8099,5649,8099,5645,8101,5641xm8456,5213l8456,5197,8454,5180,8451,5163,8448,5146,8442,5129,8436,5111,8428,5094,8419,5076,8409,5057,8397,5039,8383,5021,8369,5002,8352,4984,8346,4977,8346,5179,8345,5194,8343,5207,8340,5219,8335,5232,8328,5244,8320,5255,8310,5266,8216,5360,7941,5085,8018,5008,8024,5003,8034,4994,8049,4983,8063,4973,8078,4966,8093,4962,8108,4960,8124,4959,8139,4961,8155,4964,8171,4969,8188,4976,8204,4985,8221,4996,8238,5008,8255,5023,8273,5040,8288,5056,8301,5072,8313,5088,8323,5104,8331,5120,8337,5135,8341,5150,8344,5165,8346,5179,8346,4977,8335,4965,8328,4959,8315,4947,8295,4929,8275,4914,8254,4900,8234,4888,8214,4878,8195,4869,8190,4868,8176,4863,8158,4858,8139,4854,8122,4852,8105,4852,8089,4854,8073,4857,8059,4862,8046,4868,8048,4854,8048,4840,8048,4826,8046,4812,8043,4797,8039,4783,8034,4768,8028,4753,8021,4738,8013,4724,8004,4709,7993,4694,7982,4680,7971,4665,7964,4658,7964,4852,7964,4865,7962,4878,7958,4891,7952,4904,7943,4917,7932,4930,7859,5003,7606,4750,7673,4683,7686,4671,7700,4661,7713,4653,7726,4647,7739,4644,7751,4642,7765,4642,7777,4644,7791,4648,7805,4653,7818,4660,7832,4668,7846,4677,7860,4688,7874,4700,7888,4714,7900,4727,7912,4740,7923,4753,7933,4767,7941,4782,7949,4796,7955,4810,7959,4824,7962,4838,7964,4852,7964,4658,7958,4651,7950,4642,7945,4637,7921,4615,7898,4595,7875,4578,7852,4563,7829,4551,7806,4541,7784,4534,7762,4529,7740,4527,7719,4528,7698,4531,7677,4537,7656,4546,7635,4559,7614,4575,7592,4596,7481,4706,7476,4712,7473,4720,7474,4731,7477,4741,7482,4750,7489,4761,7500,4772,8195,5468,8206,5478,8217,5486,8227,5491,8236,5493,8247,5494,8256,5492,8387,5360,8389,5359,8402,5345,8413,5331,8423,5317,8431,5303,8438,5290,8444,5275,8449,5260,8452,5245,8454,5229,8456,5213xm9020,4728l9019,4723,9017,4718,9014,4713,9009,4707,9003,4702,8995,4697,8984,4689,8889,4629,8609,4452,8609,4563,8440,4733,8179,4327,8135,4260,8135,4260,8135,4260,8609,4563,8609,4452,8304,4260,8097,4128,8091,4125,8086,4122,8081,4121,8076,4120,8072,4120,8062,4123,8056,4126,8050,4131,8044,4136,8038,4142,8030,4150,8022,4158,8016,4164,8012,4169,8008,4175,8005,4180,8004,4185,8002,4190,8001,4194,8003,4199,8004,4204,8007,4208,8010,4214,8053,4282,8370,4784,8571,5102,8578,5113,8584,5120,8589,5126,8594,5132,8600,5135,8604,5136,8609,5137,8614,5136,8620,5132,8625,5128,8632,5123,8646,5108,8651,5102,8655,5097,8659,5092,8661,5088,8661,5083,8662,5079,8662,5075,8660,5071,8659,5067,8657,5063,8654,5059,8617,5002,8506,4831,8605,4733,8709,4629,8940,4777,8945,4780,8949,4781,8953,4783,8956,4784,8960,4784,8963,4783,8968,4782,8972,4780,8978,4776,8983,4772,9005,4750,9010,4744,9014,4738,9018,4733,9020,4728xm9323,4313l9321,4274,9314,4234,9302,4193,9285,4151,9263,4107,9236,4062,9213,4029,9213,4277,9212,4304,9207,4329,9198,4355,9186,4379,9168,4403,9147,4427,9080,4493,8473,3886,8539,3820,8565,3798,8590,3780,8617,3768,8644,3760,8672,3758,8700,3758,8729,3762,8759,3770,8790,3781,8821,3795,8852,3812,8884,3833,8916,3857,8948,3883,8980,3911,9012,3941,9049,3981,9083,4018,9113,4055,9138,4089,9160,4124,9178,4156,9193,4188,9203,4219,9210,4248,9213,4277,9213,4029,9204,4016,9166,3968,9124,3919,9076,3869,9032,3827,8988,3790,8947,3758,8945,3756,8902,3726,8860,3701,8819,3681,8778,3664,8738,3652,8700,3644,8662,3642,8625,3644,8590,3650,8555,3661,8522,3679,8489,3702,8457,3731,8341,3846,8338,3855,8339,3866,8342,3875,8347,3885,8354,3896,8365,3907,9060,4603,9072,4613,9082,4621,9092,4625,9101,4627,9112,4629,9121,4627,9230,4518,9252,4493,9258,4486,9282,4453,9300,4420,9313,4385,9320,4350,9323,4313xm9940,3808l9939,3803,9937,3798,9934,3793,9929,3787,9923,3782,9916,3777,9905,3769,9810,3709,9529,3532,9529,3643,9360,3813,9099,3407,9055,3340,9055,3339,9529,3643,9529,3532,9224,3339,9017,3208,9011,3205,9006,3202,8996,3200,8992,3200,8987,3202,8982,3203,8976,3206,8971,3211,8965,3215,8958,3222,8950,3230,8936,3244,8928,3255,8925,3260,8924,3265,8922,3270,8922,3274,8923,3279,8924,3284,8927,3288,8930,3294,9017,3430,9289,3863,9318,3909,9491,4182,9498,4192,9504,4200,9509,4206,9514,4212,9520,4215,9529,4217,9534,4216,9540,4212,9545,4208,9552,4203,9566,4188,9571,4182,9575,4177,9579,4172,9581,4168,9581,4163,9582,4159,9582,4155,9580,4151,9579,4147,9577,4143,9574,4139,9426,3911,9525,3813,9629,3709,9860,3857,9865,3859,9869,3861,9873,3863,9876,3864,9880,3864,9883,3863,9888,3862,9892,3860,9898,3856,9903,3852,9925,3830,9930,3824,9934,3818,9938,3813,9940,3808xm10374,3364l10372,3352,10369,3345,10362,3330,10356,3322,10348,3314,9625,2591,9622,2589,9615,2587,9611,2586,9602,2587,9598,2590,9593,2593,9582,2601,9570,2613,9559,2629,9556,2633,9555,2642,9556,2646,9557,2650,9558,2653,9560,2656,10011,3106,10186,3279,10186,3280,10037,3202,9959,3162,9898,3132,9801,3084,9573,2970,9421,2893,9397,2882,9378,2874,9366,2870,9356,2867,9347,2866,9338,2866,9330,2867,9316,2873,9309,2878,9263,2924,9260,2934,9261,2946,9264,2956,9269,2966,9277,2978,9287,2989,10010,3712,10013,3714,10016,3715,10020,3717,10024,3718,10028,3716,10032,3716,10042,3711,10052,3703,10065,3690,10073,3679,10076,3674,10078,3670,10078,3666,10080,3662,10080,3658,10078,3654,10077,3650,10075,3648,9533,3107,9421,2997,9422,2996,9468,3022,9565,3073,9686,3133,10057,3317,10204,3391,10233,3405,10272,3421,10285,3424,10295,3425,10305,3427,10314,3426,10321,3423,10329,3420,10336,3415,10367,3384,10370,3380,10373,3369,10374,336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08.139999pt;margin-top:103.343147pt;width:108.26pt;height:.72pt;mso-position-horizontal-relative:page;mso-position-vertical-relative:paragraph;z-index:-2527027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129.983154pt;width:108.26pt;height:.72pt;mso-position-horizontal-relative:page;mso-position-vertical-relative:paragraph;z-index:-25269760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334.970032pt;width:108.26pt;height:.71997pt;mso-position-horizontal-relative:page;mso-position-vertical-relative:page;z-index:-2526924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Appendix 9: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Unrestricted Error Correction Model for Financial Account Balance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Equation</w:t>
      </w:r>
    </w:p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518"/>
        <w:gridCol w:w="1261"/>
        <w:gridCol w:w="1301"/>
        <w:gridCol w:w="1194"/>
      </w:tblGrid>
      <w:tr>
        <w:trPr>
          <w:trHeight w:val="270" w:hRule="atLeast"/>
        </w:trPr>
        <w:tc>
          <w:tcPr>
            <w:tcW w:w="7439" w:type="dxa"/>
            <w:gridSpan w:val="5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DLFAB</w:t>
            </w:r>
          </w:p>
        </w:tc>
      </w:tr>
      <w:tr>
        <w:trPr>
          <w:trHeight w:val="275" w:hRule="atLeast"/>
        </w:trPr>
        <w:tc>
          <w:tcPr>
            <w:tcW w:w="7439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</w:tr>
      <w:tr>
        <w:trPr>
          <w:trHeight w:val="276" w:hRule="atLeast"/>
        </w:trPr>
        <w:tc>
          <w:tcPr>
            <w:tcW w:w="7439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(adjusted):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393" w:hRule="atLeast"/>
        </w:trPr>
        <w:tc>
          <w:tcPr>
            <w:tcW w:w="7439" w:type="dxa"/>
            <w:gridSpan w:val="5"/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 adjustments</w:t>
            </w:r>
          </w:p>
        </w:tc>
      </w:tr>
      <w:tr>
        <w:trPr>
          <w:trHeight w:val="487" w:hRule="atLeast"/>
        </w:trPr>
        <w:tc>
          <w:tcPr>
            <w:tcW w:w="21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left="66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51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6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36" w:right="112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0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27" w:right="92"/>
              <w:jc w:val="center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119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521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>
        <w:trPr>
          <w:trHeight w:val="365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1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0.086659</w:t>
            </w:r>
          </w:p>
        </w:tc>
        <w:tc>
          <w:tcPr>
            <w:tcW w:w="126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0.539345</w:t>
            </w:r>
          </w:p>
        </w:tc>
        <w:tc>
          <w:tcPr>
            <w:tcW w:w="130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27" w:right="75"/>
              <w:jc w:val="center"/>
              <w:rPr>
                <w:sz w:val="24"/>
              </w:rPr>
            </w:pPr>
            <w:r>
              <w:rPr>
                <w:sz w:val="24"/>
              </w:rPr>
              <w:t>0.160674</w:t>
            </w:r>
          </w:p>
        </w:tc>
        <w:tc>
          <w:tcPr>
            <w:tcW w:w="119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0.8737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DLFABT(-2)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-0.228653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0.057750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27" w:right="153"/>
              <w:jc w:val="center"/>
              <w:rPr>
                <w:sz w:val="24"/>
              </w:rPr>
            </w:pPr>
            <w:r>
              <w:rPr>
                <w:sz w:val="24"/>
              </w:rPr>
              <w:t>-3.959386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DREER(-2)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-0.604824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0.217266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27" w:right="153"/>
              <w:jc w:val="center"/>
              <w:rPr>
                <w:sz w:val="24"/>
              </w:rPr>
            </w:pPr>
            <w:r>
              <w:rPr>
                <w:sz w:val="24"/>
              </w:rPr>
              <w:t>-2.783797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0.0103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DTBR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-0.006485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0.002687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27" w:right="153"/>
              <w:jc w:val="center"/>
              <w:rPr>
                <w:sz w:val="24"/>
              </w:rPr>
            </w:pPr>
            <w:r>
              <w:rPr>
                <w:sz w:val="24"/>
              </w:rPr>
              <w:t>-2.413140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0.0238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DTBR(-2)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-0.007460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0.002858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27" w:right="153"/>
              <w:jc w:val="center"/>
              <w:rPr>
                <w:sz w:val="24"/>
              </w:rPr>
            </w:pPr>
            <w:r>
              <w:rPr>
                <w:sz w:val="24"/>
              </w:rPr>
              <w:t>-2.610720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0.0153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GGDP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0.007336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0.004102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27" w:right="75"/>
              <w:jc w:val="center"/>
              <w:rPr>
                <w:sz w:val="24"/>
              </w:rPr>
            </w:pPr>
            <w:r>
              <w:rPr>
                <w:sz w:val="24"/>
              </w:rPr>
              <w:t>1.788423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0.0863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DOPEN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1.040492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0.083133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27" w:right="75"/>
              <w:jc w:val="center"/>
              <w:rPr>
                <w:sz w:val="24"/>
              </w:rPr>
            </w:pPr>
            <w:r>
              <w:rPr>
                <w:sz w:val="24"/>
              </w:rPr>
              <w:t>12.51604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LFABT(-1)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-0.170572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0.120853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/>
              <w:ind w:left="127" w:right="153"/>
              <w:jc w:val="center"/>
              <w:rPr>
                <w:sz w:val="24"/>
              </w:rPr>
            </w:pPr>
            <w:r>
              <w:rPr>
                <w:sz w:val="24"/>
              </w:rPr>
              <w:t>-1.411409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0.1710</w:t>
            </w:r>
          </w:p>
        </w:tc>
      </w:tr>
      <w:tr>
        <w:trPr>
          <w:trHeight w:val="395" w:hRule="atLeast"/>
        </w:trPr>
        <w:tc>
          <w:tcPr>
            <w:tcW w:w="21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LOPENESS(-1)</w:t>
            </w:r>
          </w:p>
        </w:tc>
        <w:tc>
          <w:tcPr>
            <w:tcW w:w="151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0.316286</w:t>
            </w:r>
          </w:p>
        </w:tc>
        <w:tc>
          <w:tcPr>
            <w:tcW w:w="12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0.136585</w:t>
            </w:r>
          </w:p>
        </w:tc>
        <w:tc>
          <w:tcPr>
            <w:tcW w:w="130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27" w:right="75"/>
              <w:jc w:val="center"/>
              <w:rPr>
                <w:sz w:val="24"/>
              </w:rPr>
            </w:pPr>
            <w:r>
              <w:rPr>
                <w:sz w:val="24"/>
              </w:rPr>
              <w:t>2.315681</w:t>
            </w:r>
          </w:p>
        </w:tc>
        <w:tc>
          <w:tcPr>
            <w:tcW w:w="119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0.0294</w:t>
            </w:r>
          </w:p>
        </w:tc>
      </w:tr>
      <w:tr>
        <w:trPr>
          <w:trHeight w:val="365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51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0.935931</w:t>
            </w:r>
          </w:p>
        </w:tc>
        <w:tc>
          <w:tcPr>
            <w:tcW w:w="2562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9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0.003965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0.914574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0.658168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0.192367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-0.231818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0.888126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0.176320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12.82500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43.82420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51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1.409587</w:t>
            </w:r>
          </w:p>
        </w:tc>
        <w:tc>
          <w:tcPr>
            <w:tcW w:w="2562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9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spacing w:line="276" w:lineRule="auto"/>
        <w:ind w:right="1227"/>
      </w:pPr>
      <w:r>
        <w:rPr/>
        <w:pict>
          <v:rect style="position:absolute;margin-left:120.139999pt;margin-top:671.740051pt;width:108.26pt;height:.71997pt;mso-position-horizontal-relative:page;mso-position-vertical-relative:page;z-index:-25265664" filled="true" fillcolor="#000000" stroked="false">
            <v:fill type="solid"/>
            <w10:wrap type="none"/>
          </v:rect>
        </w:pict>
      </w:r>
      <w:r>
        <w:rPr/>
        <w:t>Appendix</w:t>
      </w:r>
      <w:r>
        <w:rPr>
          <w:spacing w:val="-1"/>
        </w:rPr>
        <w:t> </w:t>
      </w:r>
      <w:r>
        <w:rPr/>
        <w:t>10:</w:t>
      </w:r>
      <w:r>
        <w:rPr>
          <w:spacing w:val="-5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Parsimonious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Account</w:t>
      </w:r>
      <w:r>
        <w:rPr>
          <w:spacing w:val="-57"/>
        </w:rPr>
        <w:t> </w:t>
      </w:r>
      <w:r>
        <w:rPr/>
        <w:t>Balance</w:t>
      </w:r>
    </w:p>
    <w:p>
      <w:pPr>
        <w:spacing w:before="201"/>
        <w:ind w:left="811" w:right="0" w:firstLine="0"/>
        <w:jc w:val="left"/>
        <w:rPr>
          <w:b/>
          <w:sz w:val="24"/>
        </w:rPr>
      </w:pPr>
      <w:r>
        <w:rPr>
          <w:b/>
          <w:sz w:val="24"/>
        </w:rPr>
        <w:t>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Residual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spacing w:before="0"/>
      </w:pPr>
      <w:r>
        <w:rPr/>
        <w:t>A1:</w:t>
      </w:r>
      <w:r>
        <w:rPr>
          <w:spacing w:val="-4"/>
        </w:rPr>
        <w:t> </w:t>
      </w:r>
      <w:r>
        <w:rPr/>
        <w:t>Correlogram-Q-Statistics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111"/>
      </w:pPr>
      <w:r>
        <w:rPr/>
        <w:t>Sample:</w:t>
      </w:r>
      <w:r>
        <w:rPr>
          <w:spacing w:val="-1"/>
        </w:rPr>
        <w:t> </w:t>
      </w:r>
      <w:r>
        <w:rPr/>
        <w:t>1978</w:t>
      </w:r>
      <w:r>
        <w:rPr>
          <w:spacing w:val="-1"/>
        </w:rPr>
        <w:t> </w:t>
      </w:r>
      <w:r>
        <w:rPr/>
        <w:t>2010</w:t>
      </w:r>
    </w:p>
    <w:p>
      <w:pPr>
        <w:pStyle w:val="BodyText"/>
        <w:ind w:left="1111"/>
      </w:pPr>
      <w:r>
        <w:rPr/>
        <w:pict>
          <v:group style="position:absolute;margin-left:120.139999pt;margin-top:18.44315pt;width:412.8pt;height:230.5pt;mso-position-horizontal-relative:page;mso-position-vertical-relative:paragraph;z-index:-25267712" coordorigin="2403,369" coordsize="8256,4610">
            <v:shape style="position:absolute;left:5626;top:368;width:4748;height:4610" coordorigin="5626,369" coordsize="4748,4610" path="m6603,4922l6602,4918,6600,4911,6597,4908,6306,4617,6268,4545,6080,4184,6004,4040,5993,4019,5983,4007,5979,4005,5969,4002,5964,4004,5957,4008,5944,4019,5928,4035,5923,4041,5916,4050,5914,4055,5912,4063,5912,4066,5917,4079,5921,4084,6079,4377,6115,4442,6178,4550,6177,4550,6002,4451,5929,4411,5783,4333,5705,4291,5696,4287,5692,4286,5684,4288,5680,4289,5675,4292,5670,4295,5658,4305,5642,4321,5632,4333,5628,4339,5626,4344,5628,4354,5631,4358,5637,4363,5643,4368,5664,4380,5736,4418,6098,4606,6242,4682,6532,4973,6536,4975,6542,4978,6546,4978,6550,4977,6554,4976,6564,4971,6569,4967,6575,4963,6587,4951,6592,4945,6595,4940,6600,4930,6601,4926,6603,4922xm7274,4190l7274,4152,7268,4114,7258,4074,7242,4033,7223,3991,7199,3948,7170,3903,7161,3891,7161,4162,7157,4189,7148,4213,7133,4237,7115,4259,7093,4278,7070,4292,7045,4302,7020,4306,6994,4308,6967,4305,6939,4298,6909,4287,6880,4273,6849,4256,6818,4235,6786,4211,6753,4185,6720,4156,6687,4125,6652,4092,6622,4060,6594,4029,6567,3997,6541,3966,6518,3934,6499,3903,6482,3872,6469,3842,6458,3812,6451,3783,6447,3755,6447,3728,6451,3702,6460,3677,6474,3654,6493,3632,6515,3613,6537,3599,6562,3589,6587,3585,6614,3584,6641,3587,6669,3594,6698,3604,6728,3618,6759,3635,6790,3655,6821,3678,6854,3704,6886,3732,6919,3763,6952,3795,6983,3826,7012,3858,7039,3890,7064,3922,7088,3954,7108,3986,7125,4016,7139,4047,7150,4077,7157,4106,7161,4135,7161,4162,7161,3891,7137,3858,7100,3812,7059,3766,7013,3719,6966,3674,6921,3633,6876,3596,6860,3584,6832,3563,6790,3536,6749,3513,6709,3494,6670,3480,6633,3471,6596,3466,6562,3467,6528,3471,6496,3481,6465,3495,6436,3515,6408,3539,6383,3568,6363,3598,6348,3631,6339,3665,6335,3701,6336,3738,6341,3776,6351,3816,6366,3857,6386,3899,6409,3942,6438,3986,6470,4031,6507,4076,6547,4122,6591,4167,6639,4214,6685,4255,6731,4292,6775,4325,6817,4354,6859,4377,6899,4396,6938,4410,6975,4420,7011,4425,7046,4425,7080,4420,7113,4411,7144,4397,7173,4377,7201,4352,7227,4323,7237,4308,7247,4292,7261,4260,7270,4225,7274,4190xm7572,3952l7572,3949,7569,3941,7567,3938,7239,3610,7409,3440,7410,3437,7410,3430,7409,3426,7404,3417,7400,3411,7385,3393,7369,3377,7361,3370,7355,3365,7349,3360,7344,3357,7336,3353,7332,3352,7328,3352,7325,3353,7323,3354,7153,3524,6887,3259,7068,3078,7069,3076,7069,3073,7068,3065,7063,3057,7059,3051,7043,3032,7035,3024,7027,3016,7008,2999,6993,2991,6989,2990,6982,2990,6980,2990,6753,3217,6750,3226,6752,3237,6754,3246,6759,3256,6767,3266,6777,3278,7502,4003,7505,4005,7513,4008,7516,4008,7520,4007,7524,4006,7534,4001,7539,3998,7545,3993,7557,3980,7565,3970,7570,3960,7571,3956,7572,3952xm8101,3424l8100,3420,8098,3413,8095,3410,8092,3407,7340,2655,7337,2652,7330,2650,7327,2650,7322,2650,7318,2652,7309,2657,7298,2665,7286,2677,7278,2687,7273,2697,7272,2701,7271,2705,7271,2709,7274,2716,7276,2720,8031,3475,8034,3477,8041,3480,8044,3480,8048,3479,8053,3478,8063,3473,8073,3464,8086,3452,8090,3446,8094,3441,8099,3432,8099,3427,8101,3424xm8456,2996l8456,2980,8454,2963,8451,2946,8448,2929,8442,2912,8436,2894,8428,2876,8419,2859,8409,2840,8397,2821,8383,2803,8369,2785,8352,2767,8346,2760,8346,2962,8345,2976,8343,2990,8340,3002,8335,3014,8328,3026,8320,3038,8310,3049,8216,3143,7941,2868,8018,2791,8024,2786,8034,2777,8049,2765,8063,2756,8078,2749,8093,2745,8108,2743,8124,2742,8139,2743,8155,2747,8171,2752,8188,2759,8204,2768,8221,2779,8238,2791,8255,2806,8273,2822,8288,2839,8301,2855,8313,2871,8323,2887,8331,2903,8337,2918,8341,2933,8344,2947,8346,2962,8346,2760,8335,2748,8328,2742,8315,2729,8295,2712,8275,2697,8254,2683,8234,2671,8214,2661,8195,2652,8190,2650,8176,2645,8158,2640,8139,2637,8122,2635,8105,2635,8089,2637,8073,2640,8059,2644,8046,2650,8048,2637,8048,2623,8048,2609,8046,2594,8043,2580,8039,2565,8034,2551,8028,2535,8021,2521,8013,2507,8004,2492,7993,2477,7982,2463,7971,2448,7964,2440,7964,2634,7964,2648,7962,2661,7958,2674,7952,2687,7943,2700,7932,2712,7859,2786,7606,2533,7673,2466,7686,2454,7700,2443,7713,2436,7726,2430,7739,2427,7751,2425,7765,2425,7777,2427,7791,2430,7805,2436,7818,2442,7832,2450,7846,2460,7860,2471,7874,2483,7888,2497,7900,2510,7912,2523,7923,2536,7933,2550,7941,2565,7949,2579,7955,2593,7959,2607,7962,2621,7964,2634,7964,2440,7958,2434,7950,2425,7945,2420,7921,2398,7898,2378,7875,2361,7852,2346,7829,2334,7806,2324,7784,2317,7762,2312,7740,2310,7719,2311,7698,2314,7677,2320,7656,2329,7635,2342,7614,2358,7592,2378,7481,2489,7476,2494,7473,2503,7474,2514,7477,2523,7482,2533,7489,2544,7500,2555,8195,3251,8206,3261,8217,3269,8227,3273,8236,3275,8247,3277,8256,3275,8387,3143,8389,3142,8402,3128,8413,3114,8423,3100,8431,3086,8438,3072,8444,3058,8449,3043,8452,3028,8454,3012,8456,2996xm9020,2511l9019,2506,9017,2501,9014,2495,9009,2490,9003,2485,8995,2480,8984,2472,8889,2412,8609,2235,8609,2346,8440,2515,8179,2110,8135,2043,8135,2042,8135,2042,8609,2346,8609,2235,8304,2042,8097,1911,8091,1908,8086,1905,8081,1904,8076,1903,8072,1903,8062,1906,8056,1909,8050,1914,8044,1918,8038,1925,8030,1933,8022,1941,8016,1947,8012,1952,8008,1958,8005,1963,8004,1968,8002,1973,8001,1977,8003,1982,8004,1986,8007,1991,8010,1997,8053,2065,8370,2567,8571,2884,8578,2895,8584,2903,8589,2909,8594,2914,8600,2917,8604,2919,8609,2920,8614,2919,8620,2915,8625,2911,8632,2906,8646,2891,8651,2885,8655,2880,8659,2875,8661,2871,8661,2866,8662,2862,8662,2858,8660,2854,8659,2850,8657,2846,8654,2842,8617,2785,8506,2614,8605,2515,8709,2412,8940,2560,8945,2562,8949,2564,8953,2566,8956,2567,8960,2567,8963,2566,8968,2565,8972,2563,8978,2559,8983,2555,9005,2533,9010,2526,9014,2521,9018,2516,9020,2511xm9323,2095l9321,2057,9314,2017,9302,1976,9285,1934,9263,1890,9236,1845,9213,1811,9213,2059,9212,2086,9207,2112,9198,2138,9186,2162,9168,2186,9147,2210,9080,2276,8473,1669,8539,1603,8565,1581,8590,1563,8617,1550,8644,1543,8672,1540,8700,1541,8729,1545,8759,1552,8790,1564,8821,1578,8852,1595,8884,1616,8916,1640,8948,1666,8980,1694,9012,1724,9049,1763,9083,1801,9113,1837,9138,1872,9160,1906,9178,1939,9193,1971,9203,2002,9210,2031,9213,2059,9213,1811,9204,1798,9166,1751,9124,1702,9076,1652,9032,1610,8988,1572,8947,1540,8945,1539,8902,1509,8860,1484,8819,1463,8778,1447,8738,1434,8700,1427,8662,1425,8625,1426,8590,1433,8555,1444,8522,1461,8489,1485,8457,1513,8341,1629,8338,1638,8339,1649,8342,1658,8347,1668,8354,1679,8365,1690,9060,2386,9072,2396,9082,2404,9092,2408,9101,2410,9112,2412,9121,2409,9230,2301,9252,2276,9258,2269,9282,2236,9300,2203,9313,2168,9320,2133,9323,2095xm9940,1591l9939,1586,9937,1581,9934,1575,9929,1570,9923,1565,9916,1559,9905,1552,9810,1492,9529,1315,9529,1426,9360,1595,9099,1190,9055,1123,9055,1122,9529,1426,9529,1315,9224,1122,9017,991,9011,988,9006,985,8996,982,8992,983,8987,985,8982,986,8976,989,8971,994,8965,998,8958,1005,8950,1013,8936,1027,8928,1038,8925,1043,8924,1048,8922,1053,8922,1057,8923,1061,8924,1066,8927,1071,8930,1076,9017,1213,9289,1646,9318,1691,9491,1964,9498,1975,9504,1983,9509,1988,9514,1994,9520,1997,9529,2000,9534,1998,9540,1995,9545,1991,9552,1985,9566,1971,9571,1965,9575,1960,9579,1955,9581,1950,9581,1945,9582,1941,9582,1938,9580,1933,9579,1930,9577,1926,9574,1921,9426,1694,9525,1595,9629,1492,9860,1640,9865,1642,9869,1644,9873,1645,9876,1647,9880,1647,9883,1646,9888,1645,9892,1643,9898,1639,9903,1635,9925,1613,9930,1606,9934,1601,9938,1596,9940,1591xm10374,1147l10372,1134,10369,1127,10362,1113,10356,1105,10348,1097,9625,374,9622,372,9615,369,9611,369,9602,370,9598,372,9593,376,9582,384,9570,396,9559,412,9556,416,9555,425,9556,429,9557,432,9558,436,9560,439,10011,889,10186,1062,10186,1063,10037,985,9959,945,9898,915,9801,866,9573,753,9421,676,9397,665,9378,656,9366,652,9356,650,9347,649,9338,649,9330,650,9316,656,9309,661,9263,707,9260,717,9261,729,9264,739,9269,749,9277,760,9287,772,10010,1495,10013,1497,10016,1498,10020,1500,10024,1501,10028,1499,10032,1499,10042,1494,10052,1486,10065,1473,10073,1462,10076,1457,10078,1453,10078,1448,10080,1444,10080,1441,10078,1437,10077,1433,10075,1430,9533,889,9421,780,9422,779,9468,804,9565,855,9686,916,10057,1100,10204,1174,10233,1188,10272,1204,10285,1207,10295,1208,10305,1209,10314,1209,10321,1206,10329,1203,10336,1198,10367,1167,10370,1163,10373,1152,10374,1147xe" filled="true" fillcolor="#ffc000" stroked="false">
              <v:path arrowok="t"/>
              <v:fill opacity="32896f" type="solid"/>
            </v:shape>
            <v:shape style="position:absolute;left:2402;top:384;width:8256;height:44" coordorigin="2403,385" coordsize="8256,44" path="m4335,414l2403,414,2403,428,4335,428,4335,414xm4335,385l2403,385,2403,399,4335,399,4335,385xm9578,414l8670,414,8589,414,7770,414,7689,414,6959,414,6877,414,6877,414,6380,414,6299,414,4417,414,4335,414,4335,428,4417,428,6299,428,6380,428,6877,428,6877,428,6959,428,7689,428,7770,428,8589,428,8670,428,9578,428,9578,414xm9578,385l8670,385,8589,385,7770,385,7689,385,6959,385,6877,385,6877,385,6380,385,6299,385,4417,385,4335,385,4335,399,4417,399,6299,399,6380,399,6877,399,6877,399,6959,399,7689,399,7770,399,8589,399,8670,399,9578,399,9578,385xm9660,414l9578,414,9578,428,9660,428,9660,414xm9660,385l9578,385,9578,399,9660,399,9660,385xm10658,414l9660,414,9660,428,10658,428,10658,414xm10658,385l9660,385,9660,399,10658,399,10658,385xe" filled="true" fillcolor="#000000" stroked="false">
              <v:path arrowok="t"/>
              <v:fill type="solid"/>
            </v:shape>
            <v:shape style="position:absolute;left:2609;top:540;width:3615;height:266" type="#_x0000_t202" filled="false" stroked="false">
              <v:textbox inset="0,0,0,0">
                <w:txbxContent>
                  <w:p>
                    <w:pPr>
                      <w:tabs>
                        <w:tab w:pos="1817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Autocorrelation</w:t>
                      <w:tab/>
                      <w:t>Partial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</w:p>
                </w:txbxContent>
              </v:textbox>
              <w10:wrap type="none"/>
            </v:shape>
            <v:shape style="position:absolute;left:7266;top:540;width:35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</w:t>
                    </w:r>
                  </w:p>
                </w:txbxContent>
              </v:textbox>
              <w10:wrap type="none"/>
            </v:shape>
            <v:shape style="position:absolute;left:8089;top:540;width:1479;height:266" type="#_x0000_t202" filled="false" stroked="false">
              <v:textbox inset="0,0,0,0">
                <w:txbxContent>
                  <w:p>
                    <w:pPr>
                      <w:tabs>
                        <w:tab w:pos="832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PAC</w:t>
                      <w:tab/>
                      <w:t>Q-Stat</w:t>
                    </w:r>
                  </w:p>
                </w:txbxContent>
              </v:textbox>
              <w10:wrap type="none"/>
            </v:shape>
            <v:shape style="position:absolute;left:10175;top:540;width:4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Prob</w:t>
                    </w:r>
                  </w:p>
                </w:txbxContent>
              </v:textbox>
              <w10:wrap type="none"/>
            </v:shape>
            <v:shape style="position:absolute;left:3439;top:1623;width:6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5374;top:1623;width:6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3439;top:2175;width:6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5374;top:2175;width:6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3439;top:2727;width:68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5374;top:2727;width:68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5374;top:4383;width:6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Included</w:t>
      </w:r>
      <w:r>
        <w:rPr>
          <w:spacing w:val="-2"/>
        </w:rPr>
        <w:t> </w:t>
      </w:r>
      <w:r>
        <w:rPr/>
        <w:t>observations:</w:t>
      </w:r>
      <w:r>
        <w:rPr>
          <w:spacing w:val="-2"/>
        </w:rPr>
        <w:t> </w:t>
      </w:r>
      <w:r>
        <w:rPr/>
        <w:t>33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"/>
        <w:gridCol w:w="115"/>
        <w:gridCol w:w="60"/>
        <w:gridCol w:w="614"/>
        <w:gridCol w:w="1146"/>
        <w:gridCol w:w="115"/>
        <w:gridCol w:w="60"/>
        <w:gridCol w:w="612"/>
        <w:gridCol w:w="893"/>
        <w:gridCol w:w="854"/>
        <w:gridCol w:w="924"/>
        <w:gridCol w:w="1096"/>
        <w:gridCol w:w="850"/>
      </w:tblGrid>
      <w:tr>
        <w:trPr>
          <w:trHeight w:val="380" w:hRule="atLeast"/>
        </w:trPr>
        <w:tc>
          <w:tcPr>
            <w:tcW w:w="91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|**.</w:t>
            </w:r>
          </w:p>
        </w:tc>
        <w:tc>
          <w:tcPr>
            <w:tcW w:w="115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11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|**.</w:t>
            </w:r>
          </w:p>
        </w:tc>
        <w:tc>
          <w:tcPr>
            <w:tcW w:w="115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89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76" w:right="40"/>
              <w:jc w:val="center"/>
              <w:rPr>
                <w:sz w:val="24"/>
              </w:rPr>
            </w:pPr>
            <w:r>
              <w:rPr>
                <w:sz w:val="24"/>
              </w:rPr>
              <w:t>0.243</w:t>
            </w:r>
          </w:p>
        </w:tc>
        <w:tc>
          <w:tcPr>
            <w:tcW w:w="92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122" w:right="64"/>
              <w:jc w:val="center"/>
              <w:rPr>
                <w:sz w:val="24"/>
              </w:rPr>
            </w:pPr>
            <w:r>
              <w:rPr>
                <w:sz w:val="24"/>
              </w:rPr>
              <w:t>0.243</w:t>
            </w:r>
          </w:p>
        </w:tc>
        <w:tc>
          <w:tcPr>
            <w:tcW w:w="109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165"/>
              <w:rPr>
                <w:sz w:val="24"/>
              </w:rPr>
            </w:pPr>
            <w:r>
              <w:rPr>
                <w:sz w:val="24"/>
              </w:rPr>
              <w:t>2.1320</w:t>
            </w:r>
          </w:p>
        </w:tc>
        <w:tc>
          <w:tcPr>
            <w:tcW w:w="85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0.144</w:t>
            </w:r>
          </w:p>
        </w:tc>
      </w:tr>
      <w:tr>
        <w:trPr>
          <w:trHeight w:val="276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right="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40"/>
              <w:jc w:val="center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141"/>
              <w:jc w:val="center"/>
              <w:rPr>
                <w:sz w:val="24"/>
              </w:rPr>
            </w:pPr>
            <w:r>
              <w:rPr>
                <w:sz w:val="24"/>
              </w:rPr>
              <w:t>-0.020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2.1936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0.334</w:t>
            </w:r>
          </w:p>
        </w:tc>
      </w:tr>
      <w:tr>
        <w:trPr>
          <w:trHeight w:val="276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117"/>
              <w:jc w:val="center"/>
              <w:rPr>
                <w:sz w:val="24"/>
              </w:rPr>
            </w:pPr>
            <w:r>
              <w:rPr>
                <w:sz w:val="24"/>
              </w:rPr>
              <w:t>-0.146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141"/>
              <w:jc w:val="center"/>
              <w:rPr>
                <w:sz w:val="24"/>
              </w:rPr>
            </w:pPr>
            <w:r>
              <w:rPr>
                <w:sz w:val="24"/>
              </w:rPr>
              <w:t>-0.160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3.0089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0.390</w:t>
            </w:r>
          </w:p>
        </w:tc>
      </w:tr>
      <w:tr>
        <w:trPr>
          <w:trHeight w:val="276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right="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117"/>
              <w:jc w:val="center"/>
              <w:rPr>
                <w:sz w:val="24"/>
              </w:rPr>
            </w:pPr>
            <w:r>
              <w:rPr>
                <w:sz w:val="24"/>
              </w:rPr>
              <w:t>-0.035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64"/>
              <w:jc w:val="center"/>
              <w:rPr>
                <w:sz w:val="24"/>
              </w:rPr>
            </w:pPr>
            <w:r>
              <w:rPr>
                <w:sz w:val="24"/>
              </w:rPr>
              <w:t>0.042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3.0582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0.548</w:t>
            </w:r>
          </w:p>
        </w:tc>
      </w:tr>
      <w:tr>
        <w:trPr>
          <w:trHeight w:val="275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117"/>
              <w:jc w:val="center"/>
              <w:rPr>
                <w:sz w:val="24"/>
              </w:rPr>
            </w:pPr>
            <w:r>
              <w:rPr>
                <w:sz w:val="24"/>
              </w:rPr>
              <w:t>-0.064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141"/>
              <w:jc w:val="center"/>
              <w:rPr>
                <w:sz w:val="24"/>
              </w:rPr>
            </w:pPr>
            <w:r>
              <w:rPr>
                <w:sz w:val="24"/>
              </w:rPr>
              <w:t>-0.061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3.2279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0.665</w:t>
            </w:r>
          </w:p>
        </w:tc>
      </w:tr>
      <w:tr>
        <w:trPr>
          <w:trHeight w:val="276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right="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117"/>
              <w:jc w:val="center"/>
              <w:rPr>
                <w:sz w:val="24"/>
              </w:rPr>
            </w:pPr>
            <w:r>
              <w:rPr>
                <w:sz w:val="24"/>
              </w:rPr>
              <w:t>-0.016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141"/>
              <w:jc w:val="center"/>
              <w:rPr>
                <w:sz w:val="24"/>
              </w:rPr>
            </w:pPr>
            <w:r>
              <w:rPr>
                <w:sz w:val="24"/>
              </w:rPr>
              <w:t>-0.012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3.2382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0.778</w:t>
            </w:r>
          </w:p>
        </w:tc>
      </w:tr>
      <w:tr>
        <w:trPr>
          <w:trHeight w:val="275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40"/>
              <w:jc w:val="center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64"/>
              <w:jc w:val="center"/>
              <w:rPr>
                <w:sz w:val="24"/>
              </w:rPr>
            </w:pPr>
            <w:r>
              <w:rPr>
                <w:sz w:val="24"/>
              </w:rPr>
              <w:t>0.161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4.0459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0.774</w:t>
            </w:r>
          </w:p>
        </w:tc>
      </w:tr>
      <w:tr>
        <w:trPr>
          <w:trHeight w:val="275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right="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117"/>
              <w:jc w:val="center"/>
              <w:rPr>
                <w:sz w:val="24"/>
              </w:rPr>
            </w:pPr>
            <w:r>
              <w:rPr>
                <w:sz w:val="24"/>
              </w:rPr>
              <w:t>-0.034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141"/>
              <w:jc w:val="center"/>
              <w:rPr>
                <w:sz w:val="24"/>
              </w:rPr>
            </w:pPr>
            <w:r>
              <w:rPr>
                <w:sz w:val="24"/>
              </w:rPr>
              <w:t>-0.138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4.0996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0.848</w:t>
            </w:r>
          </w:p>
        </w:tc>
      </w:tr>
      <w:tr>
        <w:trPr>
          <w:trHeight w:val="270" w:hRule="atLeast"/>
        </w:trPr>
        <w:tc>
          <w:tcPr>
            <w:tcW w:w="915" w:type="dxa"/>
          </w:tcPr>
          <w:p>
            <w:pPr>
              <w:pStyle w:val="TableParagraph"/>
              <w:spacing w:line="251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251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51" w:lineRule="exact"/>
              <w:ind w:left="76" w:right="117"/>
              <w:jc w:val="center"/>
              <w:rPr>
                <w:sz w:val="24"/>
              </w:rPr>
            </w:pPr>
            <w:r>
              <w:rPr>
                <w:sz w:val="24"/>
              </w:rPr>
              <w:t>-0.092</w:t>
            </w:r>
          </w:p>
        </w:tc>
        <w:tc>
          <w:tcPr>
            <w:tcW w:w="924" w:type="dxa"/>
          </w:tcPr>
          <w:p>
            <w:pPr>
              <w:pStyle w:val="TableParagraph"/>
              <w:spacing w:line="251" w:lineRule="exact"/>
              <w:ind w:left="122" w:right="141"/>
              <w:jc w:val="center"/>
              <w:rPr>
                <w:sz w:val="24"/>
              </w:rPr>
            </w:pPr>
            <w:r>
              <w:rPr>
                <w:sz w:val="24"/>
              </w:rPr>
              <w:t>-0.075</w:t>
            </w:r>
          </w:p>
        </w:tc>
        <w:tc>
          <w:tcPr>
            <w:tcW w:w="1096" w:type="dxa"/>
          </w:tcPr>
          <w:p>
            <w:pPr>
              <w:pStyle w:val="TableParagraph"/>
              <w:spacing w:line="251" w:lineRule="exact"/>
              <w:ind w:left="165"/>
              <w:rPr>
                <w:sz w:val="24"/>
              </w:rPr>
            </w:pPr>
            <w:r>
              <w:rPr>
                <w:sz w:val="24"/>
              </w:rPr>
              <w:t>4.5026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0.875</w:t>
            </w:r>
          </w:p>
        </w:tc>
      </w:tr>
      <w:tr>
        <w:trPr>
          <w:trHeight w:val="281" w:hRule="atLeast"/>
        </w:trPr>
        <w:tc>
          <w:tcPr>
            <w:tcW w:w="915" w:type="dxa"/>
          </w:tcPr>
          <w:p>
            <w:pPr>
              <w:pStyle w:val="TableParagraph"/>
              <w:spacing w:line="251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gridSpan w:val="3"/>
          </w:tcPr>
          <w:p>
            <w:pPr>
              <w:pStyle w:val="TableParagraph"/>
              <w:tabs>
                <w:tab w:pos="1233" w:val="left" w:leader="none"/>
              </w:tabs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|</w:t>
              <w:tab/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1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  <w:gridSpan w:val="2"/>
          </w:tcPr>
          <w:p>
            <w:pPr>
              <w:pStyle w:val="TableParagraph"/>
              <w:spacing w:line="251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1" w:lineRule="exact"/>
              <w:ind w:left="76" w:right="117"/>
              <w:jc w:val="center"/>
              <w:rPr>
                <w:sz w:val="24"/>
              </w:rPr>
            </w:pPr>
            <w:r>
              <w:rPr>
                <w:sz w:val="24"/>
              </w:rPr>
              <w:t>-0.111</w:t>
            </w:r>
          </w:p>
        </w:tc>
        <w:tc>
          <w:tcPr>
            <w:tcW w:w="924" w:type="dxa"/>
          </w:tcPr>
          <w:p>
            <w:pPr>
              <w:pStyle w:val="TableParagraph"/>
              <w:spacing w:line="251" w:lineRule="exact"/>
              <w:ind w:left="122" w:right="141"/>
              <w:jc w:val="center"/>
              <w:rPr>
                <w:sz w:val="24"/>
              </w:rPr>
            </w:pPr>
            <w:r>
              <w:rPr>
                <w:sz w:val="24"/>
              </w:rPr>
              <w:t>-0.016</w:t>
            </w:r>
          </w:p>
        </w:tc>
        <w:tc>
          <w:tcPr>
            <w:tcW w:w="1096" w:type="dxa"/>
          </w:tcPr>
          <w:p>
            <w:pPr>
              <w:pStyle w:val="TableParagraph"/>
              <w:spacing w:line="251" w:lineRule="exact"/>
              <w:ind w:left="165"/>
              <w:rPr>
                <w:sz w:val="24"/>
              </w:rPr>
            </w:pPr>
            <w:r>
              <w:rPr>
                <w:sz w:val="24"/>
              </w:rPr>
              <w:t>5.1177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0.883</w:t>
            </w:r>
          </w:p>
        </w:tc>
      </w:tr>
      <w:tr>
        <w:trPr>
          <w:trHeight w:val="276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right="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1820" w:type="dxa"/>
            <w:gridSpan w:val="3"/>
          </w:tcPr>
          <w:p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  <w:gridSpan w:val="2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40"/>
              <w:jc w:val="center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64"/>
              <w:jc w:val="center"/>
              <w:rPr>
                <w:sz w:val="24"/>
              </w:rPr>
            </w:pPr>
            <w:r>
              <w:rPr>
                <w:sz w:val="24"/>
              </w:rPr>
              <w:t>0.057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5.2220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0.920</w:t>
            </w:r>
          </w:p>
        </w:tc>
      </w:tr>
      <w:tr>
        <w:trPr>
          <w:trHeight w:val="275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right="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1820" w:type="dxa"/>
            <w:gridSpan w:val="3"/>
          </w:tcPr>
          <w:p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  <w:gridSpan w:val="2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40"/>
              <w:jc w:val="center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141"/>
              <w:jc w:val="center"/>
              <w:rPr>
                <w:sz w:val="24"/>
              </w:rPr>
            </w:pPr>
            <w:r>
              <w:rPr>
                <w:sz w:val="24"/>
              </w:rPr>
              <w:t>-0.002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5.2616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0.949</w:t>
            </w:r>
          </w:p>
        </w:tc>
      </w:tr>
      <w:tr>
        <w:trPr>
          <w:trHeight w:val="275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gridSpan w:val="3"/>
          </w:tcPr>
          <w:p>
            <w:pPr>
              <w:pStyle w:val="TableParagraph"/>
              <w:tabs>
                <w:tab w:pos="1233" w:val="left" w:leader="none"/>
              </w:tabs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|</w:t>
              <w:tab/>
              <w:t>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|*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  <w:gridSpan w:val="2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40"/>
              <w:jc w:val="center"/>
              <w:rPr>
                <w:sz w:val="24"/>
              </w:rPr>
            </w:pPr>
            <w:r>
              <w:rPr>
                <w:sz w:val="24"/>
              </w:rPr>
              <w:t>0.111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64"/>
              <w:jc w:val="center"/>
              <w:rPr>
                <w:sz w:val="24"/>
              </w:rPr>
            </w:pPr>
            <w:r>
              <w:rPr>
                <w:sz w:val="24"/>
              </w:rPr>
              <w:t>0.096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5.9776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0.947</w:t>
            </w:r>
          </w:p>
        </w:tc>
      </w:tr>
      <w:tr>
        <w:trPr>
          <w:trHeight w:val="276" w:hRule="atLeast"/>
        </w:trPr>
        <w:tc>
          <w:tcPr>
            <w:tcW w:w="915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right="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1820" w:type="dxa"/>
            <w:gridSpan w:val="3"/>
          </w:tcPr>
          <w:p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</w:tcPr>
          <w:p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  <w:gridSpan w:val="2"/>
          </w:tcPr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76" w:right="40"/>
              <w:jc w:val="center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  <w:tc>
          <w:tcPr>
            <w:tcW w:w="924" w:type="dxa"/>
          </w:tcPr>
          <w:p>
            <w:pPr>
              <w:pStyle w:val="TableParagraph"/>
              <w:spacing w:line="256" w:lineRule="exact"/>
              <w:ind w:left="122" w:right="141"/>
              <w:jc w:val="center"/>
              <w:rPr>
                <w:sz w:val="24"/>
              </w:rPr>
            </w:pPr>
            <w:r>
              <w:rPr>
                <w:sz w:val="24"/>
              </w:rPr>
              <w:t>-0.038</w:t>
            </w:r>
          </w:p>
        </w:tc>
        <w:tc>
          <w:tcPr>
            <w:tcW w:w="1096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6.0600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0.965</w:t>
            </w:r>
          </w:p>
        </w:tc>
      </w:tr>
      <w:tr>
        <w:trPr>
          <w:trHeight w:val="381" w:hRule="atLeast"/>
        </w:trPr>
        <w:tc>
          <w:tcPr>
            <w:tcW w:w="91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1820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1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60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5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76" w:right="40"/>
              <w:jc w:val="center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92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22" w:right="64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09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6.0747</w:t>
            </w:r>
          </w:p>
        </w:tc>
        <w:tc>
          <w:tcPr>
            <w:tcW w:w="85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0.978</w:t>
            </w:r>
          </w:p>
        </w:tc>
      </w:tr>
    </w:tbl>
    <w:p>
      <w:pPr>
        <w:pStyle w:val="BodyText"/>
        <w:spacing w:before="1"/>
        <w:rPr>
          <w:sz w:val="26"/>
        </w:rPr>
      </w:pPr>
    </w:p>
    <w:p>
      <w:pPr>
        <w:pStyle w:val="Heading2"/>
        <w:spacing w:before="90"/>
        <w:ind w:left="1111"/>
      </w:pPr>
      <w:r>
        <w:rPr/>
        <w:pict>
          <v:shape style="position:absolute;margin-left:116.940002pt;margin-top:-63.686901pt;width:194.45pt;height:196.9pt;mso-position-horizontal-relative:page;mso-position-vertical-relative:paragraph;z-index:-25268224" coordorigin="2339,-1274" coordsize="3889,3938" path="m3369,2446l3367,2416,3362,2385,3353,2354,3340,2321,3324,2288,3304,2253,3281,2219,3255,2185,3224,2150,3191,2114,2711,1635,2708,1632,2701,1630,2697,1630,2693,1630,2689,1631,2680,1636,2669,1644,2657,1657,2649,1667,2644,1677,2642,1681,2641,1685,2642,1689,2644,1696,2647,1699,3127,2179,3152,2205,3174,2230,3194,2255,3210,2279,3225,2302,3236,2325,3246,2347,3253,2368,3257,2388,3259,2408,3258,2427,3255,2445,3250,2462,3242,2478,3231,2494,3218,2508,3204,2521,3189,2531,3172,2539,3155,2544,3137,2547,3118,2548,3098,2546,3077,2541,3056,2534,3033,2525,3010,2513,2986,2498,2961,2481,2936,2461,2910,2438,2883,2412,2409,1937,2405,1935,2398,1932,2395,1932,2391,1932,2387,1934,2377,1939,2366,1947,2354,1960,2346,1970,2343,1976,2340,1984,2339,1988,2339,1991,2342,1998,2344,2002,2831,2489,2867,2523,2902,2553,2937,2580,2971,2603,3004,2622,3037,2637,3068,2649,3098,2657,3128,2662,3157,2663,3184,2661,3211,2656,3236,2647,3260,2635,3282,2620,3303,2601,3323,2578,3340,2555,3352,2529,3361,2503,3367,2475,3369,2446xm3958,1913l3956,1901,3954,1894,3946,1879,3940,1871,3932,1863,3209,1140,3207,1138,3200,1136,3195,1135,3187,1136,3182,1139,3167,1150,3155,1162,3143,1178,3141,1182,3139,1191,3140,1195,3143,1202,3145,1205,3571,1631,3770,1828,3770,1829,3696,1790,3543,1711,3482,1681,3385,1633,3081,1481,2993,1436,2972,1427,2951,1419,2940,1416,2931,1415,2923,1415,2914,1416,2901,1422,2893,1428,2847,1473,2845,1483,2846,1495,2848,1505,2853,1516,2861,1527,2872,1538,3591,2258,3597,2263,3605,2266,3608,2267,3612,2265,3616,2265,3626,2260,3631,2256,3636,2252,3649,2239,3654,2233,3657,2228,3662,2219,3663,2215,3664,2211,3664,2207,3662,2203,3661,2199,3659,2197,3141,1678,3005,1546,3006,1545,3076,1583,3150,1622,3344,1719,3567,1829,3804,1948,3818,1954,3842,1964,3857,1970,3869,1973,3879,1974,3890,1976,3899,1975,3906,1972,3913,1969,3920,1965,3952,1933,3954,1929,3958,1918,3958,1913xm4162,1713l4162,1709,4159,1702,4157,1699,4154,1696,3402,944,3399,942,3391,939,3388,939,3384,940,3376,943,3370,946,3360,954,3348,966,3340,976,3335,986,3333,990,3332,994,3332,998,3335,1005,3337,1009,4092,1764,4095,1766,4102,1769,4106,1769,4109,1768,4114,1767,4124,1762,4135,1754,4147,1741,4155,1731,4160,1721,4161,1717,4162,1713xm4485,1387l4483,1377,4481,1373,4477,1367,4434,1300,3899,464,3889,453,3884,450,3880,448,3875,447,3870,448,3864,452,3853,461,3831,482,3823,493,3821,497,3820,506,3820,510,3824,518,3873,593,4349,1318,4349,1319,4283,1275,3553,802,3544,796,3540,794,3536,793,3524,794,3520,796,3511,803,3489,824,3474,843,3472,848,3474,859,3476,864,3482,869,3488,874,3507,888,3575,931,4391,1453,4398,1457,4401,1458,4404,1460,4407,1460,4414,1461,4417,1460,4420,1459,4427,1457,4430,1454,4443,1445,4471,1417,4480,1406,4482,1401,4485,1391,4485,1387xm4997,879l4996,872,4991,862,4987,857,4971,838,4964,831,4956,823,4937,806,4923,799,4916,798,4912,798,4909,799,4715,994,4435,715,4601,550,4602,547,4602,541,4601,537,4598,529,4594,524,4578,506,4563,491,4545,474,4539,470,4531,466,4526,465,4519,465,4517,466,4352,631,4107,386,4299,194,4300,192,4300,185,4299,181,4295,172,4291,166,4286,160,4275,148,4260,133,4247,121,4236,113,4226,108,4223,107,4215,107,4213,108,3974,346,3972,355,3973,366,3975,375,3980,385,3988,396,3998,407,4694,1103,4705,1113,4716,1121,4725,1125,4734,1127,4746,1129,4754,1127,4996,885,4997,883,4997,879xm5431,444l5430,441,5429,438,5427,435,5424,431,5421,428,5418,425,5413,421,5406,416,5369,392,5185,283,5167,272,5135,254,5118,244,5085,226,5070,219,5056,212,5042,206,5028,200,5015,196,5002,193,4990,190,4981,188,4978,188,4967,187,4956,186,4946,187,4935,188,4940,172,4942,154,4944,137,4945,120,4944,103,4942,85,4938,67,4933,49,4926,31,4918,12,4909,-6,4897,-25,4884,-44,4869,-63,4852,-82,4848,-87,4848,126,4846,140,4843,155,4837,169,4830,183,4820,196,4809,209,4745,272,4483,9,4537,-45,4546,-54,4555,-62,4563,-69,4570,-75,4579,-81,4588,-86,4597,-90,4619,-95,4641,-97,4663,-94,4685,-87,4708,-76,4730,-62,4753,-44,4776,-22,4789,-8,4802,6,4813,21,4823,36,4831,51,4838,66,4843,81,4846,96,4848,111,4848,126,4848,-87,4838,-97,4834,-102,4813,-121,4793,-139,4773,-155,4752,-169,4732,-181,4712,-191,4691,-199,4671,-206,4651,-210,4631,-213,4611,-213,4592,-212,4573,-209,4554,-203,4536,-196,4517,-187,4510,-182,4501,-175,4492,-169,4485,-162,4477,-156,4469,-148,4460,-139,4408,-87,4356,-36,4351,-30,4348,-21,4349,-10,4352,-1,4357,9,4364,19,4375,31,5100,756,5103,759,5107,760,5110,761,5113,761,5117,760,5122,759,5126,757,5132,754,5136,751,5142,746,5155,733,5159,728,5163,723,5166,717,5168,713,5168,709,5169,705,5170,702,5168,698,5167,695,5164,691,4931,458,4829,356,4851,334,4872,313,4884,303,4896,295,4908,289,4921,285,4934,283,4948,283,4963,284,4978,287,4993,291,5010,297,5026,304,5043,312,5061,321,5079,331,5098,342,5117,354,5289,458,5346,493,5352,497,5357,499,5362,501,5366,503,5370,503,5375,503,5380,502,5384,500,5389,497,5394,493,5400,488,5414,475,5419,468,5423,463,5427,458,5429,453,5431,444xm5698,113l5696,87,5691,61,5683,34,5672,7,5659,-20,5642,-48,5622,-75,5600,-103,5574,-130,5551,-152,5528,-171,5505,-188,5483,-202,5462,-213,5441,-222,5420,-229,5399,-236,5379,-239,5359,-242,5339,-243,5320,-243,5301,-242,5282,-241,5246,-236,5192,-228,5157,-224,5140,-223,5123,-222,5106,-223,5089,-225,5073,-229,5056,-233,5039,-240,5023,-248,5007,-258,4990,-271,4974,-287,4963,-298,4953,-309,4945,-321,4937,-334,4930,-346,4924,-358,4920,-371,4917,-383,4915,-395,4915,-407,4916,-419,4918,-431,4922,-443,4928,-454,4936,-464,4945,-475,4957,-485,4968,-494,4980,-501,4993,-506,5006,-510,5019,-513,5031,-515,5043,-517,5065,-518,5095,-519,5102,-521,5107,-526,5107,-531,5105,-538,5094,-553,5084,-565,5057,-592,5046,-601,5034,-611,5027,-615,5014,-619,5008,-620,4998,-620,4984,-619,4973,-618,4963,-616,4941,-611,4930,-607,4919,-602,4909,-597,4898,-592,4888,-586,4878,-579,4870,-571,4861,-563,4846,-547,4834,-529,4824,-511,4816,-491,4810,-470,4807,-449,4806,-427,4808,-405,4813,-381,4820,-358,4829,-334,4842,-310,4857,-285,4874,-260,4895,-235,4918,-211,4941,-188,4964,-169,4987,-153,5009,-140,5031,-128,5052,-118,5073,-111,5093,-105,5113,-100,5133,-97,5153,-96,5172,-96,5191,-96,5210,-98,5246,-102,5317,-113,5335,-114,5352,-115,5368,-116,5385,-115,5401,-113,5418,-109,5435,-105,5451,-98,5468,-90,5484,-79,5501,-67,5517,-51,5532,-36,5545,-20,5556,-5,5565,10,5573,26,5579,41,5584,56,5587,70,5588,85,5588,99,5586,113,5582,126,5577,139,5571,152,5562,163,5553,174,5538,187,5524,198,5509,206,5493,212,5477,217,5462,221,5448,224,5434,226,5421,228,5409,228,5397,229,5374,228,5365,230,5360,235,5359,238,5359,244,5360,247,5365,257,5369,262,5387,282,5405,300,5413,307,5421,313,5428,318,5436,325,5445,329,5453,331,5460,333,5471,333,5496,332,5508,330,5520,328,5533,325,5546,321,5559,317,5573,311,5586,304,5600,296,5613,287,5626,277,5638,266,5654,248,5668,228,5680,207,5689,185,5695,162,5698,138,5698,113xm5942,-68l5942,-71,5940,-78,5937,-81,5934,-84,5182,-836,5179,-839,5172,-841,5168,-842,5164,-841,5156,-838,5151,-835,5140,-827,5128,-814,5124,-809,5120,-804,5115,-794,5114,-790,5113,-786,5113,-782,5115,-775,5117,-771,5872,-17,5876,-14,5883,-11,5886,-11,5890,-13,5894,-13,5904,-19,5915,-27,5927,-39,5935,-50,5938,-55,5940,-59,5942,-68xm6227,-352l6227,-356,6224,-363,6222,-366,5542,-1046,5681,-1184,5683,-1187,5683,-1191,5682,-1198,5679,-1203,5677,-1207,5673,-1212,5657,-1231,5649,-1239,5641,-1247,5622,-1264,5616,-1268,5607,-1273,5603,-1274,5596,-1274,5593,-1273,5251,-930,5250,-928,5250,-924,5250,-921,5251,-917,5256,-908,5260,-902,5265,-896,5271,-889,5277,-882,5292,-867,5299,-861,5306,-856,5311,-851,5317,-847,5326,-842,5329,-841,5336,-841,5339,-842,5478,-981,6157,-301,6161,-299,6168,-296,6171,-296,6175,-297,6179,-298,6189,-303,6200,-312,6212,-324,6217,-330,6220,-335,6225,-344,6226,-349,6227,-35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20.140007pt;margin-top:23.503103pt;width:339.3pt;height:2.2pt;mso-position-horizontal-relative:page;mso-position-vertical-relative:paragraph;z-index:15892992" coordorigin="2403,470" coordsize="6786,44" path="m4568,499l2403,499,2403,513,4568,513,4568,499xm4568,470l2403,470,2403,484,4568,484,4568,470xm8147,499l6959,499,6877,499,6877,499,5689,499,5607,499,4650,499,4568,499,4568,513,4650,513,5607,513,5689,513,6877,513,6877,513,6959,513,8147,513,8147,499xm8147,470l6959,470,6877,470,6877,470,5689,470,5607,470,4650,470,4568,470,4568,484,4650,484,5607,484,5689,484,6877,484,6877,484,6959,484,8147,484,8147,470xm9189,499l8229,499,8147,499,8147,513,8229,513,9189,513,9189,499xm9189,470l8229,470,8147,470,8147,484,8229,484,9189,484,9189,470xe" filled="true" fillcolor="#000000" stroked="false">
            <v:path arrowok="t"/>
            <v:fill type="solid"/>
            <w10:wrap type="none"/>
          </v:shape>
        </w:pict>
      </w:r>
      <w:r>
        <w:rPr/>
        <w:t>A2:</w:t>
      </w:r>
      <w:r>
        <w:rPr>
          <w:spacing w:val="-4"/>
        </w:rPr>
        <w:t> </w:t>
      </w:r>
      <w:r>
        <w:rPr/>
        <w:t>Normality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Jarque-Bera</w:t>
      </w:r>
      <w:r>
        <w:rPr>
          <w:spacing w:val="-1"/>
        </w:rPr>
        <w:t> </w:t>
      </w:r>
      <w:r>
        <w:rPr/>
        <w:t>Statistic:</w:t>
      </w:r>
    </w:p>
    <w:p>
      <w:pPr>
        <w:pStyle w:val="BodyText"/>
        <w:tabs>
          <w:tab w:pos="3586" w:val="left" w:leader="none"/>
          <w:tab w:pos="4556" w:val="left" w:leader="none"/>
          <w:tab w:pos="7827" w:val="right" w:leader="none"/>
        </w:tabs>
        <w:spacing w:before="250"/>
        <w:ind w:left="1111"/>
      </w:pPr>
      <w:r>
        <w:rPr/>
        <w:pict>
          <v:shape style="position:absolute;margin-left:120.140007pt;margin-top:31.743105pt;width:339.3pt;height:2.2pt;mso-position-horizontal-relative:page;mso-position-vertical-relative:paragraph;z-index:15893504" coordorigin="2403,635" coordsize="6786,44" path="m4568,664l2403,664,2403,678,4568,678,4568,664xm4568,635l2403,635,2403,649,4568,649,4568,635xm8147,664l6921,664,6877,664,6877,664,5651,664,5607,664,4611,664,4568,664,4568,678,4611,678,5607,678,5651,678,6877,678,6877,678,6921,678,8147,678,8147,664xm8147,635l6921,635,6877,635,6877,635,5651,635,5607,635,4611,635,4568,635,4568,649,4611,649,5607,649,5651,649,6877,649,6877,649,6921,649,8147,649,8147,635xm9189,664l8190,664,8147,664,8147,678,8190,678,9189,678,9189,664xm9189,635l8190,635,8147,635,8147,649,8190,649,9189,649,9189,635xe" filled="true" fillcolor="#000000" stroked="false">
            <v:path arrowok="t"/>
            <v:fill type="solid"/>
            <w10:wrap type="none"/>
          </v:shape>
        </w:pict>
      </w:r>
      <w:r>
        <w:rPr/>
        <w:t>F-statistic</w:t>
        <w:tab/>
        <w:t>0.2870</w:t>
        <w:tab/>
        <w:t>Probability</w:t>
        <w:tab/>
        <w:t>0.8663</w:t>
      </w:r>
    </w:p>
    <w:p>
      <w:pPr>
        <w:pStyle w:val="Heading2"/>
        <w:spacing w:before="259"/>
        <w:ind w:left="1111"/>
      </w:pPr>
      <w:r>
        <w:rPr/>
        <w:pict>
          <v:rect style="position:absolute;margin-left:120.139999pt;margin-top:31.95311pt;width:108.26pt;height:.72003pt;mso-position-horizontal-relative:page;mso-position-vertical-relative:paragraph;z-index:-1556582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20.139999pt;margin-top:98.91317pt;width:108.26pt;height:.71997pt;mso-position-horizontal-relative:page;mso-position-vertical-relative:paragraph;z-index:-25266176" filled="true" fillcolor="#000000" stroked="false">
            <v:fill type="solid"/>
            <w10:wrap type="none"/>
          </v:rect>
        </w:pict>
      </w:r>
      <w:r>
        <w:rPr/>
        <w:t>A3:</w:t>
      </w:r>
      <w:r>
        <w:rPr>
          <w:spacing w:val="54"/>
        </w:rPr>
        <w:t> </w:t>
      </w:r>
      <w:r>
        <w:rPr/>
        <w:t>Breusch-Godfrey</w:t>
      </w:r>
      <w:r>
        <w:rPr>
          <w:spacing w:val="-1"/>
        </w:rPr>
        <w:t> </w:t>
      </w:r>
      <w:r>
        <w:rPr/>
        <w:t>Serial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LM</w:t>
      </w:r>
      <w:r>
        <w:rPr>
          <w:spacing w:val="-1"/>
        </w:rPr>
        <w:t> </w:t>
      </w:r>
      <w:r>
        <w:rPr/>
        <w:t>Test:</w:t>
      </w:r>
    </w:p>
    <w:tbl>
      <w:tblPr>
        <w:tblW w:w="0" w:type="auto"/>
        <w:jc w:val="left"/>
        <w:tblInd w:w="1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1875"/>
        <w:gridCol w:w="1591"/>
      </w:tblGrid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1.115775</w:t>
            </w:r>
          </w:p>
        </w:tc>
        <w:tc>
          <w:tcPr>
            <w:tcW w:w="187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0.345507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3.039060</w:t>
            </w:r>
          </w:p>
        </w:tc>
        <w:tc>
          <w:tcPr>
            <w:tcW w:w="187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0.218815</w:t>
            </w:r>
          </w:p>
        </w:tc>
      </w:tr>
      <w:tr>
        <w:trPr>
          <w:trHeight w:val="500" w:hRule="atLeast"/>
        </w:trPr>
        <w:tc>
          <w:tcPr>
            <w:tcW w:w="2165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A4: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ARCH Test:</w:t>
            </w:r>
          </w:p>
        </w:tc>
        <w:tc>
          <w:tcPr>
            <w:tcW w:w="115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0.247151</w:t>
            </w:r>
          </w:p>
        </w:tc>
        <w:tc>
          <w:tcPr>
            <w:tcW w:w="187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0.622712</w:t>
            </w:r>
          </w:p>
        </w:tc>
      </w:tr>
      <w:tr>
        <w:trPr>
          <w:trHeight w:val="378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0.261474</w:t>
            </w:r>
          </w:p>
        </w:tc>
        <w:tc>
          <w:tcPr>
            <w:tcW w:w="187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0.609109</w:t>
            </w:r>
          </w:p>
        </w:tc>
      </w:tr>
      <w:tr>
        <w:trPr>
          <w:trHeight w:val="499" w:hRule="atLeast"/>
        </w:trPr>
        <w:tc>
          <w:tcPr>
            <w:tcW w:w="6784" w:type="dxa"/>
            <w:gridSpan w:val="4"/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A5: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Heteroskedasticity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0.246769</w:t>
            </w:r>
          </w:p>
        </w:tc>
        <w:tc>
          <w:tcPr>
            <w:tcW w:w="187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0.996039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6.531574</w:t>
            </w:r>
          </w:p>
        </w:tc>
        <w:tc>
          <w:tcPr>
            <w:tcW w:w="187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0.981270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BodyText"/>
        <w:spacing w:before="4" w:after="1"/>
        <w:rPr>
          <w:b/>
          <w:sz w:val="19"/>
        </w:rPr>
      </w:pPr>
      <w:r>
        <w:rPr/>
        <w:pict>
          <v:line style="position:absolute;mso-position-horizontal-relative:page;mso-position-vertical-relative:page;z-index:-25264128" from="126.471024pt,381.476654pt" to="129.337961pt,381.476654pt" stroked="true" strokeweight=".3665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263616" from="126.471024pt,352.108032pt" to="129.337961pt,352.108032pt" stroked="true" strokeweight=".366511pt" strokecolor="#000000">
            <v:stroke dashstyle="solid"/>
            <w10:wrap type="none"/>
          </v:line>
        </w:pict>
      </w:r>
      <w:r>
        <w:rPr/>
        <w:pict>
          <v:shape style="position:absolute;margin-left:126.471024pt;margin-top:322.743347pt;width:195.8pt;height:.1pt;mso-position-horizontal-relative:page;mso-position-vertical-relative:page;z-index:-25263104" coordorigin="2529,6455" coordsize="3916,0" path="m2529,6455l2587,6455m2593,6455l6445,6455e" filled="false" stroked="true" strokeweight=".408951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1926431</wp:posOffset>
            </wp:positionH>
            <wp:positionV relativeFrom="page">
              <wp:posOffset>5059921</wp:posOffset>
            </wp:positionV>
            <wp:extent cx="1882452" cy="135350"/>
            <wp:effectExtent l="0" t="0" r="0" b="0"/>
            <wp:wrapNone/>
            <wp:docPr id="30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5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610001pt;margin-top:427.163452pt;width:431pt;height:196.05pt;mso-position-horizontal-relative:page;mso-position-vertical-relative:page;z-index:-25260032" coordorigin="2132,8543" coordsize="8620,3921">
            <v:shape style="position:absolute;left:2132;top:8543;width:8620;height:3921" type="#_x0000_t75" stroked="false">
              <v:imagedata r:id="rId45" o:title=""/>
            </v:shape>
            <v:shape style="position:absolute;left:4132;top:11958;width:1313;height:245" type="#_x0000_t202" filled="false" stroked="true" strokeweight=".383001pt" strokecolor="#000000">
              <v:textbox inset="0,0,0,0">
                <w:txbxContent>
                  <w:p>
                    <w:pPr>
                      <w:spacing w:before="35"/>
                      <w:ind w:left="459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DLFABTF</w:t>
                    </w:r>
                  </w:p>
                </w:txbxContent>
              </v:textbox>
              <v:stroke dashstyle="solid"/>
              <w10:wrap type="none"/>
            </v:shape>
            <v:shape style="position:absolute;left:2374;top:8709;width:176;height:2908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9"/>
                        <w:sz w:val="15"/>
                      </w:rPr>
                      <w:t>4</w:t>
                    </w: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0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9"/>
                        <w:sz w:val="15"/>
                      </w:rPr>
                      <w:t>3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9"/>
                        <w:sz w:val="15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9"/>
                        <w:sz w:val="15"/>
                      </w:rPr>
                      <w:t>1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9"/>
                        <w:sz w:val="15"/>
                      </w:rPr>
                      <w:t>0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-1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-2</w:t>
                    </w:r>
                  </w:p>
                  <w:p>
                    <w:pPr>
                      <w:spacing w:line="240" w:lineRule="auto" w:before="11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2705;top:11632;width:4464;height:170" type="#_x0000_t202" filled="false" stroked="false">
              <v:textbox inset="0,0,0,0">
                <w:txbxContent>
                  <w:p>
                    <w:pPr>
                      <w:tabs>
                        <w:tab w:pos="672" w:val="left" w:leader="none"/>
                        <w:tab w:pos="1346" w:val="left" w:leader="none"/>
                        <w:tab w:pos="2019" w:val="left" w:leader="none"/>
                        <w:tab w:pos="2692" w:val="left" w:leader="none"/>
                        <w:tab w:pos="3365" w:val="left" w:leader="none"/>
                        <w:tab w:pos="4039" w:val="left" w:leader="none"/>
                      </w:tabs>
                      <w:spacing w:line="170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1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1875"/>
        <w:gridCol w:w="1591"/>
      </w:tblGrid>
      <w:tr>
        <w:trPr>
          <w:trHeight w:val="935" w:hRule="atLeast"/>
        </w:trPr>
        <w:tc>
          <w:tcPr>
            <w:tcW w:w="6784" w:type="dxa"/>
            <w:gridSpan w:val="4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Stability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B1: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2.311527</w:t>
            </w:r>
          </w:p>
        </w:tc>
        <w:tc>
          <w:tcPr>
            <w:tcW w:w="187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0.142047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3.160267</w:t>
            </w:r>
          </w:p>
        </w:tc>
        <w:tc>
          <w:tcPr>
            <w:tcW w:w="187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0.075451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90"/>
        <w:ind w:left="1063" w:right="0" w:firstLine="0"/>
        <w:jc w:val="left"/>
        <w:rPr>
          <w:b/>
          <w:sz w:val="24"/>
        </w:rPr>
      </w:pPr>
      <w:r>
        <w:rPr/>
        <w:pict>
          <v:group style="position:absolute;margin-left:106.610008pt;margin-top:-1.656887pt;width:412.1pt;height:397.2pt;mso-position-horizontal-relative:page;mso-position-vertical-relative:paragraph;z-index:-25265152" coordorigin="2132,-33" coordsize="8242,7944">
            <v:shape style="position:absolute;left:2338;top:-34;width:8035;height:7944" type="#_x0000_t75" stroked="false">
              <v:imagedata r:id="rId43" o:title=""/>
            </v:shape>
            <v:rect style="position:absolute;left:2132;top:1126;width:4588;height:3177" filled="true" fillcolor="#ffffff" stroked="false">
              <v:fill type="solid"/>
            </v:rect>
            <w10:wrap type="none"/>
          </v:group>
        </w:pict>
      </w:r>
      <w:r>
        <w:rPr/>
        <w:pict>
          <v:rect style="position:absolute;margin-left:120.139999pt;margin-top:-66.736877pt;width:108.26pt;height:.71999pt;mso-position-horizontal-relative:page;mso-position-vertical-relative:paragraph;z-index:-25264640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5262592" from="126.471024pt,94.377846pt" to="129.337961pt,94.377846pt" stroked="true" strokeweight=".3665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62080" from="126.471024pt,65.009224pt" to="129.337961pt,65.009224pt" stroked="true" strokeweight=".366511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1638979</wp:posOffset>
            </wp:positionH>
            <wp:positionV relativeFrom="paragraph">
              <wp:posOffset>818630</wp:posOffset>
            </wp:positionV>
            <wp:extent cx="2456130" cy="1533525"/>
            <wp:effectExtent l="0" t="0" r="0" b="0"/>
            <wp:wrapNone/>
            <wp:docPr id="3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13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4403852</wp:posOffset>
            </wp:positionH>
            <wp:positionV relativeFrom="paragraph">
              <wp:posOffset>715177</wp:posOffset>
            </wp:positionV>
            <wp:extent cx="2806872" cy="2028825"/>
            <wp:effectExtent l="0" t="0" r="0" b="0"/>
            <wp:wrapNone/>
            <wp:docPr id="31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72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B2: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Recursive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Estimates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5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905"/>
      </w:tblGrid>
      <w:tr>
        <w:trPr>
          <w:trHeight w:val="416" w:hRule="atLeast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80" w:lineRule="atLeast" w:before="36"/>
              <w:ind w:left="89" w:right="731"/>
              <w:rPr>
                <w:rFonts w:ascii="Arial MT"/>
                <w:sz w:val="15"/>
              </w:rPr>
            </w:pPr>
            <w:r>
              <w:rPr>
                <w:rFonts w:ascii="Arial MT"/>
                <w:w w:val="120"/>
                <w:sz w:val="15"/>
              </w:rPr>
              <w:t>Forecast:</w:t>
            </w:r>
            <w:r>
              <w:rPr>
                <w:rFonts w:ascii="Arial MT"/>
                <w:spacing w:val="-10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DLFABTF</w:t>
            </w:r>
            <w:r>
              <w:rPr>
                <w:rFonts w:ascii="Arial MT"/>
                <w:spacing w:val="-47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Actual:</w:t>
            </w:r>
            <w:r>
              <w:rPr>
                <w:rFonts w:ascii="Arial MT"/>
                <w:spacing w:val="-11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DLFABT</w:t>
            </w:r>
          </w:p>
        </w:tc>
        <w:tc>
          <w:tcPr>
            <w:tcW w:w="90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7" w:hRule="atLeast"/>
        </w:trPr>
        <w:tc>
          <w:tcPr>
            <w:tcW w:w="24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"/>
              <w:ind w:left="89"/>
              <w:rPr>
                <w:rFonts w:ascii="Arial MT"/>
                <w:sz w:val="15"/>
              </w:rPr>
            </w:pPr>
            <w:r>
              <w:rPr>
                <w:rFonts w:ascii="Arial MT"/>
                <w:w w:val="120"/>
                <w:sz w:val="15"/>
              </w:rPr>
              <w:t>Forecast</w:t>
            </w:r>
            <w:r>
              <w:rPr>
                <w:rFonts w:ascii="Arial MT"/>
                <w:spacing w:val="-11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sample:</w:t>
            </w:r>
            <w:r>
              <w:rPr>
                <w:rFonts w:ascii="Arial MT"/>
                <w:spacing w:val="-11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1975</w:t>
            </w:r>
            <w:r>
              <w:rPr>
                <w:rFonts w:ascii="Arial MT"/>
                <w:spacing w:val="-4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2012</w:t>
            </w:r>
          </w:p>
          <w:p>
            <w:pPr>
              <w:pStyle w:val="TableParagraph"/>
              <w:spacing w:before="15"/>
              <w:ind w:left="89"/>
              <w:rPr>
                <w:rFonts w:ascii="Arial MT"/>
                <w:sz w:val="15"/>
              </w:rPr>
            </w:pPr>
            <w:r>
              <w:rPr>
                <w:rFonts w:ascii="Arial MT"/>
                <w:spacing w:val="-1"/>
                <w:w w:val="120"/>
                <w:sz w:val="15"/>
              </w:rPr>
              <w:t>Adjusted</w:t>
            </w:r>
            <w:r>
              <w:rPr>
                <w:rFonts w:ascii="Arial MT"/>
                <w:spacing w:val="-4"/>
                <w:w w:val="120"/>
                <w:sz w:val="15"/>
              </w:rPr>
              <w:t> </w:t>
            </w:r>
            <w:r>
              <w:rPr>
                <w:rFonts w:ascii="Arial MT"/>
                <w:spacing w:val="-1"/>
                <w:w w:val="120"/>
                <w:sz w:val="15"/>
              </w:rPr>
              <w:t>sample:</w:t>
            </w:r>
            <w:r>
              <w:rPr>
                <w:rFonts w:ascii="Arial MT"/>
                <w:spacing w:val="-10"/>
                <w:w w:val="120"/>
                <w:sz w:val="15"/>
              </w:rPr>
              <w:t> </w:t>
            </w:r>
            <w:r>
              <w:rPr>
                <w:rFonts w:ascii="Arial MT"/>
                <w:spacing w:val="-1"/>
                <w:w w:val="120"/>
                <w:sz w:val="15"/>
              </w:rPr>
              <w:t>1978</w:t>
            </w:r>
            <w:r>
              <w:rPr>
                <w:rFonts w:ascii="Arial MT"/>
                <w:spacing w:val="-4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2010</w:t>
            </w:r>
          </w:p>
          <w:p>
            <w:pPr>
              <w:pStyle w:val="TableParagraph"/>
              <w:spacing w:before="16"/>
              <w:ind w:left="89"/>
              <w:rPr>
                <w:rFonts w:ascii="Arial MT"/>
                <w:sz w:val="15"/>
              </w:rPr>
            </w:pPr>
            <w:r>
              <w:rPr>
                <w:rFonts w:ascii="Arial MT"/>
                <w:spacing w:val="-3"/>
                <w:w w:val="120"/>
                <w:sz w:val="15"/>
              </w:rPr>
              <w:t>Included observations:</w:t>
            </w:r>
            <w:r>
              <w:rPr>
                <w:rFonts w:ascii="Arial MT"/>
                <w:spacing w:val="-9"/>
                <w:w w:val="120"/>
                <w:sz w:val="15"/>
              </w:rPr>
              <w:t> </w:t>
            </w:r>
            <w:r>
              <w:rPr>
                <w:rFonts w:ascii="Arial MT"/>
                <w:spacing w:val="-2"/>
                <w:w w:val="120"/>
                <w:sz w:val="15"/>
              </w:rPr>
              <w:t>33</w:t>
            </w:r>
          </w:p>
        </w:tc>
        <w:tc>
          <w:tcPr>
            <w:tcW w:w="90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4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2" w:lineRule="exact" w:before="99"/>
              <w:ind w:left="8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20"/>
                <w:sz w:val="15"/>
              </w:rPr>
              <w:t>Root</w:t>
            </w:r>
            <w:r>
              <w:rPr>
                <w:rFonts w:ascii="Arial MT"/>
                <w:spacing w:val="-11"/>
                <w:w w:val="120"/>
                <w:sz w:val="15"/>
              </w:rPr>
              <w:t> </w:t>
            </w:r>
            <w:r>
              <w:rPr>
                <w:rFonts w:ascii="Arial MT"/>
                <w:spacing w:val="-1"/>
                <w:w w:val="120"/>
                <w:sz w:val="15"/>
              </w:rPr>
              <w:t>Mean</w:t>
            </w:r>
            <w:r>
              <w:rPr>
                <w:rFonts w:ascii="Arial MT"/>
                <w:spacing w:val="-15"/>
                <w:w w:val="120"/>
                <w:sz w:val="15"/>
              </w:rPr>
              <w:t> </w:t>
            </w:r>
            <w:r>
              <w:rPr>
                <w:rFonts w:ascii="Arial MT"/>
                <w:spacing w:val="-1"/>
                <w:w w:val="120"/>
                <w:sz w:val="15"/>
              </w:rPr>
              <w:t>Squared</w:t>
            </w:r>
            <w:r>
              <w:rPr>
                <w:rFonts w:ascii="Arial MT"/>
                <w:spacing w:val="-5"/>
                <w:w w:val="120"/>
                <w:sz w:val="15"/>
              </w:rPr>
              <w:t> </w:t>
            </w:r>
            <w:r>
              <w:rPr>
                <w:rFonts w:ascii="Arial MT"/>
                <w:spacing w:val="-1"/>
                <w:w w:val="120"/>
                <w:sz w:val="15"/>
              </w:rPr>
              <w:t>Error</w:t>
            </w:r>
          </w:p>
        </w:tc>
        <w:tc>
          <w:tcPr>
            <w:tcW w:w="9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9"/>
              <w:ind w:left="60" w:right="4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20"/>
                <w:sz w:val="15"/>
              </w:rPr>
              <w:t>0.166715</w:t>
            </w:r>
          </w:p>
        </w:tc>
      </w:tr>
      <w:tr>
        <w:trPr>
          <w:trHeight w:val="188" w:hRule="atLeast"/>
        </w:trPr>
        <w:tc>
          <w:tcPr>
            <w:tcW w:w="24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2" w:lineRule="exact" w:before="6"/>
              <w:ind w:left="8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20"/>
                <w:sz w:val="15"/>
              </w:rPr>
              <w:t>Mean</w:t>
            </w:r>
            <w:r>
              <w:rPr>
                <w:rFonts w:ascii="Arial MT"/>
                <w:spacing w:val="-15"/>
                <w:w w:val="120"/>
                <w:sz w:val="15"/>
              </w:rPr>
              <w:t> </w:t>
            </w:r>
            <w:r>
              <w:rPr>
                <w:rFonts w:ascii="Arial MT"/>
                <w:spacing w:val="-2"/>
                <w:w w:val="120"/>
                <w:sz w:val="15"/>
              </w:rPr>
              <w:t>Absolute</w:t>
            </w:r>
            <w:r>
              <w:rPr>
                <w:rFonts w:ascii="Arial MT"/>
                <w:spacing w:val="-5"/>
                <w:w w:val="120"/>
                <w:sz w:val="15"/>
              </w:rPr>
              <w:t> </w:t>
            </w:r>
            <w:r>
              <w:rPr>
                <w:rFonts w:ascii="Arial MT"/>
                <w:spacing w:val="-1"/>
                <w:w w:val="120"/>
                <w:sz w:val="15"/>
              </w:rPr>
              <w:t>Error</w:t>
            </w:r>
          </w:p>
        </w:tc>
        <w:tc>
          <w:tcPr>
            <w:tcW w:w="9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2" w:lineRule="exact" w:before="6"/>
              <w:ind w:left="60" w:right="4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20"/>
                <w:sz w:val="15"/>
              </w:rPr>
              <w:t>0.135977</w:t>
            </w:r>
          </w:p>
        </w:tc>
      </w:tr>
      <w:tr>
        <w:trPr>
          <w:trHeight w:val="187" w:hRule="atLeast"/>
        </w:trPr>
        <w:tc>
          <w:tcPr>
            <w:tcW w:w="24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1" w:lineRule="exact" w:before="6"/>
              <w:ind w:left="89"/>
              <w:rPr>
                <w:rFonts w:ascii="Arial MT"/>
                <w:sz w:val="15"/>
              </w:rPr>
            </w:pPr>
            <w:r>
              <w:rPr>
                <w:rFonts w:ascii="Arial MT"/>
                <w:spacing w:val="-1"/>
                <w:w w:val="120"/>
                <w:sz w:val="15"/>
              </w:rPr>
              <w:t>Mean</w:t>
            </w:r>
            <w:r>
              <w:rPr>
                <w:rFonts w:ascii="Arial MT"/>
                <w:spacing w:val="-15"/>
                <w:w w:val="120"/>
                <w:sz w:val="15"/>
              </w:rPr>
              <w:t> </w:t>
            </w:r>
            <w:r>
              <w:rPr>
                <w:rFonts w:ascii="Arial MT"/>
                <w:spacing w:val="-1"/>
                <w:w w:val="120"/>
                <w:sz w:val="15"/>
              </w:rPr>
              <w:t>Abs.</w:t>
            </w:r>
            <w:r>
              <w:rPr>
                <w:rFonts w:ascii="Arial MT"/>
                <w:spacing w:val="-10"/>
                <w:w w:val="120"/>
                <w:sz w:val="15"/>
              </w:rPr>
              <w:t> </w:t>
            </w:r>
            <w:r>
              <w:rPr>
                <w:rFonts w:ascii="Arial MT"/>
                <w:spacing w:val="-1"/>
                <w:w w:val="120"/>
                <w:sz w:val="15"/>
              </w:rPr>
              <w:t>Percent</w:t>
            </w:r>
            <w:r>
              <w:rPr>
                <w:rFonts w:ascii="Arial MT"/>
                <w:spacing w:val="-10"/>
                <w:w w:val="120"/>
                <w:sz w:val="15"/>
              </w:rPr>
              <w:t> </w:t>
            </w:r>
            <w:r>
              <w:rPr>
                <w:rFonts w:ascii="Arial MT"/>
                <w:spacing w:val="-1"/>
                <w:w w:val="120"/>
                <w:sz w:val="15"/>
              </w:rPr>
              <w:t>Error</w:t>
            </w:r>
          </w:p>
        </w:tc>
        <w:tc>
          <w:tcPr>
            <w:tcW w:w="9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1" w:lineRule="exact" w:before="6"/>
              <w:ind w:left="60" w:right="4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20"/>
                <w:sz w:val="15"/>
              </w:rPr>
              <w:t>428.2772</w:t>
            </w:r>
          </w:p>
        </w:tc>
      </w:tr>
      <w:tr>
        <w:trPr>
          <w:trHeight w:val="187" w:hRule="atLeast"/>
        </w:trPr>
        <w:tc>
          <w:tcPr>
            <w:tcW w:w="24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2" w:lineRule="exact" w:before="5"/>
              <w:ind w:left="89"/>
              <w:rPr>
                <w:rFonts w:ascii="Arial MT"/>
                <w:sz w:val="15"/>
              </w:rPr>
            </w:pPr>
            <w:r>
              <w:rPr>
                <w:rFonts w:ascii="Arial MT"/>
                <w:spacing w:val="-3"/>
                <w:w w:val="120"/>
                <w:sz w:val="15"/>
              </w:rPr>
              <w:t>Theil</w:t>
            </w:r>
            <w:r>
              <w:rPr>
                <w:rFonts w:ascii="Arial MT"/>
                <w:spacing w:val="-10"/>
                <w:w w:val="120"/>
                <w:sz w:val="15"/>
              </w:rPr>
              <w:t> </w:t>
            </w:r>
            <w:r>
              <w:rPr>
                <w:rFonts w:ascii="Arial MT"/>
                <w:spacing w:val="-3"/>
                <w:w w:val="120"/>
                <w:sz w:val="15"/>
              </w:rPr>
              <w:t>Inequality</w:t>
            </w:r>
            <w:r>
              <w:rPr>
                <w:rFonts w:ascii="Arial MT"/>
                <w:spacing w:val="-15"/>
                <w:w w:val="120"/>
                <w:sz w:val="15"/>
              </w:rPr>
              <w:t> </w:t>
            </w:r>
            <w:r>
              <w:rPr>
                <w:rFonts w:ascii="Arial MT"/>
                <w:spacing w:val="-3"/>
                <w:w w:val="120"/>
                <w:sz w:val="15"/>
              </w:rPr>
              <w:t>Coefficient</w:t>
            </w:r>
          </w:p>
        </w:tc>
        <w:tc>
          <w:tcPr>
            <w:tcW w:w="9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2" w:lineRule="exact" w:before="5"/>
              <w:ind w:left="60" w:right="4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20"/>
                <w:sz w:val="15"/>
              </w:rPr>
              <w:t>0.130902</w:t>
            </w:r>
          </w:p>
        </w:tc>
      </w:tr>
      <w:tr>
        <w:trPr>
          <w:trHeight w:val="598" w:hRule="atLeast"/>
        </w:trPr>
        <w:tc>
          <w:tcPr>
            <w:tcW w:w="33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262" w:val="right" w:leader="none"/>
              </w:tabs>
              <w:spacing w:before="6"/>
              <w:ind w:left="313"/>
              <w:rPr>
                <w:rFonts w:ascii="Arial MT"/>
                <w:sz w:val="15"/>
              </w:rPr>
            </w:pPr>
            <w:r>
              <w:rPr>
                <w:rFonts w:ascii="Arial MT"/>
                <w:w w:val="120"/>
                <w:sz w:val="15"/>
              </w:rPr>
              <w:t>Bias</w:t>
            </w:r>
            <w:r>
              <w:rPr>
                <w:rFonts w:ascii="Arial MT"/>
                <w:spacing w:val="-6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Proportion</w:t>
              <w:tab/>
              <w:t>0.000011</w:t>
            </w:r>
          </w:p>
          <w:p>
            <w:pPr>
              <w:pStyle w:val="TableParagraph"/>
              <w:tabs>
                <w:tab w:pos="3262" w:val="right" w:leader="none"/>
              </w:tabs>
              <w:spacing w:before="16"/>
              <w:ind w:left="313"/>
              <w:rPr>
                <w:rFonts w:ascii="Arial MT"/>
                <w:sz w:val="15"/>
              </w:rPr>
            </w:pPr>
            <w:r>
              <w:rPr>
                <w:rFonts w:ascii="Arial MT"/>
                <w:w w:val="120"/>
                <w:sz w:val="15"/>
              </w:rPr>
              <w:t>Variance</w:t>
            </w:r>
            <w:r>
              <w:rPr>
                <w:rFonts w:ascii="Arial MT"/>
                <w:spacing w:val="-6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Proportion</w:t>
              <w:tab/>
              <w:t>0.018491</w:t>
            </w:r>
          </w:p>
          <w:p>
            <w:pPr>
              <w:pStyle w:val="TableParagraph"/>
              <w:tabs>
                <w:tab w:pos="3262" w:val="right" w:leader="none"/>
              </w:tabs>
              <w:spacing w:before="15"/>
              <w:ind w:left="313"/>
              <w:rPr>
                <w:rFonts w:ascii="Arial MT"/>
                <w:sz w:val="15"/>
              </w:rPr>
            </w:pPr>
            <w:r>
              <w:rPr>
                <w:rFonts w:ascii="Arial MT"/>
                <w:w w:val="120"/>
                <w:sz w:val="15"/>
              </w:rPr>
              <w:t>Covariance</w:t>
            </w:r>
            <w:r>
              <w:rPr>
                <w:rFonts w:ascii="Arial MT"/>
                <w:spacing w:val="-8"/>
                <w:w w:val="120"/>
                <w:sz w:val="15"/>
              </w:rPr>
              <w:t> </w:t>
            </w:r>
            <w:r>
              <w:rPr>
                <w:rFonts w:ascii="Arial MT"/>
                <w:w w:val="120"/>
                <w:sz w:val="15"/>
              </w:rPr>
              <w:t>Proportion</w:t>
              <w:tab/>
              <w:t>0.981498</w:t>
            </w:r>
          </w:p>
        </w:tc>
      </w:tr>
    </w:tbl>
    <w:p>
      <w:pPr>
        <w:spacing w:after="0"/>
        <w:rPr>
          <w:rFonts w:ascii="Arial MT"/>
          <w:sz w:val="15"/>
        </w:rPr>
        <w:sectPr>
          <w:pgSz w:w="12240" w:h="15840"/>
          <w:pgMar w:header="0" w:footer="1015" w:top="1500" w:bottom="1200" w:left="1320" w:right="440"/>
        </w:sectPr>
      </w:pPr>
    </w:p>
    <w:p>
      <w:pPr>
        <w:pStyle w:val="Heading2"/>
        <w:ind w:left="826" w:right="1012"/>
        <w:jc w:val="center"/>
      </w:pPr>
      <w:r>
        <w:rPr/>
        <w:pict>
          <v:shape style="position:absolute;margin-left:116.940002pt;margin-top:397.679993pt;width:194.45pt;height:196.9pt;mso-position-horizontal-relative:page;mso-position-vertical-relative:page;z-index:-25259520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352.218994pt;width:82.45pt;height:75.6pt;mso-position-horizontal-relative:page;mso-position-vertical-relative:page;z-index:-25259008" coordorigin="5626,7044" coordsize="1649,1512" path="m6603,8500l6602,8496,6600,8489,6597,8486,6306,8195,6268,8123,6080,7762,6004,7618,5993,7597,5983,7585,5979,7583,5969,7580,5964,7582,5957,7586,5944,7597,5928,7613,5923,7619,5916,7628,5914,7633,5912,7641,5912,7644,5917,7657,5921,7662,6079,7955,6115,8020,6178,8128,6177,8128,6002,8029,5929,7989,5783,7911,5705,7869,5696,7865,5692,7864,5684,7866,5680,7867,5675,7870,5670,7873,5658,7883,5642,7899,5632,7911,5628,7917,5626,7922,5628,7932,5631,7936,5637,7941,5643,7946,5664,7958,5736,7996,6098,8184,6242,8260,6532,8551,6536,8553,6542,8556,6546,8556,6550,8555,6554,8554,6564,8549,6569,8545,6575,8541,6587,8529,6592,8523,6595,8518,6600,8508,6601,8504,6603,8500xm7274,7768l7274,7730,7268,7692,7258,7652,7242,7611,7223,7569,7199,7526,7170,7481,7161,7469,7161,7740,7157,7766,7148,7791,7133,7815,7115,7837,7093,7856,7070,7870,7045,7880,7020,7884,6994,7885,6967,7883,6939,7876,6909,7865,6880,7851,6849,7834,6818,7813,6786,7789,6753,7763,6720,7734,6687,7703,6652,7670,6622,7638,6594,7607,6567,7575,6541,7544,6518,7512,6499,7481,6482,7450,6469,7420,6458,7390,6451,7361,6447,7333,6447,7306,6451,7279,6460,7255,6474,7232,6493,7210,6515,7191,6537,7177,6562,7167,6587,7163,6614,7162,6641,7165,6669,7171,6698,7182,6728,7196,6759,7213,6790,7233,6821,7256,6854,7282,6886,7310,6919,7341,6952,7373,6983,7404,7012,7436,7039,7468,7064,7500,7088,7532,7108,7563,7125,7594,7139,7625,7150,7655,7157,7684,7161,7712,7161,7740,7161,7469,7137,7436,7100,7390,7059,7344,7013,7297,6966,7251,6921,7210,6876,7174,6860,7162,6832,7141,6790,7114,6749,7091,6709,7072,6670,7058,6633,7049,6596,7044,6562,7045,6528,7049,6496,7058,6465,7073,6436,7093,6408,7117,6383,7146,6363,7176,6348,7209,6339,7243,6335,7279,6336,7316,6341,7354,6351,7394,6366,7435,6386,7477,6409,7520,6438,7564,6470,7609,6507,7654,6547,7700,6591,7745,6639,7792,6685,7833,6731,7870,6775,7903,6817,7932,6859,7955,6899,7974,6938,7988,6975,7998,7011,8003,7046,8003,7080,7998,7113,7989,7144,7974,7173,7955,7201,7930,7227,7901,7237,7885,7247,7870,7261,7838,7270,7803,7274,776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37.52002pt;margin-top:197.339966pt;width:181.2pt;height:182pt;mso-position-horizontal-relative:page;mso-position-vertical-relative:page;z-index:-25258496" coordorigin="6750,3947" coordsize="3624,3640" path="m7572,7530l7572,7527,7569,7519,7567,7516,7239,7188,7409,7018,7410,7015,7410,7008,7409,7004,7404,6995,7400,6989,7385,6971,7369,6955,7361,6948,7355,6943,7349,6938,7344,6935,7336,6931,7332,6930,7328,6930,7325,6931,7323,6932,7153,7102,6887,6837,7068,6656,7069,6654,7069,6651,7068,6643,7063,6635,7059,6629,7043,6610,7035,6602,7027,6594,7008,6577,6993,6569,6989,6568,6982,6568,6980,6568,6753,6795,6750,6804,6752,6815,6754,6824,6759,6834,6767,6844,6777,6856,7502,7581,7505,7583,7513,7586,7516,7586,7520,7585,7524,7584,7534,7579,7539,7576,7545,7571,7557,7558,7565,7548,7570,7538,7571,7534,7572,7530xm8101,7002l8100,6998,8098,6991,8095,6988,8092,6985,7340,6233,7337,6230,7330,6228,7327,6228,7322,6228,7318,6230,7309,6235,7298,6243,7286,6255,7278,6265,7273,6275,7272,6279,7271,6283,7271,6287,7274,6294,7276,6298,8031,7053,8034,7055,8041,7058,8044,7058,8048,7057,8053,7056,8063,7051,8073,7042,8086,7030,8090,7024,8094,7019,8099,7010,8099,7005,8101,7002xm8456,6574l8456,6558,8454,6541,8451,6524,8448,6507,8442,6490,8436,6472,8428,6454,8419,6436,8409,6418,8397,6399,8383,6381,8369,6363,8352,6345,8346,6338,8346,6540,8345,6554,8343,6568,8340,6580,8335,6592,8328,6604,8320,6616,8310,6627,8216,6721,7941,6446,8018,6369,8024,6364,8034,6355,8049,6343,8063,6334,8078,6327,8093,6323,8108,6321,8124,6320,8139,6321,8155,6325,8171,6330,8188,6337,8204,6346,8221,6357,8238,6369,8255,6384,8273,6400,8288,6417,8301,6433,8313,6449,8323,6465,8331,6480,8337,6496,8341,6511,8344,6525,8346,6540,8346,6338,8335,6326,8328,6320,8315,6307,8295,6290,8275,6275,8254,6261,8234,6249,8214,6239,8195,6230,8190,6228,8176,6223,8158,6218,8139,6215,8122,6213,8105,6213,8089,6214,8073,6218,8059,6222,8046,6228,8048,6215,8048,6201,8048,6187,8046,6172,8043,6158,8039,6143,8034,6128,8028,6113,8021,6099,8013,6084,8004,6070,7993,6055,7982,6041,7971,6026,7964,6018,7964,6212,7964,6226,7962,6239,7958,6252,7952,6265,7943,6277,7932,6290,7859,6364,7606,6111,7673,6044,7686,6032,7700,6021,7713,6014,7726,6008,7739,6005,7751,6003,7765,6003,7777,6005,7791,6008,7805,6014,7818,6020,7832,6028,7846,6038,7860,6049,7874,6061,7888,6075,7900,6087,7912,6101,7923,6114,7933,6128,7941,6143,7949,6157,7955,6171,7959,6185,7962,6199,7964,6212,7964,6018,7958,6012,7950,6003,7945,5998,7921,5976,7898,5956,7875,5939,7852,5924,7829,5912,7806,5902,7784,5895,7762,5890,7740,5888,7719,5889,7698,5892,7677,5898,7656,5907,7635,5920,7614,5936,7592,5956,7481,6067,7476,6072,7473,6081,7474,6092,7477,6101,7482,6111,7489,6122,7500,6133,8195,6829,8206,6839,8217,6847,8227,6851,8236,6853,8247,6855,8256,6853,8387,6721,8389,6720,8402,6706,8413,6692,8423,6678,8431,6664,8438,6650,8444,6636,8449,6621,8452,6606,8454,6590,8456,6574xm9020,6089l9019,6084,9017,6079,9014,6073,9009,6068,9003,6063,8995,6058,8984,6050,8889,5990,8609,5813,8609,5924,8440,6093,8179,5688,8135,5621,8135,5620,8135,5620,8609,5924,8609,5813,8304,5620,8097,5489,8091,5486,8086,5483,8081,5482,8076,5481,8072,5481,8062,5484,8056,5487,8050,5492,8044,5496,8038,5503,8030,5511,8022,5519,8016,5525,8012,5530,8008,5536,8005,5541,8004,5546,8002,5551,8001,5555,8003,5560,8004,5564,8007,5569,8010,5575,8053,5643,8370,6145,8571,6462,8578,6473,8584,6481,8589,6487,8594,6492,8600,6495,8604,6497,8609,6498,8614,6497,8620,6493,8625,6489,8632,6484,8646,6469,8651,6463,8655,6458,8659,6453,8661,6449,8661,6444,8662,6440,8662,6436,8660,6432,8659,6428,8657,6424,8654,6420,8617,6363,8506,6192,8605,6093,8709,5990,8940,6138,8945,6140,8949,6142,8953,6144,8956,6145,8960,6145,8963,6144,8968,6143,8972,6141,8978,6137,8983,6133,9005,6111,9010,6104,9014,6099,9018,6094,9020,6089xm9323,5673l9321,5635,9314,5595,9302,5554,9285,5512,9263,5468,9236,5423,9213,5389,9213,5637,9212,5664,9207,5690,9198,5716,9186,5740,9168,5764,9147,5788,9080,5854,8473,5247,8539,5181,8565,5159,8590,5141,8617,5128,8644,5121,8672,5118,8700,5119,8729,5123,8759,5130,8790,5142,8821,5156,8852,5173,8884,5194,8916,5218,8948,5244,8980,5272,9012,5302,9049,5341,9083,5379,9113,5415,9138,5450,9160,5484,9178,5517,9193,5549,9203,5580,9210,5609,9213,5637,9213,5389,9204,5376,9166,5329,9124,5280,9076,5230,9032,5188,8988,5150,8947,5118,8945,5117,8902,5087,8860,5062,8819,5041,8778,5025,8738,5012,8700,5005,8662,5002,8625,5004,8590,5011,8555,5022,8522,5039,8489,5063,8457,5091,8341,5207,8338,5216,8339,5227,8342,5236,8347,5246,8354,5257,8365,5268,9060,5964,9072,5974,9082,5981,9092,5986,9101,5988,9112,5990,9121,5987,9230,5879,9252,5854,9258,5847,9282,5814,9300,5781,9313,5746,9320,5711,9323,5673xm9940,5169l9939,5164,9937,5159,9934,5153,9929,5148,9923,5143,9916,5137,9905,5130,9810,5070,9529,4893,9529,5004,9360,5173,9099,4768,9055,4701,9055,4700,9529,5004,9529,4893,9224,4700,9017,4569,9011,4566,9006,4563,8996,4560,8992,4561,8987,4563,8982,4564,8976,4567,8971,4572,8965,4576,8958,4583,8950,4591,8936,4605,8928,4616,8925,4621,8924,4626,8922,4631,8922,4635,8923,4639,8924,4644,8927,4649,8930,4654,9017,4791,9289,5224,9318,5269,9491,5542,9498,5553,9504,5561,9509,5566,9514,5572,9520,5575,9529,5578,9534,5576,9540,5573,9545,5569,9552,5563,9566,5549,9571,5543,9575,5538,9579,5533,9581,5528,9581,5523,9582,5519,9582,5516,9580,5511,9579,5508,9577,5504,9574,5499,9426,5272,9525,5173,9629,5070,9860,5218,9865,5220,9869,5222,9873,5223,9876,5225,9880,5225,9883,5224,9888,5223,9892,5221,9898,5217,9903,5213,9925,5191,9930,5184,9934,5179,9938,5174,9940,5169xm10374,4725l10372,4712,10369,4705,10362,4691,10356,4683,10348,4675,9625,3952,9622,3950,9615,3947,9611,3947,9602,3948,9598,3950,9593,3954,9582,3962,9570,3974,9559,3990,9556,3994,9555,4003,9556,4007,9557,4010,9558,4014,9560,4017,10011,4467,10186,4640,10186,4641,10037,4563,9959,4523,9898,4493,9801,4444,9573,4330,9421,4254,9397,4243,9378,4234,9366,4230,9356,4228,9347,4227,9338,4227,9330,4228,9316,4234,9309,4239,9263,4285,9260,4295,9261,4307,9264,4317,9269,4327,9277,4338,9287,4350,10010,5073,10013,5075,10016,5076,10020,5078,10024,5079,10028,5077,10032,5077,10042,5072,10052,5064,10065,5051,10073,5040,10076,5035,10078,5031,10078,5026,10080,5022,10080,5019,10078,5015,10077,5011,10075,5008,9533,4467,9421,4358,9422,4357,9468,4382,9565,4433,9686,4494,10057,4678,10204,4752,10233,4766,10272,4782,10285,4785,10295,4786,10305,4787,10314,4787,10321,4784,10329,4781,10336,4776,10367,4745,10370,4741,10373,4730,10374,472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44.139999pt;margin-top:101.693153pt;width:108.26pt;height:.72pt;mso-position-horizontal-relative:page;mso-position-vertical-relative:paragraph;z-index:-252579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4.139999pt;margin-top:196.220001pt;width:108.26pt;height:.72pt;mso-position-horizontal-relative:page;mso-position-vertical-relative:page;z-index:-25257472" filled="true" fillcolor="#000000" stroked="false">
            <v:fill type="solid"/>
            <w10:wrap type="none"/>
          </v:rect>
        </w:pict>
      </w:r>
      <w:r>
        <w:rPr/>
        <w:pict>
          <v:rect style="position:absolute;margin-left:144.139999pt;margin-top:291.769989pt;width:108.26pt;height:.72pt;mso-position-horizontal-relative:page;mso-position-vertical-relative:page;z-index:-25256960" filled="true" fillcolor="#000000" stroked="false">
            <v:fill type="solid"/>
            <w10:wrap type="none"/>
          </v:rect>
        </w:pict>
      </w:r>
      <w:r>
        <w:rPr/>
        <w:t>Appendix 11:</w:t>
      </w:r>
      <w:r>
        <w:rPr>
          <w:spacing w:val="58"/>
        </w:rPr>
        <w:t> </w:t>
      </w:r>
      <w:r>
        <w:rPr/>
        <w:t>UECM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Account Balance</w:t>
      </w:r>
      <w:r>
        <w:rPr>
          <w:spacing w:val="-2"/>
        </w:rPr>
        <w:t> </w:t>
      </w:r>
      <w:r>
        <w:rPr/>
        <w:t>Equation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429"/>
        <w:gridCol w:w="1261"/>
        <w:gridCol w:w="1433"/>
        <w:gridCol w:w="1246"/>
      </w:tblGrid>
      <w:tr>
        <w:trPr>
          <w:trHeight w:val="270" w:hRule="atLeast"/>
        </w:trPr>
        <w:tc>
          <w:tcPr>
            <w:tcW w:w="7534" w:type="dxa"/>
            <w:gridSpan w:val="5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DLKAB</w:t>
            </w:r>
          </w:p>
        </w:tc>
      </w:tr>
      <w:tr>
        <w:trPr>
          <w:trHeight w:val="276" w:hRule="atLeast"/>
        </w:trPr>
        <w:tc>
          <w:tcPr>
            <w:tcW w:w="7534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</w:tr>
      <w:tr>
        <w:trPr>
          <w:trHeight w:val="275" w:hRule="atLeast"/>
        </w:trPr>
        <w:tc>
          <w:tcPr>
            <w:tcW w:w="7534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(adjusted):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395" w:hRule="atLeast"/>
        </w:trPr>
        <w:tc>
          <w:tcPr>
            <w:tcW w:w="7534" w:type="dxa"/>
            <w:gridSpan w:val="5"/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 adjustments</w:t>
            </w:r>
          </w:p>
        </w:tc>
      </w:tr>
      <w:tr>
        <w:trPr>
          <w:trHeight w:val="485" w:hRule="atLeast"/>
        </w:trPr>
        <w:tc>
          <w:tcPr>
            <w:tcW w:w="21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left="66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4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6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36" w:right="111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43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207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124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575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4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5.433111</w:t>
            </w:r>
          </w:p>
        </w:tc>
        <w:tc>
          <w:tcPr>
            <w:tcW w:w="126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36" w:right="66"/>
              <w:jc w:val="center"/>
              <w:rPr>
                <w:sz w:val="24"/>
              </w:rPr>
            </w:pPr>
            <w:r>
              <w:rPr>
                <w:sz w:val="24"/>
              </w:rPr>
              <w:t>1.472827</w:t>
            </w:r>
          </w:p>
        </w:tc>
        <w:tc>
          <w:tcPr>
            <w:tcW w:w="143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226"/>
              <w:rPr>
                <w:sz w:val="24"/>
              </w:rPr>
            </w:pPr>
            <w:r>
              <w:rPr>
                <w:sz w:val="24"/>
              </w:rPr>
              <w:t>3.688899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0.0010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DLKAB(-2)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-0.473815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6"/>
              <w:jc w:val="center"/>
              <w:rPr>
                <w:sz w:val="24"/>
              </w:rPr>
            </w:pPr>
            <w:r>
              <w:rPr>
                <w:sz w:val="24"/>
              </w:rPr>
              <w:t>0.156492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-3.027737</w:t>
            </w:r>
          </w:p>
        </w:tc>
        <w:tc>
          <w:tcPr>
            <w:tcW w:w="1246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0.0054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sz w:val="24"/>
              </w:rPr>
              <w:t>DREER(-1)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0.620645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6"/>
              <w:jc w:val="center"/>
              <w:rPr>
                <w:sz w:val="24"/>
              </w:rPr>
            </w:pPr>
            <w:r>
              <w:rPr>
                <w:sz w:val="24"/>
              </w:rPr>
              <w:t>0.363448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1.707658</w:t>
            </w:r>
          </w:p>
        </w:tc>
        <w:tc>
          <w:tcPr>
            <w:tcW w:w="1246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0.0992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573"/>
              <w:rPr>
                <w:sz w:val="24"/>
              </w:rPr>
            </w:pPr>
            <w:r>
              <w:rPr>
                <w:sz w:val="24"/>
              </w:rPr>
              <w:t>LKAB(-1)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-0.269202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6"/>
              <w:jc w:val="center"/>
              <w:rPr>
                <w:sz w:val="24"/>
              </w:rPr>
            </w:pPr>
            <w:r>
              <w:rPr>
                <w:sz w:val="24"/>
              </w:rPr>
              <w:t>0.105399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-2.554125</w:t>
            </w:r>
          </w:p>
        </w:tc>
        <w:tc>
          <w:tcPr>
            <w:tcW w:w="1246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0.0166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520"/>
              <w:rPr>
                <w:sz w:val="24"/>
              </w:rPr>
            </w:pPr>
            <w:r>
              <w:rPr>
                <w:sz w:val="24"/>
              </w:rPr>
              <w:t>LREER(-1)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-0.847018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6"/>
              <w:jc w:val="center"/>
              <w:rPr>
                <w:sz w:val="24"/>
              </w:rPr>
            </w:pPr>
            <w:r>
              <w:rPr>
                <w:sz w:val="24"/>
              </w:rPr>
              <w:t>0.231352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-3.661166</w:t>
            </w:r>
          </w:p>
        </w:tc>
        <w:tc>
          <w:tcPr>
            <w:tcW w:w="1246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</w:tr>
      <w:tr>
        <w:trPr>
          <w:trHeight w:val="393" w:hRule="atLeast"/>
        </w:trPr>
        <w:tc>
          <w:tcPr>
            <w:tcW w:w="21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726" w:right="730"/>
              <w:jc w:val="center"/>
              <w:rPr>
                <w:sz w:val="24"/>
              </w:rPr>
            </w:pPr>
            <w:r>
              <w:rPr>
                <w:sz w:val="24"/>
              </w:rPr>
              <w:t>DU</w:t>
            </w:r>
          </w:p>
        </w:tc>
        <w:tc>
          <w:tcPr>
            <w:tcW w:w="14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-0.639239</w:t>
            </w:r>
          </w:p>
        </w:tc>
        <w:tc>
          <w:tcPr>
            <w:tcW w:w="12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36" w:right="66"/>
              <w:jc w:val="center"/>
              <w:rPr>
                <w:sz w:val="24"/>
              </w:rPr>
            </w:pPr>
            <w:r>
              <w:rPr>
                <w:sz w:val="24"/>
              </w:rPr>
              <w:t>0.186689</w:t>
            </w:r>
          </w:p>
        </w:tc>
        <w:tc>
          <w:tcPr>
            <w:tcW w:w="143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-3.424096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0.0020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4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0.459471</w:t>
            </w:r>
          </w:p>
        </w:tc>
        <w:tc>
          <w:tcPr>
            <w:tcW w:w="269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0.086704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0.359373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246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0.413847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0.331240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246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0.791018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2.962436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246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1.063110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-7.051795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24" w:right="125"/>
              <w:jc w:val="center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6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4.590210</w:t>
            </w:r>
          </w:p>
        </w:tc>
      </w:tr>
      <w:tr>
        <w:trPr>
          <w:trHeight w:val="378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4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1.847673</w:t>
            </w:r>
          </w:p>
        </w:tc>
        <w:tc>
          <w:tcPr>
            <w:tcW w:w="269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0.003694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line="451" w:lineRule="auto" w:before="79"/>
        <w:ind w:left="811" w:right="3275" w:firstLine="0"/>
        <w:jc w:val="left"/>
        <w:rPr>
          <w:b/>
          <w:sz w:val="24"/>
        </w:rPr>
      </w:pPr>
      <w:r>
        <w:rPr/>
        <w:pict>
          <v:rect style="position:absolute;margin-left:108.139999pt;margin-top:642.100037pt;width:108.26pt;height:.71997pt;mso-position-horizontal-relative:page;mso-position-vertical-relative:page;z-index:-2525286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Appendix 12: Diagnostic Test for the Capital Account Balance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Residual Tests</w:t>
      </w:r>
    </w:p>
    <w:p>
      <w:pPr>
        <w:pStyle w:val="Heading2"/>
        <w:spacing w:line="273" w:lineRule="exact" w:before="0"/>
      </w:pPr>
      <w:r>
        <w:rPr/>
        <w:t>A1:</w:t>
      </w:r>
      <w:r>
        <w:rPr>
          <w:spacing w:val="-4"/>
        </w:rPr>
        <w:t> </w:t>
      </w:r>
      <w:r>
        <w:rPr/>
        <w:t>Correlogram-Q-Statistics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871"/>
      </w:pPr>
      <w:r>
        <w:rPr/>
        <w:t>Sample:</w:t>
      </w:r>
      <w:r>
        <w:rPr>
          <w:spacing w:val="-1"/>
        </w:rPr>
        <w:t> </w:t>
      </w:r>
      <w:r>
        <w:rPr/>
        <w:t>1978</w:t>
      </w:r>
      <w:r>
        <w:rPr>
          <w:spacing w:val="-1"/>
        </w:rPr>
        <w:t> </w:t>
      </w:r>
      <w:r>
        <w:rPr/>
        <w:t>2010</w:t>
      </w:r>
    </w:p>
    <w:p>
      <w:pPr>
        <w:pStyle w:val="BodyText"/>
        <w:ind w:left="871"/>
      </w:pPr>
      <w:r>
        <w:rPr/>
        <w:pict>
          <v:shape style="position:absolute;margin-left:108.140007pt;margin-top:19.243086pt;width:393.6pt;height:2.2pt;mso-position-horizontal-relative:page;mso-position-vertical-relative:paragraph;z-index:-15553536;mso-wrap-distance-left:0;mso-wrap-distance-right:0" coordorigin="2163,385" coordsize="7872,44" path="m4095,414l2163,414,2163,428,4095,428,4095,414xm4095,385l2163,385,2163,399,4095,399,4095,385xm6488,414l6407,414,6140,414,6059,414,4177,414,4095,414,4095,428,4177,428,6059,428,6140,428,6407,428,6488,428,6488,414xm6488,385l6407,385,6140,385,6059,385,4177,385,4095,385,4095,399,4177,399,6059,399,6140,399,6407,399,6488,399,6488,385xm9136,414l8245,414,8164,414,7446,414,7365,414,7365,414,6488,414,6488,428,7365,428,7365,428,7446,428,8164,428,8245,428,9136,428,9136,414xm9136,385l8245,385,8164,385,7446,385,7365,385,7365,385,6488,385,6488,399,7365,399,7365,399,7446,399,8164,399,8245,399,9136,399,9136,385xm10034,414l9217,414,9136,414,9136,428,9217,428,10034,428,10034,414xm10034,385l9217,385,9136,385,9136,399,9217,399,10034,399,10034,38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1.300018pt;margin-top:34.283089pt;width:237.4pt;height:230.5pt;mso-position-horizontal-relative:page;mso-position-vertical-relative:paragraph;z-index:-25253888" coordorigin="5626,686" coordsize="4748,4610" path="m6603,5238l6602,5235,6600,5228,6597,5225,6306,4934,6268,4862,6080,4501,6004,4356,5993,4336,5983,4324,5979,4321,5969,4319,5964,4321,5957,4325,5944,4336,5928,4351,5923,4358,5916,4367,5914,4372,5912,4380,5912,4383,5917,4396,5921,4401,6079,4694,6115,4758,6178,4866,6177,4867,6002,4767,5929,4728,5783,4650,5705,4607,5696,4604,5692,4603,5684,4604,5680,4606,5675,4608,5670,4612,5658,4622,5642,4638,5632,4650,5628,4656,5626,4661,5628,4671,5631,4675,5637,4680,5643,4685,5664,4697,5736,4735,6098,4923,6242,4999,6532,5289,6536,5292,6542,5295,6546,5295,6550,5294,6554,5293,6564,5288,6569,5284,6575,5280,6587,5267,6592,5262,6595,5257,6600,5247,6601,5242,6603,5238xm7274,4506l7274,4469,7268,4431,7258,4391,7242,4350,7223,4308,7199,4264,7170,4220,7161,4208,7161,4479,7157,4505,7148,4530,7133,4554,7115,4576,7093,4595,7070,4609,7045,4619,7020,4623,6994,4624,6967,4622,6939,4615,6909,4604,6880,4590,6849,4572,6818,4552,6786,4528,6753,4502,6720,4473,6687,4442,6652,4408,6622,4377,6594,4346,6567,4314,6541,4282,6518,4251,6499,4220,6482,4189,6469,4158,6458,4129,6451,4100,6447,4072,6447,4045,6451,4018,6460,3994,6474,3970,6493,3949,6515,3930,6537,3916,6562,3906,6587,3901,6614,3901,6641,3904,6669,3910,6698,3921,6728,3935,6759,3952,6790,3972,6821,3995,6854,4021,6886,4049,6919,4079,6952,4111,6983,4143,7012,4175,7039,4207,7064,4239,7088,4271,7108,4302,7125,4333,7139,4363,7150,4394,7157,4423,7161,4451,7161,4479,7161,4208,7137,4175,7100,4129,7059,4083,7013,4036,6966,3990,6921,3949,6876,3913,6860,3901,6832,3880,6790,3852,6749,3829,6709,3811,6670,3797,6633,3788,6596,3783,6562,3784,6528,3788,6496,3797,6465,3812,6436,3831,6408,3856,6383,3885,6363,3915,6348,3948,6339,3982,6335,4018,6336,4055,6341,4093,6351,4133,6366,4174,6386,4216,6409,4259,6438,4303,6470,4348,6507,4393,6547,4438,6591,4484,6639,4530,6685,4572,6731,4609,6775,4642,6817,4671,6859,4694,6899,4713,6938,4727,6975,4737,7011,4742,7046,4741,7080,4737,7113,4728,7144,4713,7173,4694,7201,4669,7227,4640,7237,4624,7247,4609,7261,4577,7270,4542,7274,4506xm7572,4269l7572,4265,7569,4258,7567,4255,7239,3927,7409,3757,7410,3754,7410,3747,7409,3743,7404,3734,7400,3728,7385,3710,7369,3694,7361,3687,7355,3682,7349,3677,7344,3674,7336,3670,7332,3669,7328,3669,7325,3669,7323,3670,7153,3841,6887,3576,7068,3395,7069,3393,7069,3390,7068,3382,7063,3373,7059,3367,7043,3349,7035,3341,7027,3333,7008,3316,6993,3307,6989,3307,6982,3306,6980,3307,6753,3534,6750,3543,6752,3553,6754,3563,6759,3573,6767,3583,6777,3594,7502,4320,7505,4322,7513,4325,7516,4325,7520,4324,7524,4323,7534,4318,7539,4314,7545,4310,7557,4297,7565,4287,7570,4277,7571,4273,7572,4269xm8101,3740l8100,3737,8098,3730,8095,3727,8092,3724,7340,2972,7337,2969,7330,2967,7327,2966,7322,2967,7318,2968,7309,2973,7298,2981,7286,2994,7278,3004,7273,3014,7272,3018,7271,3022,7271,3026,7274,3033,7276,3037,8031,3791,8034,3794,8041,3797,8044,3797,8048,3795,8053,3795,8063,3789,8073,3781,8086,3769,8090,3763,8094,3758,8099,3749,8099,3744,8101,3740xm8456,3313l8456,3296,8454,3280,8451,3263,8448,3246,8442,3228,8436,3211,8428,3193,8419,3175,8409,3157,8397,3138,8383,3120,8369,3102,8352,3084,8346,3076,8346,3279,8345,3293,8343,3306,8340,3319,8335,3331,8328,3343,8320,3355,8310,3366,8216,3460,7941,3185,8018,3108,8024,3102,8034,3094,8049,3082,8063,3073,8078,3066,8093,3062,8108,3060,8124,3059,8139,3060,8155,3064,8171,3069,8188,3076,8204,3085,8221,3095,8238,3108,8255,3123,8273,3139,8288,3156,8301,3172,8313,3188,8323,3204,8331,3219,8337,3235,8341,3250,8344,3264,8346,3279,8346,3076,8335,3065,8328,3059,8315,3046,8295,3029,8275,3014,8254,3000,8234,2988,8214,2977,8195,2969,8190,2967,8176,2962,8158,2957,8139,2954,8122,2952,8105,2952,8089,2953,8073,2957,8059,2961,8046,2967,8048,2954,8048,2940,8048,2926,8046,2911,8043,2897,8039,2882,8034,2867,8028,2852,8021,2838,8013,2823,8004,2809,7993,2794,7982,2779,7971,2765,7964,2757,7964,2951,7964,2965,7962,2978,7958,2991,7952,3004,7943,3016,7932,3029,7859,3102,7606,2850,7673,2783,7686,2770,7700,2760,7713,2752,7726,2747,7739,2744,7751,2742,7765,2742,7777,2743,7791,2747,7805,2752,7818,2759,7832,2767,7846,2777,7860,2788,7874,2800,7888,2813,7900,2826,7912,2840,7923,2853,7933,2867,7941,2882,7949,2896,7955,2910,7959,2923,7962,2937,7964,2951,7964,2757,7958,2751,7950,2742,7945,2737,7921,2715,7898,2695,7875,2678,7852,2663,7829,2651,7806,2641,7784,2633,7762,2629,7740,2627,7719,2628,7698,2631,7677,2637,7656,2646,7635,2659,7614,2675,7592,2695,7481,2806,7476,2811,7473,2820,7474,2831,7477,2840,7482,2850,7489,2861,7500,2872,8195,3568,8206,3578,8217,3586,8227,3590,8236,3592,8247,3594,8256,3591,8387,3460,8389,3459,8402,3445,8413,3431,8423,3417,8431,3403,8438,3389,8444,3375,8449,3360,8452,3344,8454,3329,8456,3313xm9020,2827l9019,2823,9017,2818,9014,2812,9009,2807,9003,2802,8995,2796,8984,2789,8889,2728,8609,2552,8609,2663,8440,2832,8179,2427,8135,2360,8135,2359,8135,2359,8609,2663,8609,2552,8304,2359,8097,2228,8091,2225,8086,2222,8081,2220,8076,2219,8072,2220,8062,2223,8056,2226,8050,2231,8044,2235,8038,2242,8030,2250,8022,2257,8016,2263,8012,2269,8008,2274,8005,2280,8004,2285,8002,2290,8001,2294,8003,2298,8004,2303,8007,2308,8010,2313,8053,2382,8370,2884,8571,3201,8578,3212,8584,3220,8589,3225,8594,3231,8600,3234,8604,3236,8609,3237,8614,3235,8620,3232,8625,3228,8632,3222,8646,3208,8651,3202,8655,3197,8659,3192,8661,3187,8661,3182,8662,3178,8662,3175,8660,3170,8659,3167,8657,3163,8654,3158,8617,3102,8506,2931,8605,2832,8709,2728,8940,2877,8945,2879,8949,2881,8953,2882,8956,2884,8960,2884,8963,2882,8968,2882,8972,2880,8978,2876,8983,2872,9005,2850,9010,2843,9014,2838,9018,2833,9020,2827xm9323,2412l9321,2374,9314,2334,9302,2293,9285,2251,9263,2207,9236,2161,9213,2128,9213,2376,9212,2403,9207,2429,9198,2454,9186,2479,9168,2503,9147,2526,9080,2593,8473,1986,8539,1920,8565,1897,8590,1880,8617,1867,8644,1860,8672,1857,8700,1858,8729,1862,8759,1869,8790,1880,8821,1895,8852,1912,8884,1933,8916,1957,8948,1983,8980,2011,9012,2041,9049,2080,9083,2118,9113,2154,9138,2189,9160,2223,9178,2256,9193,2288,9203,2318,9210,2348,9213,2376,9213,2128,9204,2115,9166,2068,9124,2019,9076,1969,9032,1927,8988,1889,8947,1857,8945,1855,8902,1826,8860,1801,8819,1780,8778,1764,8738,1751,8700,1744,8662,1741,8625,1743,8590,1749,8555,1761,8522,1778,8489,1801,8457,1830,8341,1946,8338,1955,8339,1966,8342,1975,8347,1985,8354,1995,8365,2007,9060,2702,9072,2713,9082,2720,9092,2725,9101,2727,9112,2729,9121,2726,9230,2617,9252,2593,9258,2586,9282,2553,9300,2519,9313,2485,9320,2449,9323,2412xm9940,1907l9939,1902,9937,1897,9934,1892,9929,1887,9923,1882,9916,1876,9905,1869,9810,1808,9529,1632,9529,1743,9360,1912,9099,1507,9055,1439,9055,1439,9529,1743,9529,1632,9224,1439,9017,1308,9011,1305,9006,1302,8996,1299,8992,1300,8987,1301,8982,1303,8976,1306,8971,1311,8965,1315,8958,1322,8950,1330,8936,1343,8928,1354,8925,1360,8924,1365,8922,1370,8922,1374,8923,1378,8924,1383,8927,1388,8930,1393,9017,1530,9289,1962,9318,2008,9491,2281,9498,2292,9504,2300,9509,2305,9514,2311,9520,2314,9529,2317,9534,2315,9540,2312,9545,2308,9552,2302,9566,2288,9571,2282,9575,2277,9579,2272,9581,2267,9581,2262,9582,2258,9582,2254,9580,2250,9579,2247,9577,2243,9574,2238,9426,2011,9525,1912,9629,1808,9860,1956,9865,1959,9869,1961,9873,1962,9876,1963,9880,1964,9883,1962,9888,1962,9892,1960,9898,1955,9903,1952,9925,1930,9930,1923,9934,1918,9938,1913,9940,1907xm10374,1464l10372,1451,10369,1444,10362,1429,10356,1421,10348,1414,9625,691,9622,689,9615,686,9611,686,9602,687,9598,689,9593,693,9582,701,9570,713,9559,728,9556,733,9555,742,9556,746,9557,749,9558,753,9560,756,10011,1206,10186,1379,10186,1379,10037,1302,9959,1261,9898,1232,9801,1183,9573,1069,9421,993,9397,982,9378,973,9366,969,9356,966,9347,966,9338,966,9330,966,9316,973,9309,978,9263,1024,9260,1034,9261,1046,9264,1056,9269,1066,9277,1077,9287,1089,10010,1812,10013,1814,10016,1815,10020,1817,10024,1817,10028,1816,10032,1816,10042,1810,10052,1803,10065,1790,10073,1779,10076,1774,10078,1770,10078,1765,10080,1761,10080,1758,10078,1753,10077,1750,10075,1747,9533,1206,9421,1096,9422,1096,9468,1121,9565,1172,9686,1233,10057,1417,10204,1491,10233,1505,10272,1521,10285,1524,10295,1525,10305,1526,10314,1525,10321,1522,10329,1520,10336,1515,10367,1483,10370,1479,10373,1469,10374,1464xe" filled="true" fillcolor="#ffc000" stroked="false">
            <v:path arrowok="t"/>
            <v:fill opacity="32896f" type="solid"/>
            <w10:wrap type="none"/>
          </v:shape>
        </w:pict>
      </w:r>
      <w:r>
        <w:rPr/>
        <w:t>Included</w:t>
      </w:r>
      <w:r>
        <w:rPr>
          <w:spacing w:val="-2"/>
        </w:rPr>
        <w:t> </w:t>
      </w:r>
      <w:r>
        <w:rPr/>
        <w:t>observations:</w:t>
      </w:r>
      <w:r>
        <w:rPr>
          <w:spacing w:val="-2"/>
        </w:rPr>
        <w:t> </w:t>
      </w:r>
      <w:r>
        <w:rPr/>
        <w:t>33</w:t>
      </w:r>
    </w:p>
    <w:p>
      <w:pPr>
        <w:pStyle w:val="BodyText"/>
        <w:tabs>
          <w:tab w:pos="1817" w:val="left" w:leader="none"/>
          <w:tab w:pos="4318" w:val="left" w:leader="none"/>
          <w:tab w:pos="5187" w:val="left" w:leader="none"/>
          <w:tab w:pos="5996" w:val="left" w:leader="none"/>
          <w:tab w:pos="7016" w:val="left" w:leader="none"/>
        </w:tabs>
        <w:spacing w:before="73"/>
        <w:ind w:right="908"/>
        <w:jc w:val="center"/>
      </w:pPr>
      <w:r>
        <w:rPr/>
        <w:t>Autocorrelation</w:t>
        <w:tab/>
        <w:t>Partial</w:t>
      </w:r>
      <w:r>
        <w:rPr>
          <w:spacing w:val="-1"/>
        </w:rPr>
        <w:t> </w:t>
      </w:r>
      <w:r>
        <w:rPr/>
        <w:t>Correlation</w:t>
        <w:tab/>
        <w:t>AC</w:t>
        <w:tab/>
        <w:t>PAC</w:t>
        <w:tab/>
        <w:t>Q-Stat</w:t>
        <w:tab/>
        <w:t>Prob</w:t>
      </w: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643"/>
        <w:gridCol w:w="1291"/>
        <w:gridCol w:w="526"/>
        <w:gridCol w:w="881"/>
        <w:gridCol w:w="877"/>
        <w:gridCol w:w="865"/>
        <w:gridCol w:w="996"/>
        <w:gridCol w:w="759"/>
      </w:tblGrid>
      <w:tr>
        <w:trPr>
          <w:trHeight w:val="382" w:hRule="atLeast"/>
        </w:trPr>
        <w:tc>
          <w:tcPr>
            <w:tcW w:w="1030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976" w:val="left" w:leader="none"/>
              </w:tabs>
              <w:spacing w:line="261" w:lineRule="exact" w:before="101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1"/>
                <w:sz w:val="24"/>
              </w:rPr>
              <w:t>|</w:t>
            </w:r>
          </w:p>
        </w:tc>
        <w:tc>
          <w:tcPr>
            <w:tcW w:w="643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238" w:val="left" w:leader="none"/>
              </w:tabs>
              <w:spacing w:line="261" w:lineRule="exact" w:before="101"/>
              <w:ind w:left="59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526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86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99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0.0212</w:t>
            </w:r>
          </w:p>
        </w:tc>
        <w:tc>
          <w:tcPr>
            <w:tcW w:w="75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0.884</w:t>
            </w:r>
          </w:p>
        </w:tc>
      </w:tr>
      <w:tr>
        <w:trPr>
          <w:trHeight w:val="275" w:hRule="atLeast"/>
        </w:trPr>
        <w:tc>
          <w:tcPr>
            <w:tcW w:w="1030" w:type="dxa"/>
          </w:tcPr>
          <w:p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643" w:type="dxa"/>
          </w:tcPr>
          <w:p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1291" w:type="dxa"/>
          </w:tcPr>
          <w:p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526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881" w:type="dxa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-0.133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133"/>
              <w:jc w:val="center"/>
              <w:rPr>
                <w:sz w:val="24"/>
              </w:rPr>
            </w:pPr>
            <w:r>
              <w:rPr>
                <w:sz w:val="24"/>
              </w:rPr>
              <w:t>-0.133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0.6772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0.713</w:t>
            </w:r>
          </w:p>
        </w:tc>
      </w:tr>
      <w:tr>
        <w:trPr>
          <w:trHeight w:val="276" w:hRule="atLeast"/>
        </w:trPr>
        <w:tc>
          <w:tcPr>
            <w:tcW w:w="1030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1"/>
                <w:sz w:val="24"/>
              </w:rPr>
              <w:t>|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tabs>
                <w:tab w:pos="1238" w:val="left" w:leader="none"/>
              </w:tabs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0.7487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0.862</w:t>
            </w:r>
          </w:p>
        </w:tc>
      </w:tr>
      <w:tr>
        <w:trPr>
          <w:trHeight w:val="271" w:hRule="atLeast"/>
        </w:trPr>
        <w:tc>
          <w:tcPr>
            <w:tcW w:w="1030" w:type="dxa"/>
          </w:tcPr>
          <w:p>
            <w:pPr>
              <w:pStyle w:val="TableParagraph"/>
              <w:spacing w:line="251" w:lineRule="exact"/>
              <w:ind w:left="328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643" w:type="dxa"/>
          </w:tcPr>
          <w:p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1291" w:type="dxa"/>
          </w:tcPr>
          <w:p>
            <w:pPr>
              <w:pStyle w:val="TableParagraph"/>
              <w:spacing w:line="251" w:lineRule="exact"/>
              <w:ind w:left="590"/>
              <w:rPr>
                <w:sz w:val="24"/>
              </w:rPr>
            </w:pPr>
            <w:r>
              <w:rPr>
                <w:sz w:val="24"/>
              </w:rPr>
              <w:t>. *|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526" w:type="dxa"/>
          </w:tcPr>
          <w:p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  <w:tc>
          <w:tcPr>
            <w:tcW w:w="881" w:type="dxa"/>
          </w:tcPr>
          <w:p>
            <w:pPr>
              <w:pStyle w:val="TableParagraph"/>
              <w:spacing w:line="251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-0.066</w:t>
            </w:r>
          </w:p>
        </w:tc>
        <w:tc>
          <w:tcPr>
            <w:tcW w:w="865" w:type="dxa"/>
          </w:tcPr>
          <w:p>
            <w:pPr>
              <w:pStyle w:val="TableParagraph"/>
              <w:spacing w:line="251" w:lineRule="exact"/>
              <w:ind w:left="71" w:right="133"/>
              <w:jc w:val="center"/>
              <w:rPr>
                <w:sz w:val="24"/>
              </w:rPr>
            </w:pPr>
            <w:r>
              <w:rPr>
                <w:sz w:val="24"/>
              </w:rPr>
              <w:t>-0.088</w:t>
            </w:r>
          </w:p>
        </w:tc>
        <w:tc>
          <w:tcPr>
            <w:tcW w:w="996" w:type="dxa"/>
          </w:tcPr>
          <w:p>
            <w:pPr>
              <w:pStyle w:val="TableParagraph"/>
              <w:spacing w:line="251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0.9213</w:t>
            </w:r>
          </w:p>
        </w:tc>
        <w:tc>
          <w:tcPr>
            <w:tcW w:w="759" w:type="dxa"/>
          </w:tcPr>
          <w:p>
            <w:pPr>
              <w:pStyle w:val="TableParagraph"/>
              <w:spacing w:line="25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0.921</w:t>
            </w:r>
          </w:p>
        </w:tc>
      </w:tr>
      <w:tr>
        <w:trPr>
          <w:trHeight w:val="281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1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1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7" w:type="dxa"/>
          </w:tcPr>
          <w:p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865" w:type="dxa"/>
          </w:tcPr>
          <w:p>
            <w:pPr>
              <w:pStyle w:val="TableParagraph"/>
              <w:spacing w:line="251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996" w:type="dxa"/>
          </w:tcPr>
          <w:p>
            <w:pPr>
              <w:pStyle w:val="TableParagraph"/>
              <w:spacing w:line="251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0.9380</w:t>
            </w:r>
          </w:p>
        </w:tc>
        <w:tc>
          <w:tcPr>
            <w:tcW w:w="759" w:type="dxa"/>
          </w:tcPr>
          <w:p>
            <w:pPr>
              <w:pStyle w:val="TableParagraph"/>
              <w:spacing w:line="25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</w:tr>
      <w:tr>
        <w:trPr>
          <w:trHeight w:val="276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133"/>
              <w:jc w:val="center"/>
              <w:rPr>
                <w:sz w:val="24"/>
              </w:rPr>
            </w:pPr>
            <w:r>
              <w:rPr>
                <w:sz w:val="24"/>
              </w:rPr>
              <w:t>-0.019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0.9406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0.988</w:t>
            </w:r>
          </w:p>
        </w:tc>
      </w:tr>
      <w:tr>
        <w:trPr>
          <w:trHeight w:val="275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0.9461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0.996</w:t>
            </w:r>
          </w:p>
        </w:tc>
      </w:tr>
      <w:tr>
        <w:trPr>
          <w:trHeight w:val="276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-0.008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133"/>
              <w:jc w:val="center"/>
              <w:rPr>
                <w:sz w:val="24"/>
              </w:rPr>
            </w:pPr>
            <w:r>
              <w:rPr>
                <w:sz w:val="24"/>
              </w:rPr>
              <w:t>-0.021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0.9492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</w:tr>
      <w:tr>
        <w:trPr>
          <w:trHeight w:val="275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-0.023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133"/>
              <w:jc w:val="center"/>
              <w:rPr>
                <w:sz w:val="24"/>
              </w:rPr>
            </w:pPr>
            <w:r>
              <w:rPr>
                <w:sz w:val="24"/>
              </w:rPr>
              <w:t>-0.012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0.9753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</w:tr>
      <w:tr>
        <w:trPr>
          <w:trHeight w:val="275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0.9835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276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0.9938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275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1.0197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276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1.0220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275" w:hRule="atLeast"/>
        </w:trPr>
        <w:tc>
          <w:tcPr>
            <w:tcW w:w="2964" w:type="dxa"/>
            <w:gridSpan w:val="3"/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</w:tcPr>
          <w:p>
            <w:pPr>
              <w:pStyle w:val="TableParagraph"/>
              <w:spacing w:line="25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7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1.0220</w:t>
            </w:r>
          </w:p>
        </w:tc>
        <w:tc>
          <w:tcPr>
            <w:tcW w:w="759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381" w:hRule="atLeast"/>
        </w:trPr>
        <w:tc>
          <w:tcPr>
            <w:tcW w:w="2964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976" w:val="left" w:leader="none"/>
                <w:tab w:pos="2263" w:val="left" w:leader="none"/>
                <w:tab w:pos="2911" w:val="left" w:leader="none"/>
              </w:tabs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  <w:t>|</w:t>
              <w:tab/>
              <w:t>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|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|</w:t>
            </w:r>
          </w:p>
        </w:tc>
        <w:tc>
          <w:tcPr>
            <w:tcW w:w="1407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8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99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40" w:right="155"/>
              <w:jc w:val="center"/>
              <w:rPr>
                <w:sz w:val="24"/>
              </w:rPr>
            </w:pPr>
            <w:r>
              <w:rPr>
                <w:sz w:val="24"/>
              </w:rPr>
              <w:t>1.0231</w:t>
            </w:r>
          </w:p>
        </w:tc>
        <w:tc>
          <w:tcPr>
            <w:tcW w:w="75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pStyle w:val="Heading2"/>
        <w:spacing w:before="112"/>
        <w:ind w:left="871"/>
      </w:pPr>
      <w:r>
        <w:rPr/>
        <w:pict>
          <v:shape style="position:absolute;margin-left:108.140007pt;margin-top:24.723112pt;width:394.55pt;height:2.2pt;mso-position-horizontal-relative:page;mso-position-vertical-relative:paragraph;z-index:-15553024;mso-wrap-distance-left:0;mso-wrap-distance-right:0" coordorigin="2163,494" coordsize="7891,44" path="m4328,523l2163,523,2163,538,4328,538,4328,523xm4328,494l2163,494,2163,509,4328,509,4328,494xm10053,523l8524,523,8442,523,6985,523,6904,523,6904,523,5449,523,5367,523,4410,523,4328,523,4328,538,4410,538,5367,538,5449,538,6904,538,6904,538,6985,538,8442,538,8524,538,10053,538,10053,523xm10053,494l8524,494,8442,494,6985,494,6904,494,6904,494,5449,494,5367,494,4410,494,4328,494,4328,509,4410,509,5367,509,5449,509,6904,509,6904,509,6985,509,8442,509,8524,509,10053,509,10053,49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6.940002pt;margin-top:-32.826893pt;width:194.45pt;height:196.9pt;mso-position-horizontal-relative:page;mso-position-vertical-relative:paragraph;z-index:-25254400" coordorigin="2339,-657" coordsize="3889,3938" path="m3369,3063l3367,3034,3362,3003,3353,2971,3340,2938,3324,2905,3304,2871,3281,2837,3255,2802,3224,2767,3191,2731,2711,2252,2708,2249,2701,2247,2697,2247,2693,2247,2689,2249,2680,2254,2669,2262,2657,2274,2649,2284,2644,2294,2642,2298,2641,2303,2642,2306,2644,2313,2647,2316,3127,2796,3152,2822,3174,2848,3194,2872,3210,2896,3225,2919,3236,2942,3246,2964,3253,2985,3257,3005,3259,3025,3258,3044,3255,3062,3250,3079,3242,3096,3231,3111,3218,3126,3204,3138,3189,3148,3172,3156,3155,3161,3137,3164,3118,3165,3098,3163,3077,3158,3056,3152,3033,3142,3010,3130,2986,3115,2961,3098,2936,3078,2910,3055,2883,3029,2409,2555,2405,2552,2398,2549,2395,2549,2391,2550,2387,2551,2377,2556,2366,2564,2354,2577,2346,2587,2343,2593,2340,2601,2339,2605,2339,2608,2342,2616,2344,2619,2831,3106,2867,3140,2902,3170,2937,3197,2971,3220,3004,3239,3037,3255,3068,3266,3098,3274,3128,3279,3157,3281,3184,3278,3211,3273,3236,3264,3260,3252,3282,3237,3303,3218,3323,3196,3340,3172,3352,3146,3361,3120,3367,3092,3369,3063xm3958,2530l3956,2518,3954,2511,3946,2496,3940,2488,3932,2480,3209,1757,3207,1755,3200,1753,3195,1752,3187,1754,3182,1756,3167,1768,3155,1779,3143,1795,3141,1799,3139,1808,3140,1812,3143,1819,3145,1822,3571,2248,3770,2446,3770,2446,3696,2407,3543,2328,3482,2298,3385,2250,3081,2098,2993,2054,2972,2044,2951,2036,2940,2033,2931,2032,2923,2032,2914,2033,2901,2040,2893,2045,2847,2091,2845,2100,2846,2113,2848,2122,2853,2133,2861,2144,2872,2156,3591,2875,3597,2881,3605,2884,3608,2884,3612,2883,3616,2882,3626,2877,3631,2874,3636,2869,3649,2856,3654,2851,3657,2846,3662,2836,3663,2832,3664,2828,3664,2824,3662,2820,3661,2817,3659,2814,3141,2295,3005,2163,3006,2162,3076,2201,3150,2239,3344,2337,3567,2447,3804,2565,3818,2571,3842,2581,3857,2587,3869,2590,3879,2591,3890,2593,3899,2592,3906,2589,3913,2587,3920,2582,3952,2550,3954,2546,3958,2536,3958,2530xm4162,2330l4162,2327,4159,2320,4157,2316,4154,2313,3402,1561,3399,1559,3391,1556,3388,1556,3384,1557,3376,1560,3370,1563,3360,1571,3348,1583,3340,1593,3335,1603,3333,1607,3332,1612,3332,1615,3335,1622,3337,1626,4092,2381,4095,2384,4102,2386,4106,2386,4109,2385,4114,2384,4124,2379,4135,2371,4147,2359,4155,2348,4160,2338,4161,2334,4162,2330xm4485,2004l4483,1995,4481,1990,4477,1985,4434,1917,3899,1081,3889,1070,3884,1067,3880,1065,3875,1064,3870,1066,3864,1069,3853,1078,3831,1100,3823,1110,3821,1115,3820,1123,3820,1127,3824,1135,3873,1210,4349,1935,4349,1936,4283,1893,3553,1419,3544,1414,3540,1412,3536,1410,3524,1411,3520,1413,3511,1420,3489,1442,3474,1460,3472,1466,3474,1476,3476,1481,3482,1486,3488,1491,3507,1505,3575,1549,4391,2070,4398,2075,4401,2075,4404,2077,4407,2078,4414,2078,4417,2078,4420,2076,4427,2074,4430,2071,4443,2062,4471,2034,4480,2023,4482,2019,4485,2008,4485,2004xm4997,1496l4996,1489,4991,1480,4987,1474,4971,1456,4964,1448,4956,1441,4937,1424,4923,1416,4916,1415,4912,1415,4909,1416,4715,1611,4435,1332,4601,1167,4602,1164,4602,1158,4601,1154,4598,1146,4594,1141,4578,1123,4563,1108,4545,1091,4539,1087,4531,1083,4526,1082,4519,1082,4517,1083,4352,1248,4107,1004,4299,811,4300,809,4300,802,4299,798,4295,789,4291,784,4286,778,4275,765,4260,750,4247,738,4236,730,4226,725,4223,724,4215,724,4213,725,3974,964,3972,972,3973,983,3975,993,3980,1002,3988,1013,3998,1024,4694,1720,4705,1730,4716,1738,4725,1743,4734,1745,4746,1746,4754,1744,4996,1503,4997,1500,4997,1496xm5431,1061l5430,1058,5429,1055,5427,1052,5424,1048,5421,1045,5418,1042,5413,1038,5406,1033,5369,1010,5185,900,5167,889,5135,871,5118,861,5085,843,5070,836,5056,829,5042,823,5028,818,5015,813,5002,810,4990,807,4981,805,4978,805,4967,804,4956,804,4946,804,4935,805,4940,789,4942,772,4944,755,4945,737,4944,720,4942,702,4938,684,4933,666,4926,648,4918,630,4909,611,4897,592,4884,573,4869,554,4852,535,4848,531,4848,743,4846,757,4843,772,4837,786,4830,800,4820,813,4809,826,4745,889,4483,627,4537,572,4546,563,4555,555,4563,548,4570,543,4579,536,4588,531,4597,528,4619,522,4641,520,4663,523,4685,530,4708,541,4730,556,4753,574,4776,595,4789,609,4802,623,4813,638,4823,653,4831,668,4838,683,4843,698,4846,713,4848,728,4848,743,4848,531,4838,520,4834,515,4813,496,4793,478,4773,463,4752,449,4732,437,4712,427,4691,418,4671,412,4651,407,4631,404,4611,404,4592,405,4573,408,4554,414,4536,421,4517,430,4510,435,4501,442,4492,449,4485,455,4477,462,4469,469,4460,478,4408,530,4356,582,4351,587,4348,596,4349,607,4352,616,4357,626,4364,637,4375,648,5100,1373,5103,1376,5107,1377,5110,1378,5113,1379,5117,1377,5122,1376,5126,1374,5132,1371,5136,1368,5142,1364,5155,1351,5159,1345,5163,1340,5166,1335,5168,1331,5168,1326,5169,1323,5170,1319,5168,1315,5167,1312,5164,1308,4931,1075,4829,973,4851,952,4872,930,4884,920,4896,912,4908,906,4921,902,4934,901,4948,900,4963,901,4978,904,4993,909,5010,914,5026,921,5043,929,5061,939,5079,949,5098,959,5117,971,5289,1075,5346,1110,5352,1114,5357,1117,5362,1118,5366,1120,5370,1121,5375,1120,5380,1120,5384,1117,5389,1114,5394,1110,5400,1106,5414,1092,5419,1085,5423,1080,5427,1075,5429,1070,5431,1061xm5698,730l5696,704,5691,678,5683,652,5672,625,5659,597,5642,570,5622,542,5600,515,5574,487,5551,465,5528,446,5505,430,5483,416,5462,405,5441,395,5420,388,5399,382,5379,378,5359,376,5339,374,5320,374,5301,375,5282,377,5246,381,5192,389,5157,393,5140,394,5123,395,5106,394,5089,392,5073,389,5056,384,5039,377,5023,369,5007,359,4990,346,4974,331,4963,319,4953,308,4945,296,4937,284,4930,271,4924,259,4920,247,4917,234,4915,223,4915,211,4916,198,4918,186,4922,175,4928,164,4936,153,4945,142,4957,132,4968,124,4980,117,4993,111,5006,108,5019,105,5031,102,5043,100,5065,99,5095,98,5102,96,5107,92,5107,86,5105,79,5094,64,5084,53,5057,25,5046,16,5034,6,5027,2,5014,-2,5008,-3,4998,-3,4984,-2,4973,-1,4963,1,4941,7,4930,11,4919,15,4909,20,4898,25,4888,32,4878,39,4870,46,4861,54,4846,70,4834,88,4824,106,4816,126,4810,147,4807,168,4806,190,4808,213,4813,236,4820,259,4829,283,4842,307,4857,332,4874,357,4895,382,4918,406,4941,429,4964,448,4987,464,5009,478,5031,489,5052,499,5073,507,5093,513,5113,517,5133,520,5153,521,5172,522,5191,521,5210,520,5246,515,5317,505,5335,503,5352,502,5368,502,5385,502,5401,504,5418,508,5435,513,5451,519,5468,527,5484,538,5501,551,5517,566,5532,581,5545,597,5556,612,5565,628,5573,643,5579,658,5584,673,5587,687,5588,702,5588,716,5586,730,5582,743,5577,756,5571,769,5562,780,5553,791,5538,804,5524,815,5509,823,5493,829,5477,834,5462,838,5448,841,5434,843,5421,845,5409,846,5397,846,5374,845,5365,847,5360,852,5359,855,5359,861,5360,864,5365,874,5369,879,5387,899,5405,917,5413,924,5421,931,5428,935,5436,942,5445,946,5453,948,5460,950,5471,951,5496,949,5508,948,5520,945,5533,942,5546,939,5559,934,5573,928,5586,921,5600,914,5613,905,5626,894,5638,883,5654,865,5668,845,5680,825,5689,802,5695,779,5698,755,5698,730xm5942,550l5942,546,5940,539,5937,536,5934,533,5182,-219,5179,-222,5172,-224,5168,-224,5164,-224,5156,-220,5151,-217,5140,-209,5128,-197,5124,-192,5120,-187,5115,-177,5114,-173,5113,-169,5113,-165,5115,-158,5117,-154,5872,601,5876,603,5883,606,5886,606,5890,605,5894,604,5904,599,5915,590,5927,578,5935,567,5938,562,5940,558,5942,550xm6227,265l6227,261,6224,254,6222,251,5542,-428,5681,-567,5683,-570,5683,-573,5682,-581,5679,-585,5677,-590,5673,-595,5657,-614,5649,-622,5641,-629,5622,-646,5616,-650,5607,-656,5603,-656,5596,-657,5593,-655,5251,-313,5250,-310,5250,-307,5250,-303,5251,-300,5256,-290,5260,-285,5265,-279,5271,-272,5277,-265,5292,-250,5299,-243,5306,-239,5311,-233,5317,-229,5326,-225,5329,-224,5336,-224,5339,-225,5478,-364,6157,316,6161,318,6168,321,6171,321,6175,320,6179,319,6189,314,6200,306,6212,293,6217,287,6220,283,6225,273,6226,269,6227,265xe" filled="true" fillcolor="#ffc000" stroked="false">
            <v:path arrowok="t"/>
            <v:fill opacity="32896f" type="solid"/>
            <w10:wrap type="none"/>
          </v:shape>
        </w:pict>
      </w:r>
      <w:r>
        <w:rPr/>
        <w:t>A2:</w:t>
      </w:r>
      <w:r>
        <w:rPr>
          <w:spacing w:val="-3"/>
        </w:rPr>
        <w:t> </w:t>
      </w:r>
      <w:r>
        <w:rPr/>
        <w:t>Jarque</w:t>
      </w:r>
      <w:r>
        <w:rPr>
          <w:spacing w:val="-2"/>
        </w:rPr>
        <w:t> </w:t>
      </w:r>
      <w:r>
        <w:rPr/>
        <w:t>Bera</w:t>
      </w:r>
      <w:r>
        <w:rPr>
          <w:spacing w:val="-1"/>
        </w:rPr>
        <w:t> </w:t>
      </w:r>
      <w:r>
        <w:rPr/>
        <w:t>Statistic</w:t>
      </w:r>
    </w:p>
    <w:p>
      <w:pPr>
        <w:pStyle w:val="BodyText"/>
        <w:tabs>
          <w:tab w:pos="2234" w:val="left" w:leader="none"/>
          <w:tab w:pos="3444" w:val="left" w:leader="none"/>
          <w:tab w:pos="7163" w:val="left" w:leader="none"/>
        </w:tabs>
        <w:spacing w:before="73" w:after="109"/>
        <w:ind w:right="911"/>
        <w:jc w:val="center"/>
      </w:pPr>
      <w:r>
        <w:rPr/>
        <w:t>F-statistic</w:t>
        <w:tab/>
        <w:t>41.19665</w:t>
        <w:tab/>
        <w:t>Probability</w:t>
        <w:tab/>
        <w:t>0.0000</w:t>
      </w:r>
    </w:p>
    <w:p>
      <w:pPr>
        <w:pStyle w:val="BodyText"/>
        <w:spacing w:line="43" w:lineRule="exact"/>
        <w:ind w:left="842"/>
        <w:rPr>
          <w:sz w:val="4"/>
        </w:rPr>
      </w:pPr>
      <w:r>
        <w:rPr>
          <w:position w:val="0"/>
          <w:sz w:val="4"/>
        </w:rPr>
        <w:pict>
          <v:group style="width:394.55pt;height:2.2pt;mso-position-horizontal-relative:char;mso-position-vertical-relative:line" coordorigin="0,0" coordsize="7891,44">
            <v:shape style="position:absolute;left:0;top:0;width:7891;height:44" coordorigin="0,0" coordsize="7891,44" path="m2165,29l0,29,0,43,2165,43,2165,29xm2165,0l0,0,0,14,2165,14,2165,0xm7890,29l6323,29,6279,29,4784,29,4741,29,4741,29,3248,29,3205,29,2209,29,2165,29,2165,43,2209,43,3205,43,3248,43,4741,43,4741,43,4784,43,6279,43,6323,43,7890,43,7890,29xm7890,0l6323,0,6279,0,4784,0,4741,0,4741,0,3248,0,3205,0,2209,0,2165,0,2165,14,2209,14,3205,14,3248,14,4741,14,4741,14,4784,14,6279,14,6323,14,7890,14,789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4"/>
        </w:rPr>
      </w:r>
    </w:p>
    <w:p>
      <w:pPr>
        <w:pStyle w:val="Heading2"/>
        <w:spacing w:before="107"/>
        <w:ind w:left="871"/>
      </w:pPr>
      <w:r>
        <w:rPr/>
        <w:pict>
          <v:rect style="position:absolute;margin-left:108.139999pt;margin-top:24.353125pt;width:108.26pt;height:.72pt;mso-position-horizontal-relative:page;mso-position-vertical-relative:paragraph;z-index:-1555200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08.139999pt;margin-top:91.313095pt;width:108.26pt;height:.72003pt;mso-position-horizontal-relative:page;mso-position-vertical-relative:paragraph;z-index:-25253376" filled="true" fillcolor="#000000" stroked="false">
            <v:fill type="solid"/>
            <w10:wrap type="none"/>
          </v:rect>
        </w:pict>
      </w:r>
      <w:r>
        <w:rPr/>
        <w:t>A3:</w:t>
      </w:r>
      <w:r>
        <w:rPr>
          <w:spacing w:val="-4"/>
        </w:rPr>
        <w:t> </w:t>
      </w:r>
      <w:r>
        <w:rPr/>
        <w:t>Breusch-Godfrey</w:t>
      </w:r>
      <w:r>
        <w:rPr>
          <w:spacing w:val="-1"/>
        </w:rPr>
        <w:t> </w:t>
      </w:r>
      <w:r>
        <w:rPr/>
        <w:t>Serial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LM</w:t>
      </w:r>
      <w:r>
        <w:rPr>
          <w:spacing w:val="-3"/>
        </w:rPr>
        <w:t> </w:t>
      </w:r>
      <w:r>
        <w:rPr/>
        <w:t>Test:</w:t>
      </w: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2428"/>
        <w:gridCol w:w="2143"/>
      </w:tblGrid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0.765935</w:t>
            </w:r>
          </w:p>
        </w:tc>
        <w:tc>
          <w:tcPr>
            <w:tcW w:w="24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4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0.475502</w:t>
            </w:r>
          </w:p>
        </w:tc>
      </w:tr>
      <w:tr>
        <w:trPr>
          <w:trHeight w:val="378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1.905320</w:t>
            </w:r>
          </w:p>
        </w:tc>
        <w:tc>
          <w:tcPr>
            <w:tcW w:w="24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4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0.385714</w:t>
            </w:r>
          </w:p>
        </w:tc>
      </w:tr>
      <w:tr>
        <w:trPr>
          <w:trHeight w:val="502" w:hRule="atLeast"/>
        </w:trPr>
        <w:tc>
          <w:tcPr>
            <w:tcW w:w="2165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A4: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ARCH Test:</w:t>
            </w:r>
          </w:p>
        </w:tc>
        <w:tc>
          <w:tcPr>
            <w:tcW w:w="115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6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98"/>
              <w:rPr>
                <w:sz w:val="24"/>
              </w:rPr>
            </w:pPr>
            <w:r>
              <w:rPr>
                <w:sz w:val="24"/>
              </w:rPr>
              <w:t>0.030924</w:t>
            </w:r>
          </w:p>
        </w:tc>
        <w:tc>
          <w:tcPr>
            <w:tcW w:w="24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4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0.861592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0.032952</w:t>
            </w:r>
          </w:p>
        </w:tc>
        <w:tc>
          <w:tcPr>
            <w:tcW w:w="24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4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0.855955</w:t>
            </w:r>
          </w:p>
        </w:tc>
      </w:tr>
      <w:tr>
        <w:trPr>
          <w:trHeight w:val="499" w:hRule="atLeast"/>
        </w:trPr>
        <w:tc>
          <w:tcPr>
            <w:tcW w:w="7889" w:type="dxa"/>
            <w:gridSpan w:val="4"/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A5: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Heteroskedasticity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1.287913</w:t>
            </w:r>
          </w:p>
        </w:tc>
        <w:tc>
          <w:tcPr>
            <w:tcW w:w="24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4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0.295631</w:t>
            </w:r>
          </w:p>
        </w:tc>
      </w:tr>
      <w:tr>
        <w:trPr>
          <w:trHeight w:val="378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11.05802</w:t>
            </w:r>
          </w:p>
        </w:tc>
        <w:tc>
          <w:tcPr>
            <w:tcW w:w="24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4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0.271753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2428"/>
        <w:gridCol w:w="2143"/>
      </w:tblGrid>
      <w:tr>
        <w:trPr>
          <w:trHeight w:val="659" w:hRule="atLeast"/>
        </w:trPr>
        <w:tc>
          <w:tcPr>
            <w:tcW w:w="7889" w:type="dxa"/>
            <w:gridSpan w:val="4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Stability Tests</w:t>
            </w: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B1: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5.545454</w:t>
            </w:r>
          </w:p>
        </w:tc>
        <w:tc>
          <w:tcPr>
            <w:tcW w:w="24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4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0.026356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6.379988</w:t>
            </w:r>
          </w:p>
        </w:tc>
        <w:tc>
          <w:tcPr>
            <w:tcW w:w="24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4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0.011541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90"/>
        <w:ind w:left="811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064640">
            <wp:simplePos x="0" y="0"/>
            <wp:positionH relativeFrom="page">
              <wp:posOffset>1485138</wp:posOffset>
            </wp:positionH>
            <wp:positionV relativeFrom="paragraph">
              <wp:posOffset>329477</wp:posOffset>
            </wp:positionV>
            <wp:extent cx="5102225" cy="5044439"/>
            <wp:effectExtent l="0" t="0" r="0" b="0"/>
            <wp:wrapNone/>
            <wp:docPr id="3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08.139999pt;margin-top:-66.736847pt;width:108.26pt;height:.72pt;mso-position-horizontal-relative:page;mso-position-vertical-relative:paragraph;z-index:-25251328" filled="true" fillcolor="#000000" stroked="false">
            <v:fill type="solid"/>
            <w10:wrap type="none"/>
          </v:rect>
        </w:pict>
      </w:r>
      <w:r>
        <w:rPr/>
        <w:pict>
          <v:group style="position:absolute;margin-left:106.610008pt;margin-top:56.758652pt;width:227.35pt;height:147.9pt;mso-position-horizontal-relative:page;mso-position-vertical-relative:paragraph;z-index:-25250816" coordorigin="2132,1135" coordsize="4547,2958">
            <v:rect style="position:absolute;left:2132;top:1135;width:4547;height:2958" filled="true" fillcolor="#ffffff" stroked="false">
              <v:fill type="solid"/>
            </v:rect>
            <v:shape style="position:absolute;left:2525;top:1661;width:57;height:1823" coordorigin="2526,1661" coordsize="57,1823" path="m2526,3484l2583,3484m2526,3120l2583,3120m2526,2756l2583,2756m2526,2390l2583,2390m2526,2026l2583,2026m2526,1661l2583,1661e" filled="false" stroked="true" strokeweight=".394247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6.293327pt;margin-top:64.332909pt;width:194.7pt;height:112.7pt;mso-position-horizontal-relative:page;mso-position-vertical-relative:paragraph;z-index:-25250304" coordorigin="2526,1287" coordsize="3894,2254">
            <v:shape style="position:absolute;left:2525;top:1297;width:3881;height:730" coordorigin="2526,1297" coordsize="3881,730" path="m2526,1297l2583,1297m2589,2026l6406,2026e" filled="false" stroked="true" strokeweight=".394247pt" strokecolor="#000000">
              <v:path arrowok="t"/>
              <v:stroke dashstyle="solid"/>
            </v:shape>
            <v:shape style="position:absolute;left:2589;top:1714;width:3818;height:1485" coordorigin="2589,1714" coordsize="3818,1485" path="m2589,2023l2801,2025,3013,2025,3224,2026,3437,2026,3649,2023,3861,2030,4072,2030,4285,2030,4497,2010,4709,1714,4922,2259,5134,1985,5345,1912,5557,1840,5770,2958,5982,2091,6193,2133,6406,3199e" filled="false" stroked="true" strokeweight=".412687pt" strokecolor="#0000ff">
              <v:path arrowok="t"/>
              <v:stroke dashstyle="solid"/>
            </v:shape>
            <v:shape style="position:absolute;left:2589;top:2032;width:2346;height:168" coordorigin="2589,2032" coordsize="2346,168" path="m2589,2033l2627,2033m2648,2033l2686,2033m2708,2033l2745,2033m2767,2033l2801,2033,2805,2033m2827,2033l2864,2033m2886,2033l2924,2033m2945,2033l2983,2033m3005,2033l3013,2033,3042,2032m4489,2035l4497,2036,4521,2050m4537,2061l4566,2079m4582,2088l4611,2106m4628,2117l4656,2135m4673,2146l4701,2164m4721,2170l4758,2176m4780,2179l4817,2184m4839,2187l4876,2193m4897,2196l4922,2200,4935,2199e" filled="false" stroked="true" strokeweight=".458193pt" strokecolor="#ff0000">
              <v:path arrowok="t"/>
              <v:stroke dashstyle="solid"/>
            </v:shape>
            <v:line style="position:absolute" from="4953,2199" to="4998,2199" stroked="true" strokeweight=".444592pt" strokecolor="#ff0000">
              <v:stroke dashstyle="solid"/>
            </v:line>
            <v:shape style="position:absolute;left:5016;top:2196;width:157;height:2" coordorigin="5016,2197" coordsize="157,2" path="m5016,2198l5054,2198m5076,2197l5113,2197m5135,2197l5172,2197e" filled="false" stroked="true" strokeweight=".458193pt" strokecolor="#ff0000">
              <v:path arrowok="t"/>
              <v:stroke dashstyle="solid"/>
            </v:shape>
            <v:line style="position:absolute" from="5190,2197" to="5236,2197" stroked="true" strokeweight=".452019pt" strokecolor="#ff0000">
              <v:stroke dashstyle="solid"/>
            </v:line>
            <v:line style="position:absolute" from="5250,2199" to="5295,2199" stroked="true" strokeweight=".444592pt" strokecolor="#ff0000">
              <v:stroke dashstyle="solid"/>
            </v:line>
            <v:shape style="position:absolute;left:5309;top:2195;width:480;height:258" type="#_x0000_t75" stroked="false">
              <v:imagedata r:id="rId48" o:title=""/>
            </v:shape>
            <v:line style="position:absolute" from="5802,2445" to="5848,2445" stroked="true" strokeweight=".44088pt" strokecolor="#ff0000">
              <v:stroke dashstyle="solid"/>
            </v:line>
            <v:line style="position:absolute" from="5862,2443" to="5907,2443" stroked="true" strokeweight=".444591pt" strokecolor="#ff0000">
              <v:stroke dashstyle="solid"/>
            </v:line>
            <v:line style="position:absolute" from="5921,2441" to="5966,2441" stroked="true" strokeweight=".452019pt" strokecolor="#ff0000">
              <v:stroke dashstyle="solid"/>
            </v:line>
            <v:line style="position:absolute" from="5979,2439" to="6025,2439" stroked="true" strokeweight=".440881pt" strokecolor="#ff0000">
              <v:stroke dashstyle="solid"/>
            </v:line>
            <v:line style="position:absolute" from="6039,2438" to="6084,2438" stroked="true" strokeweight=".452019pt" strokecolor="#ff0000">
              <v:stroke dashstyle="solid"/>
            </v:line>
            <v:line style="position:absolute" from="6098,2436" to="6143,2436" stroked="true" strokeweight=".440881pt" strokecolor="#ff0000">
              <v:stroke dashstyle="solid"/>
            </v:line>
            <v:shape style="position:absolute;left:6157;top:2430;width:254;height:203" type="#_x0000_t75" stroked="false">
              <v:imagedata r:id="rId49" o:title=""/>
            </v:shape>
            <v:line style="position:absolute" from="2589,2019" to="4230,2019" stroked="true" strokeweight=".396476pt" strokecolor="#ff0000">
              <v:stroke dashstyle="shortdot"/>
            </v:line>
            <v:shape style="position:absolute;left:4251;top:2018;width:38;height:2" coordorigin="4252,2018" coordsize="38,1" path="m4252,2019l4285,2019,4289,2018e" filled="false" stroked="true" strokeweight=".396557pt" strokecolor="#ff0000">
              <v:path arrowok="t"/>
              <v:stroke dashstyle="solid"/>
            </v:shape>
            <v:line style="position:absolute" from="4307,2018" to="4353,2018" stroked="true" strokeweight=".440881pt" strokecolor="#ff0000">
              <v:stroke dashstyle="solid"/>
            </v:line>
            <v:line style="position:absolute" from="4367,2017" to="4412,2017" stroked="true" strokeweight=".452019pt" strokecolor="#ff0000">
              <v:stroke dashstyle="solid"/>
            </v:line>
            <v:line style="position:absolute" from="4426,2016" to="4472,2016" stroked="true" strokeweight=".444591pt" strokecolor="#ff0000">
              <v:stroke dashstyle="solid"/>
            </v:line>
            <v:shape style="position:absolute;left:4489;top:1851;width:446;height:164" coordorigin="4489,1852" coordsize="446,164" path="m4489,2015l4497,2015,4521,2001m4537,1990l4566,1972m4582,1962l4611,1944m4628,1934l4656,1916m4673,1905l4701,1887m4721,1880l4758,1874m4780,1871l4817,1866m4839,1864l4876,1858m4897,1855l4922,1852,4935,1852e" filled="false" stroked="true" strokeweight=".458193pt" strokecolor="#ff0000">
              <v:path arrowok="t"/>
              <v:stroke dashstyle="solid"/>
            </v:shape>
            <v:line style="position:absolute" from="4953,1852" to="4998,1852" stroked="true" strokeweight=".440881pt" strokecolor="#ff0000">
              <v:stroke dashstyle="solid"/>
            </v:line>
            <v:shape style="position:absolute;left:5016;top:1852;width:157;height:2" coordorigin="5016,1853" coordsize="157,1" path="m5016,1853l5054,1853m5076,1854l5113,1854m5135,1854l5172,1854e" filled="false" stroked="true" strokeweight=".458193pt" strokecolor="#ff0000">
              <v:path arrowok="t"/>
              <v:stroke dashstyle="solid"/>
            </v:shape>
            <v:line style="position:absolute" from="5190,1853" to="5236,1853" stroked="true" strokeweight=".444592pt" strokecolor="#ff0000">
              <v:stroke dashstyle="solid"/>
            </v:line>
            <v:line style="position:absolute" from="5250,1852" to="5295,1852" stroked="true" strokeweight=".440881pt" strokecolor="#ff0000">
              <v:stroke dashstyle="solid"/>
            </v:line>
            <v:shape style="position:absolute;left:5309;top:1599;width:480;height:257" type="#_x0000_t75" stroked="false">
              <v:imagedata r:id="rId50" o:title=""/>
            </v:shape>
            <v:line style="position:absolute" from="5802,1605" to="5848,1605" stroked="true" strokeweight=".444591pt" strokecolor="#ff0000">
              <v:stroke dashstyle="solid"/>
            </v:line>
            <v:line style="position:absolute" from="5862,1607" to="5907,1607" stroked="true" strokeweight=".452018pt" strokecolor="#ff0000">
              <v:stroke dashstyle="solid"/>
            </v:line>
            <v:line style="position:absolute" from="5921,1609" to="5966,1609" stroked="true" strokeweight=".440881pt" strokecolor="#ff0000">
              <v:stroke dashstyle="solid"/>
            </v:line>
            <v:line style="position:absolute" from="5981,1611" to="6026,1611" stroked="true" strokeweight=".444594pt" strokecolor="#ff0000">
              <v:stroke dashstyle="solid"/>
            </v:line>
            <v:line style="position:absolute" from="6040,1612" to="6085,1612" stroked="true" strokeweight=".440881pt" strokecolor="#ff0000">
              <v:stroke dashstyle="solid"/>
            </v:line>
            <v:line style="position:absolute" from="6099,1614" to="6145,1614" stroked="true" strokeweight=".444592pt" strokecolor="#ff0000">
              <v:stroke dashstyle="solid"/>
            </v:line>
            <v:shape style="position:absolute;left:6158;top:1417;width:253;height:203" type="#_x0000_t75" stroked="false">
              <v:imagedata r:id="rId51" o:title=""/>
            </v:shape>
            <v:shape style="position:absolute;left:2589;top:3494;width:3818;height:46" coordorigin="2589,3495" coordsize="3818,46" path="m2589,3495l2589,3540m2589,3495l2589,3540m2801,3495l2801,3540m3013,3495l3013,3540m3013,3495l3013,3540m3224,3495l3224,3540m3437,3495l3437,3540m3437,3495l3437,3540m3649,3495l3649,3540m3861,3495l3861,3540m3861,3495l3861,3540m4072,3495l4072,3540m4285,3495l4285,3540m4285,3495l4285,3540m4497,3495l4497,3540m4709,3495l4709,3540m4709,3495l4709,3540m4922,3495l4922,3540m5134,3495l5134,3540m5134,3495l5134,3540m5345,3495l5345,3540m5557,3495l5557,3540m5557,3495l5557,3540m5770,3495l5770,3540m5982,3495l5982,3540m5982,3495l5982,3540m6193,3495l6193,3540m6406,3495l6406,3540m6406,3495l6406,3540e" filled="false" stroked="true" strokeweight=".394247pt" strokecolor="#000000">
              <v:path arrowok="t"/>
              <v:stroke dashstyle="solid"/>
            </v:shape>
            <v:rect style="position:absolute;left:2582;top:1292;width:3832;height:2199" filled="false" stroked="true" strokeweight=".52635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44.710022pt;margin-top:56.758579pt;width:223.6pt;height:151.5pt;mso-position-horizontal-relative:page;mso-position-vertical-relative:paragraph;z-index:-25249280" coordorigin="6894,1135" coordsize="4472,3030">
            <v:rect style="position:absolute;left:6894;top:1135;width:4472;height:3030" filled="true" fillcolor="#ffffff" stroked="false">
              <v:fill type="solid"/>
            </v:rect>
            <v:shape style="position:absolute;left:7202;top:1300;width:3889;height:2297" coordorigin="7202,1301" coordsize="3889,2297" path="m7202,3540l7259,3540m7202,3167l7259,3167m7202,2795l7259,2795m7202,2421l7259,2421m7202,2048l7259,2048m7202,1674l7259,1674m7202,1301l7259,1301m7265,2421l11090,2421m7265,3551l7265,3598m7478,3551l7478,3598m7690,3551l7690,3598m7902,3551l7902,3598m8115,3551l8115,3598m8327,3551l8327,3598m8540,3551l8540,3598m8752,3551l8752,3598m8965,3551l8965,3598m9177,3551l9177,3598m9389,3551l9389,3598m9603,3551l9603,3598m9815,3551l9815,3598m10027,3551l10027,3598m10239,3551l10239,3598m10453,3551l10453,3598m10665,3551l10665,3598m10877,3551l10877,3598m11090,3551l11090,3598m7265,3551l7265,3598m7690,3551l7690,3598m8115,3551l8115,3598m8540,3551l8540,3598m8965,3551l8965,3598m9389,3551l9389,3598m9815,3551l9815,3598m10239,3551l10239,3598m10665,3551l10665,3598m11090,3551l11090,3598e" filled="false" stroked="true" strokeweight=".399007pt" strokecolor="#000000">
              <v:path arrowok="t"/>
              <v:stroke dashstyle="solid"/>
            </v:shape>
            <v:shape style="position:absolute;left:7265;top:2330;width:3825;height:478" coordorigin="7265,2331" coordsize="3825,478" path="m7265,2421l7478,2420,7690,2420,7902,2420,8115,2420,8327,2420,8540,2421,8752,2422,8965,2423,9177,2419,9389,2354,9603,2402,9815,2393,10027,2370,10239,2331,10453,2527,10665,2540,10877,2562,11090,2809e" filled="false" stroked="true" strokeweight=".4079pt" strokecolor="#0000ff">
              <v:path arrowok="t"/>
              <v:stroke dashstyle="solid"/>
            </v:shape>
            <v:shape style="position:absolute;left:7265;top:1494;width:3825;height:1852" coordorigin="7265,1495" coordsize="3825,1852" path="m7265,2729l7303,2734m7325,2738l7361,2744m7383,2747l7419,2753m7441,2757l7478,2763,7478,2763m7500,2766l7536,2772m7558,2775l7594,2781m7616,2785l7654,2792m7675,2795l7690,2798,7712,2801m7734,2805l7771,2810m7793,2814l7829,2820m7851,2823l7888,2829m7910,2833l7947,2839m7969,2842l8005,2848m8027,2851l8064,2857m8085,2861l8115,2866,8122,2867m8144,2870l8180,2876m8202,2879l8238,2885m8260,2889l8298,2895m8320,2899l8327,2901,8356,2905m8378,2909l8415,2915m8437,2918l8474,2924m8496,2927l8532,2933m8554,2937l8590,2943m8612,2946l8648,2952m8670,2955l8706,2961m8729,2965l8752,2969,8765,2971m8787,2974l8823,2980m8845,2983l8881,2990m8903,2993l8939,2999m8961,3003l8965,3004,8997,3009m9019,3012l9056,3018m9078,3021l9114,3027m9136,3031l9173,3037m9195,3040l9232,3046m9254,3050l9291,3056m9313,3059l9349,3065m9371,3068l9389,3072,9408,3074m9429,3079l9466,3085m9488,3088l9524,3094m9546,3097l9582,3103m9603,3107l9640,3112m9662,3116l9699,3122m9721,3125l9757,3131m9779,3135l9815,3141,9815,3141m9837,3144l9874,3150m9896,3153l9933,3159m9955,3162l9991,3168m10013,3171l10027,3174,10049,3178m10071,3182l10109,3187m10131,3191l10167,3197m10189,3200l10225,3206m10247,3210l10285,3216m10306,3219l10343,3225m10365,3228l10401,3234m10423,3238l10453,3243,10459,3244m10481,3247l10517,3253m10540,3256l10576,3262m10598,3266l10635,3272m10657,3275l10665,3278,10693,3281m10715,3286l10753,3292m10775,3295l10811,3301m10833,3304l10869,3310m10891,3314l10929,3320m10951,3323l10987,3329m11009,3332l11045,3338m11067,3342l11090,3346m7265,2112l7302,2106m7324,2102l7360,2096m7382,2093l7418,2087m7440,2084l7476,2078m7497,2074l7535,2068m7556,2065l7593,2059m7615,2056l7651,2050m7673,2046l7690,2044,7709,2040m7731,2036l7767,2030m7789,2027l7826,2021m7848,2017l7885,2011m7907,2008l7943,2002m7965,1998l8003,1993m8025,1989l8061,1983m8083,1980l8115,1975,8119,1974m8141,1970l8179,1964m8201,1961l8237,1955m8259,1952l8295,1946m8317,1942l8327,1941,8353,1936m8375,1933l8412,1926m8433,1923l8470,1917m8492,1913l8529,1907m8551,1904l8587,1898m8609,1894l8647,1888m8669,1885l8705,1879m8727,1876l8752,1872,8763,1870m8785,1866l8822,1860m8844,1857l8880,1851m8902,1848l8938,1842m8960,1838l8965,1838,8996,1832m9018,1828l9054,1822m9076,1819l9113,1813m9135,1810l9171,1804m9193,1800l9229,1794m9251,1791l9287,1785m9309,1781l9347,1776m9369,1772l9389,1769,9405,1766m9427,1763l9463,1757m9485,1753l9523,1746m9545,1743l9581,1737m9603,1734l9639,1728m9661,1724l9697,1718m9719,1715l9756,1709m9777,1706l9814,1700m9834,1696l9872,1691m9894,1687l9931,1681m9953,1678l9990,1672m10012,1669l10027,1667,10048,1663m10070,1660l10106,1654m10128,1650l10166,1643m10187,1640l10224,1634m10246,1630l10283,1625m10305,1621l10341,1615m10363,1612l10400,1606m10422,1603l10453,1598,10458,1597m10480,1593l10516,1587m10538,1584l10574,1578m10596,1575l10633,1569m10654,1565l10665,1564,10691,1559m10713,1556l10749,1549m10771,1546l10807,1540m10829,1536l10867,1530m10889,1527l10925,1521m10947,1517l10984,1511m11006,1508l11043,1502m11064,1499l11090,1495e" filled="false" stroked="true" strokeweight=".463725pt" strokecolor="#ff0000">
              <v:path arrowok="t"/>
              <v:stroke dashstyle="solid"/>
            </v:shape>
            <v:rect style="position:absolute;left:7258;top:1295;width:3840;height:2252" filled="false" stroked="true" strokeweight=".536893pt" strokecolor="#000000">
              <v:stroke dashstyle="solid"/>
            </v:rect>
            <v:rect style="position:absolute;left:7856;top:3865;width:2635;height:196" filled="false" stroked="true" strokeweight=".349995pt" strokecolor="#000000">
              <v:stroke dashstyle="solid"/>
            </v:rect>
            <v:shape style="position:absolute;left:8976;top:3969;width:276;height:2" coordorigin="8977,3970" coordsize="276,0" path="m8977,3970l9014,3970m9036,3970l9074,3970m9096,3970l9133,3970m9155,3970l9193,3970m9215,3970l9252,3970e" filled="false" stroked="true" strokeweight=".463725pt" strokecolor="#ff0000">
              <v:path arrowok="t"/>
              <v:stroke dashstyle="solid"/>
            </v:shape>
            <w10:wrap type="none"/>
          </v:group>
        </w:pict>
      </w:r>
      <w:r>
        <w:rPr>
          <w:b/>
          <w:sz w:val="24"/>
        </w:rPr>
        <w:t>B2: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Recursive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Estimates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3"/>
        <w:gridCol w:w="4688"/>
      </w:tblGrid>
      <w:tr>
        <w:trPr>
          <w:trHeight w:val="3787" w:hRule="atLeast"/>
        </w:trPr>
        <w:tc>
          <w:tcPr>
            <w:tcW w:w="4763" w:type="dxa"/>
          </w:tcPr>
          <w:p>
            <w:pPr>
              <w:pStyle w:val="TableParagraph"/>
              <w:spacing w:line="275" w:lineRule="exact"/>
              <w:ind w:left="1351"/>
              <w:rPr>
                <w:b/>
                <w:sz w:val="24"/>
              </w:rPr>
            </w:pPr>
            <w:r>
              <w:rPr>
                <w:b/>
                <w:sz w:val="24"/>
              </w:rPr>
              <w:t>Recursive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Residuals</w:t>
            </w: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256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0.8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56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0.4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040" w:val="left" w:leader="none"/>
                <w:tab w:pos="2489" w:val="left" w:leader="none"/>
              </w:tabs>
              <w:spacing w:before="1"/>
              <w:ind w:left="256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0.0</w:t>
            </w:r>
            <w:r>
              <w:rPr>
                <w:rFonts w:ascii="Arial MT"/>
                <w:sz w:val="12"/>
              </w:rPr>
              <w:tab/>
            </w:r>
            <w:r>
              <w:rPr>
                <w:rFonts w:ascii="Arial MT"/>
                <w:w w:val="132"/>
                <w:sz w:val="12"/>
                <w:u w:val="dotted" w:color="FF0000"/>
              </w:rPr>
              <w:t> </w:t>
            </w:r>
            <w:r>
              <w:rPr>
                <w:rFonts w:ascii="Arial MT"/>
                <w:sz w:val="12"/>
                <w:u w:val="dotted" w:color="FF0000"/>
              </w:rPr>
              <w:tab/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07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-0.4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07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-0.8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07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-1.2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07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-1.6</w:t>
            </w:r>
          </w:p>
          <w:p>
            <w:pPr>
              <w:pStyle w:val="TableParagraph"/>
              <w:tabs>
                <w:tab w:pos="902" w:val="left" w:leader="none"/>
                <w:tab w:pos="1326" w:val="left" w:leader="none"/>
                <w:tab w:pos="1750" w:val="left" w:leader="none"/>
                <w:tab w:pos="2175" w:val="left" w:leader="none"/>
                <w:tab w:pos="2598" w:val="left" w:leader="none"/>
                <w:tab w:pos="3023" w:val="left" w:leader="none"/>
                <w:tab w:pos="3446" w:val="left" w:leader="none"/>
                <w:tab w:pos="3871" w:val="left" w:leader="none"/>
                <w:tab w:pos="4296" w:val="left" w:leader="none"/>
              </w:tabs>
              <w:spacing w:before="8"/>
              <w:ind w:left="478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92</w:t>
              <w:tab/>
              <w:t>94</w:t>
              <w:tab/>
              <w:t>96</w:t>
              <w:tab/>
              <w:t>98</w:t>
              <w:tab/>
              <w:t>00</w:t>
              <w:tab/>
              <w:t>02</w:t>
              <w:tab/>
              <w:t>04</w:t>
              <w:tab/>
              <w:t>06</w:t>
              <w:tab/>
              <w:t>08</w:t>
              <w:tab/>
              <w:t>10</w:t>
            </w: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tabs>
                <w:tab w:pos="3325" w:val="left" w:leader="none"/>
              </w:tabs>
              <w:ind w:left="1416"/>
              <w:rPr>
                <w:rFonts w:ascii="Arial MT" w:hAnsi="Arial MT"/>
                <w:sz w:val="12"/>
              </w:rPr>
            </w:pPr>
            <w:r>
              <w:rPr>
                <w:rFonts w:ascii="Arial MT" w:hAnsi="Arial MT"/>
                <w:spacing w:val="-2"/>
                <w:w w:val="130"/>
                <w:sz w:val="12"/>
              </w:rPr>
              <w:t>Recursive</w:t>
            </w:r>
            <w:r>
              <w:rPr>
                <w:rFonts w:ascii="Arial MT" w:hAnsi="Arial MT"/>
                <w:spacing w:val="-7"/>
                <w:w w:val="130"/>
                <w:sz w:val="12"/>
              </w:rPr>
              <w:t> </w:t>
            </w:r>
            <w:r>
              <w:rPr>
                <w:rFonts w:ascii="Arial MT" w:hAnsi="Arial MT"/>
                <w:spacing w:val="-2"/>
                <w:w w:val="130"/>
                <w:sz w:val="12"/>
              </w:rPr>
              <w:t>Residuals</w:t>
              <w:tab/>
            </w:r>
            <w:r>
              <w:rPr>
                <w:rFonts w:ascii="Arial MT" w:hAnsi="Arial MT"/>
                <w:w w:val="130"/>
                <w:sz w:val="12"/>
              </w:rPr>
              <w:t>±</w:t>
            </w:r>
            <w:r>
              <w:rPr>
                <w:rFonts w:ascii="Arial MT" w:hAnsi="Arial MT"/>
                <w:spacing w:val="-7"/>
                <w:w w:val="130"/>
                <w:sz w:val="12"/>
              </w:rPr>
              <w:t> </w:t>
            </w:r>
            <w:r>
              <w:rPr>
                <w:rFonts w:ascii="Arial MT" w:hAnsi="Arial MT"/>
                <w:w w:val="130"/>
                <w:sz w:val="12"/>
              </w:rPr>
              <w:t>2</w:t>
            </w:r>
            <w:r>
              <w:rPr>
                <w:rFonts w:ascii="Arial MT" w:hAnsi="Arial MT"/>
                <w:spacing w:val="-3"/>
                <w:w w:val="130"/>
                <w:sz w:val="12"/>
              </w:rPr>
              <w:t> </w:t>
            </w:r>
            <w:r>
              <w:rPr>
                <w:rFonts w:ascii="Arial MT" w:hAnsi="Arial MT"/>
                <w:w w:val="130"/>
                <w:sz w:val="12"/>
              </w:rPr>
              <w:t>S.E.</w:t>
            </w:r>
          </w:p>
        </w:tc>
        <w:tc>
          <w:tcPr>
            <w:tcW w:w="4688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CUSUM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08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15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08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10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95"/>
              <w:rPr>
                <w:rFonts w:ascii="Arial MT"/>
                <w:sz w:val="12"/>
              </w:rPr>
            </w:pPr>
            <w:r>
              <w:rPr>
                <w:rFonts w:ascii="Arial MT"/>
                <w:w w:val="132"/>
                <w:sz w:val="12"/>
              </w:rPr>
              <w:t>5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95"/>
              <w:rPr>
                <w:rFonts w:ascii="Arial MT"/>
                <w:sz w:val="12"/>
              </w:rPr>
            </w:pPr>
            <w:r>
              <w:rPr>
                <w:rFonts w:ascii="Arial MT"/>
                <w:w w:val="132"/>
                <w:sz w:val="12"/>
              </w:rPr>
              <w:t>0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47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-5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59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-10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59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-15</w:t>
            </w:r>
          </w:p>
          <w:p>
            <w:pPr>
              <w:pStyle w:val="TableParagraph"/>
              <w:tabs>
                <w:tab w:pos="531" w:val="left" w:leader="none"/>
                <w:tab w:pos="956" w:val="left" w:leader="none"/>
                <w:tab w:pos="1380" w:val="left" w:leader="none"/>
                <w:tab w:pos="1806" w:val="left" w:leader="none"/>
                <w:tab w:pos="2230" w:val="left" w:leader="none"/>
                <w:tab w:pos="2656" w:val="left" w:leader="none"/>
                <w:tab w:pos="3080" w:val="left" w:leader="none"/>
                <w:tab w:pos="3506" w:val="left" w:leader="none"/>
                <w:tab w:pos="3931" w:val="left" w:leader="none"/>
              </w:tabs>
              <w:spacing w:before="12"/>
              <w:ind w:left="107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135"/>
                <w:sz w:val="12"/>
              </w:rPr>
              <w:t>92</w:t>
              <w:tab/>
              <w:t>94</w:t>
              <w:tab/>
              <w:t>96</w:t>
              <w:tab/>
              <w:t>98</w:t>
              <w:tab/>
              <w:t>00</w:t>
              <w:tab/>
              <w:t>02</w:t>
              <w:tab/>
              <w:t>04</w:t>
              <w:tab/>
              <w:t>06</w:t>
              <w:tab/>
              <w:t>08</w:t>
              <w:tab/>
              <w:t>10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tabs>
                <w:tab w:pos="412" w:val="left" w:leader="none"/>
                <w:tab w:pos="1482" w:val="left" w:leader="none"/>
              </w:tabs>
              <w:ind w:left="9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132"/>
                <w:position w:val="7"/>
                <w:sz w:val="12"/>
                <w:u w:val="single" w:color="0000FF"/>
              </w:rPr>
              <w:t> </w:t>
            </w:r>
            <w:r>
              <w:rPr>
                <w:rFonts w:ascii="Arial MT"/>
                <w:position w:val="7"/>
                <w:sz w:val="12"/>
                <w:u w:val="single" w:color="0000FF"/>
              </w:rPr>
              <w:tab/>
            </w:r>
            <w:r>
              <w:rPr>
                <w:rFonts w:ascii="Arial MT"/>
                <w:spacing w:val="-13"/>
                <w:position w:val="7"/>
                <w:sz w:val="12"/>
              </w:rPr>
              <w:t> </w:t>
            </w:r>
            <w:r>
              <w:rPr>
                <w:rFonts w:ascii="Arial MT"/>
                <w:w w:val="135"/>
                <w:sz w:val="12"/>
              </w:rPr>
              <w:t>CUSUM</w:t>
              <w:tab/>
            </w:r>
            <w:r>
              <w:rPr>
                <w:rFonts w:ascii="Arial MT"/>
                <w:spacing w:val="-1"/>
                <w:w w:val="130"/>
                <w:sz w:val="12"/>
              </w:rPr>
              <w:t>5%</w:t>
            </w:r>
            <w:r>
              <w:rPr>
                <w:rFonts w:ascii="Arial MT"/>
                <w:spacing w:val="-7"/>
                <w:w w:val="130"/>
                <w:sz w:val="12"/>
              </w:rPr>
              <w:t> </w:t>
            </w:r>
            <w:r>
              <w:rPr>
                <w:rFonts w:ascii="Arial MT"/>
                <w:spacing w:val="-1"/>
                <w:w w:val="130"/>
                <w:sz w:val="12"/>
              </w:rPr>
              <w:t>Significance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2"/>
        <w:spacing w:before="216"/>
      </w:pPr>
      <w:r>
        <w:rPr/>
        <w:pict>
          <v:group style="position:absolute;margin-left:151.295166pt;margin-top:-45.80846pt;width:146.85pt;height:9.950pt;mso-position-horizontal-relative:page;mso-position-vertical-relative:paragraph;z-index:-25249792" coordorigin="3026,-916" coordsize="2937,199">
            <v:rect style="position:absolute;left:3029;top:-913;width:2930;height:192" filled="false" stroked="true" strokeweight=".341595pt" strokecolor="#000000">
              <v:stroke dashstyle="solid"/>
            </v:rect>
            <v:line style="position:absolute" from="3100,-811" to="3378,-811" stroked="true" strokeweight=".396476pt" strokecolor="#0000ff">
              <v:stroke dashstyle="solid"/>
            </v:line>
            <v:shape style="position:absolute;left:5009;top:-812;width:275;height:2" coordorigin="5010,-811" coordsize="275,0" path="m5010,-811l5047,-811m5069,-811l5106,-811m5129,-811l5166,-811m5188,-811l5225,-811m5247,-811l5285,-811e" filled="false" stroked="true" strokeweight=".458193pt" strokecolor="#ff0000">
              <v:path arrowok="t"/>
              <v:stroke dashstyle="solid"/>
            </v:shape>
            <w10:wrap type="none"/>
          </v:group>
        </w:pict>
      </w:r>
      <w:r>
        <w:rPr/>
        <w:t>Forecast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Capital Account</w:t>
      </w:r>
      <w:r>
        <w:rPr>
          <w:spacing w:val="-1"/>
        </w:rPr>
        <w:t> </w:t>
      </w:r>
      <w:r>
        <w:rPr/>
        <w:t>Balance</w:t>
      </w:r>
    </w:p>
    <w:p>
      <w:pPr>
        <w:pStyle w:val="BodyText"/>
        <w:spacing w:before="9"/>
        <w:rPr>
          <w:b/>
          <w:sz w:val="17"/>
        </w:rPr>
      </w:pPr>
      <w:r>
        <w:rPr/>
        <w:pict>
          <v:group style="position:absolute;margin-left:106.610008pt;margin-top:12.17417pt;width:418.25pt;height:159.65pt;mso-position-horizontal-relative:page;mso-position-vertical-relative:paragraph;z-index:-15549440;mso-wrap-distance-left:0;mso-wrap-distance-right:0" coordorigin="2132,243" coordsize="8365,3193">
            <v:rect style="position:absolute;left:2132;top:243;width:8365;height:3193" filled="true" fillcolor="#ffffff" stroked="false">
              <v:fill type="solid"/>
            </v:rect>
            <v:shape style="position:absolute;left:2644;top:470;width:4204;height:2288" coordorigin="2644,470" coordsize="4204,2288" path="m2644,2700l2705,2700m2644,2329l2705,2329m2644,1958l2705,1958m2644,1586l2705,1586m2644,1213l2705,1213m2644,842l2705,842m2644,470l2705,470m2712,2712l2712,2735m2840,2712l2840,2735m2970,2712l2970,2735m3099,2712l3099,2735m3229,2712l3229,2735m3358,2712l3358,2735m3487,2712l3487,2735m3617,2712l3617,2735m3746,2712l3746,2735m3874,2712l3874,2735m4003,2712l4003,2735m4133,2712l4133,2735m4262,2712l4262,2735m4392,2712l4392,2735m4521,2712l4521,2735m4650,2712l4650,2735m4780,2712l4780,2735m4908,2712l4908,2735m5037,2712l5037,2735m5167,2712l5167,2735m5296,2712l5296,2735m5426,2712l5426,2735m5555,2712l5555,2735m5684,2712l5684,2735m5814,2712l5814,2735m5941,2712l5941,2735m6071,2712l6071,2735m6200,2712l6200,2735m6330,2712l6330,2735m6459,2712l6459,2735m6589,2712l6589,2735m6718,2712l6718,2735m6847,2712l6847,2735m2970,2712l2970,2758m3617,2712l3617,2758m4262,2712l4262,2758m4908,2712l4908,2758m5555,2712l5555,2758m6200,2712l6200,2758m6847,2712l6847,2758e" filled="false" stroked="true" strokeweight=".374319pt" strokecolor="#000000">
              <v:path arrowok="t"/>
              <v:stroke dashstyle="solid"/>
            </v:shape>
            <v:shape style="position:absolute;left:2712;top:1145;width:4135;height:678" coordorigin="2712,1145" coordsize="4135,678" path="m2712,1533l2840,1552,2970,1614,3099,1589,3229,1408,3358,1505,3487,1719,3617,1788,3746,1774,3874,1614,4003,1366,4133,1243,4262,1405,4392,1822,4521,1612,4650,1413,4780,1487,4908,1653,5037,1666,5167,1541,5296,1560,5426,1650,5555,1594,5684,1612,5814,1145,5941,1262,6071,1461,6200,1314,6330,1269,6459,1669,6589,1707,6718,1268,6847,1467e" filled="false" stroked="true" strokeweight=".365625pt" strokecolor="#0000ff">
              <v:path arrowok="t"/>
              <v:stroke dashstyle="solid"/>
            </v:shape>
            <v:line style="position:absolute" from="2709,1025" to="2757,1025" stroked="true" strokeweight=".568236pt" strokecolor="#ff0000">
              <v:stroke dashstyle="solid"/>
            </v:line>
            <v:shape style="position:absolute;left:2776;top:1030;width:104;height:10" coordorigin="2776,1030" coordsize="104,10" path="m2776,1030l2817,1036m2840,1038l2840,1039,2880,1040e" filled="false" stroked="true" strokeweight=".432804pt" strokecolor="#ff0000">
              <v:path arrowok="t"/>
              <v:stroke dashstyle="solid"/>
            </v:shape>
            <v:line style="position:absolute" from="2899,1041" to="2947,1041" stroked="true" strokeweight=".472341pt" strokecolor="#ff0000">
              <v:stroke dashstyle="solid"/>
            </v:line>
            <v:shape style="position:absolute;left:2966;top:827;width:661;height:342" coordorigin="2967,827" coordsize="661,342" path="m2967,1042l2970,1043,3005,1031m3026,1025l3064,1014m3086,1007l3099,1003,3111,986m3121,972l3140,946m3152,931l3170,905m3180,890l3201,864m3211,849l3229,827,3233,830m3250,841l3281,861m3298,872l3329,892m3346,903l3358,912,3367,928m3377,943l3393,971m3403,986l3419,1014m3429,1028l3445,1055m3455,1071l3471,1098m3482,1113l3487,1121,3512,1130m3532,1137l3569,1151m3589,1158l3617,1169,3627,1168e" filled="false" stroked="true" strokeweight=".432804pt" strokecolor="#ff0000">
              <v:path arrowok="t"/>
              <v:stroke dashstyle="solid"/>
            </v:shape>
            <v:line style="position:absolute" from="3646,1164" to="3695,1164" stroked="true" strokeweight=".520133pt" strokecolor="#ff0000">
              <v:stroke dashstyle="solid"/>
            </v:line>
            <v:shape style="position:absolute;left:3714;top:636;width:1443;height:572" coordorigin="3714,637" coordsize="1443,572" path="m3714,1160l3746,1158,3751,1152m3761,1137l3781,1111m3791,1096l3812,1070m3822,1055l3842,1029m3852,1015l3872,989m3881,974l3896,946m3903,930l3918,903m3925,887l3940,860m3947,844l3961,817m3969,801l3983,774m3990,758l4003,735,4008,731m4024,720l4051,698m4067,686l4095,664m4111,653l4133,637,4137,643m4149,658l4169,684m4181,699l4201,725m4212,740l4232,765m4243,779l4262,802,4262,805m4268,822l4277,852m4283,868l4291,898m4297,914l4306,943m4312,960l4320,990m4326,1006l4336,1036m4341,1052l4351,1082m4355,1098l4366,1128m4370,1144l4380,1174m4384,1191l4392,1208,4397,1199m4407,1184l4425,1158m4435,1143l4453,1117m4463,1103l4480,1076m4491,1062l4509,1036m4520,1021l4521,1020,4537,994m4547,978l4563,951m4573,936l4589,909m4599,894l4616,867m4626,852l4643,825m4656,818l4687,837m4704,848l4735,867m4752,878l4780,896,4781,899m4793,913l4813,939m4825,954l4845,980m4857,995l4877,1021m4889,1036l4908,1058,4914,1058m4937,1062l4978,1068m5001,1071l5037,1078,5039,1075m5053,1062l5078,1038m5093,1024l5117,1000m5132,986l5156,962e" filled="false" stroked="true" strokeweight=".432804pt" strokecolor="#ff0000">
              <v:path arrowok="t"/>
              <v:stroke dashstyle="solid"/>
            </v:shape>
            <v:line style="position:absolute" from="5172,957" to="5220,957" stroked="true" strokeweight=".568211pt" strokecolor="#ff0000">
              <v:stroke dashstyle="solid"/>
            </v:line>
            <v:shape style="position:absolute;left:2712;top:539;width:4135;height:1646" coordorigin="2712,540" coordsize="4135,1646" path="m5239,962l5280,968m5302,973l5331,994m5348,1005l5377,1026m5395,1038l5424,1059m5443,1052l5478,1037m5498,1027l5533,1012m5553,1003l5555,1002,5593,1008m5616,1012l5655,1019m5678,1022l5684,1024,5690,1000m5694,983l5702,954m5706,937l5715,908m5719,891l5726,862m5731,845l5738,816m5742,799l5751,770m5755,753l5763,724m5767,707l5776,678m5780,661l5787,632m5792,615l5799,586m5803,569l5812,540m5824,548l5847,573m5860,587l5883,612m5897,626l5920,652m5933,665l5941,673,5953,690m5963,705l5982,731m5992,746l6011,772m6021,787l6041,813m6051,827l6068,853m6081,842l6104,817m6118,802l6139,777m6152,762l6174,737m6187,724l6200,710,6216,705m6238,699l6276,687m6298,680l6330,670,6331,675m6337,691l6347,721m6353,737l6363,766m6369,782l6379,812m6385,828l6395,857m6401,873l6411,903m6417,919l6427,948m6433,964l6443,994m6449,1010l6459,1038,6461,1038m6482,1043l6520,1053m6542,1059l6580,1069m6592,1063l6600,1033m6605,1017l6615,988m6619,971l6629,942m6634,925l6642,895m6648,879l6657,849m6663,833l6671,803m6677,787l6686,757m6692,740l6700,711m6705,694l6715,665m6724,666l6743,692m6753,707l6772,733m6782,748l6801,774m6812,789l6831,815m6842,830l6847,836m2712,2043l2753,2049m2776,2053l2817,2059m2840,2062l2840,2063,2864,2086m2878,2100l2903,2123m2917,2137l2942,2161m2957,2174l2970,2185,2991,2182e" filled="false" stroked="true" strokeweight=".432804pt" strokecolor="#ff0000">
              <v:path arrowok="t"/>
              <v:stroke dashstyle="solid"/>
            </v:shape>
            <v:line style="position:absolute" from="3011,2179" to="3059,2179" stroked="true" strokeweight=".46838pt" strokecolor="#ff0000">
              <v:stroke dashstyle="solid"/>
            </v:line>
            <v:shape style="position:absolute;left:3078;top:1994;width:524;height:402" coordorigin="3079,1994" coordsize="524,402" path="m3079,2176l3099,2175,3108,2162m3118,2147l3135,2121m3146,2106l3165,2080m3175,2065l3192,2039m3202,2025l3221,1998m3234,1994l3260,2017m3275,2030l3301,2052m3316,2064l3342,2086m3356,2099l3358,2099,3372,2125m3383,2141l3399,2168m3407,2184l3423,2211m3432,2227l3449,2254m3458,2269l3474,2297m3483,2312l3487,2317,3512,2333m3528,2345l3557,2365m3573,2376l3602,2396e" filled="false" stroked="true" strokeweight=".432804pt" strokecolor="#ff0000">
              <v:path arrowok="t"/>
              <v:stroke dashstyle="solid"/>
            </v:shape>
            <v:line style="position:absolute" from="3615,2404" to="3662,2404" stroked="true" strokeweight=".580301pt" strokecolor="#ff0000">
              <v:stroke dashstyle="solid"/>
            </v:line>
            <v:shape style="position:absolute;left:3682;top:1848;width:1244;height:588" coordorigin="3682,1849" coordsize="1244,588" path="m3682,2399l3723,2394m3746,2392l3766,2367m3778,2352l3800,2327m3812,2312l3832,2287m3845,2272l3865,2247m3877,2233l3892,2206m3899,2190l3913,2163m3922,2147l3936,2120m3945,2104l3960,2077m3967,2061l3982,2034m3990,2018l4003,1996,4008,1991m4019,1976l4041,1951m4054,1938l4076,1912m4088,1898l4110,1873m4123,1859l4133,1849,4144,1863m4156,1878l4176,1903m4188,1918l4208,1943m4220,1958l4240,1983m4252,1997l4262,2008,4266,2025m4271,2041l4280,2071m4286,2087l4294,2117m4299,2133l4309,2163m4313,2179l4322,2209m4328,2225l4336,2255m4341,2271l4349,2301m4355,2318l4364,2347m4368,2364l4377,2393m4383,2410l4392,2437,4392,2436m4400,2420l4415,2393m4424,2377l4440,2350m4448,2334l4463,2307m4471,2291l4486,2264m4495,2249l4511,2221m4520,2206l4521,2204,4537,2179m4547,2165l4565,2139m4575,2124l4592,2098m4602,2082l4620,2056m4630,2041l4648,2015m4666,2019l4700,2036m4719,2045l4752,2062m4771,2073l4780,2078,4793,2097m4804,2111l4824,2138m4835,2152l4854,2178m4866,2193l4884,2219m4895,2234l4908,2249,4925,2249e" filled="false" stroked="true" strokeweight=".432804pt" strokecolor="#ff0000">
              <v:path arrowok="t"/>
              <v:stroke dashstyle="solid"/>
            </v:shape>
            <v:line style="position:absolute" from="4945,2251" to="4993,2251" stroked="true" strokeweight=".468374pt" strokecolor="#ff0000">
              <v:stroke dashstyle="solid"/>
            </v:line>
            <v:shape style="position:absolute;left:5012;top:2130;width:524;height:124" coordorigin="5013,2130" coordsize="524,124" path="m5013,2252l5037,2254,5046,2244m5060,2231l5085,2207m5098,2193l5123,2169m5137,2155l5162,2131m5184,2130l5223,2138m5247,2141l5286,2148m5306,2156l5335,2176m5351,2188l5380,2208m5398,2219l5426,2240,5426,2240m5446,2232l5481,2217m5501,2209l5536,2194e" filled="false" stroked="true" strokeweight=".432804pt" strokecolor="#ff0000">
              <v:path arrowok="t"/>
              <v:stroke dashstyle="solid"/>
            </v:shape>
            <v:line style="position:absolute" from="5553,2188" to="5601,2188" stroked="true" strokeweight=".520141pt" strokecolor="#ff0000">
              <v:stroke dashstyle="solid"/>
            </v:line>
            <v:line style="position:absolute" from="5617,2194" to="5665,2194" stroked="true" strokeweight=".584276pt" strokecolor="#ff0000">
              <v:stroke dashstyle="solid"/>
            </v:line>
            <v:shape style="position:absolute;left:5684;top:1756;width:1164;height:586" coordorigin="5684,1757" coordsize="1164,586" path="m5684,2198l5684,2199,5691,2171m5696,2154l5705,2125m5710,2108l5719,2079m5723,2062l5732,2033m5736,2016l5745,1987m5750,1970l5758,1941m5763,1924l5772,1895m5777,1878l5786,1849m5790,1832l5799,1803m5803,1786l5812,1757m5827,1765l5854,1786m5870,1799l5898,1819m5914,1831l5941,1851,5941,1852m5950,1868l5966,1895m5977,1910l5992,1938m6001,1953l6018,1980m6027,1996l6043,2023m6054,2039l6069,2066m6082,2054l6103,2029m6116,2014l6138,1989m6151,1974l6171,1949m6184,1935l6200,1918,6212,1912m6232,1905l6269,1892m6289,1884l6325,1871m6333,1881l6341,1910m6347,1927l6356,1957m6360,1973l6369,2002m6373,2019l6382,2049m6388,2065l6397,2095m6401,2111l6410,2141m6415,2157l6424,2187m6428,2203l6437,2233m6443,2250l6452,2279m6456,2296l6459,2301,6490,2310m6512,2317l6549,2328m6571,2335l6589,2342,6592,2326m6597,2309l6605,2280m6609,2263l6618,2234m6622,2217l6631,2188m6635,2171l6644,2142m6648,2125l6655,2096m6661,2079l6669,2050m6673,2033l6682,2004m6686,1987l6695,1958m6699,1941l6708,1911m6712,1895l6718,1877,6724,1887m6733,1903l6748,1930m6757,1946l6773,1973m6782,1989l6798,2016m6807,2032l6823,2059m6831,2075l6847,2099e" filled="false" stroked="true" strokeweight=".432804pt" strokecolor="#ff0000">
              <v:path arrowok="t"/>
              <v:stroke dashstyle="solid"/>
            </v:shape>
            <v:rect style="position:absolute;left:2705;top:465;width:4151;height:2243" filled="false" stroked="true" strokeweight=".564314pt" strokecolor="#000000">
              <v:stroke dashstyle="solid"/>
            </v:rect>
            <v:line style="position:absolute" from="4268,3132" to="4569,3132" stroked="true" strokeweight=".361924pt" strokecolor="#0000ff">
              <v:stroke dashstyle="solid"/>
            </v:line>
            <v:shape style="position:absolute;left:4192;top:3025;width:1167;height:200" type="#_x0000_t202" filled="false" stroked="true" strokeweight=".319614pt" strokecolor="#000000">
              <v:textbox inset="0,0,0,0">
                <w:txbxContent>
                  <w:p>
                    <w:pPr>
                      <w:spacing w:before="30"/>
                      <w:ind w:left="441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DLKABF</w:t>
                    </w:r>
                  </w:p>
                </w:txbxContent>
              </v:textbox>
              <v:stroke dashstyle="solid"/>
              <w10:wrap type="none"/>
            </v:shape>
            <v:shape style="position:absolute;left:7107;top:470;width:3208;height:2060" type="#_x0000_t202" filled="false" stroked="true" strokeweight=".367446pt" strokecolor="#000000">
              <v:textbox inset="0,0,0,0">
                <w:txbxContent>
                  <w:p>
                    <w:pPr>
                      <w:spacing w:line="266" w:lineRule="auto" w:before="41"/>
                      <w:ind w:left="82" w:right="1648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Forecast: DLKABF</w:t>
                    </w:r>
                    <w:r>
                      <w:rPr>
                        <w:rFonts w:ascii="Arial MT"/>
                        <w:spacing w:val="-46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Actual:</w:t>
                    </w:r>
                    <w:r>
                      <w:rPr>
                        <w:rFonts w:ascii="Arial MT"/>
                        <w:spacing w:val="-5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DLKAB</w:t>
                    </w:r>
                  </w:p>
                  <w:p>
                    <w:pPr>
                      <w:spacing w:line="137" w:lineRule="exact" w:before="0"/>
                      <w:ind w:left="8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Forecast</w:t>
                    </w:r>
                    <w:r>
                      <w:rPr>
                        <w:rFonts w:ascii="Arial MT"/>
                        <w:spacing w:val="-9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5"/>
                        <w:sz w:val="12"/>
                      </w:rPr>
                      <w:t>sample:</w:t>
                    </w:r>
                    <w:r>
                      <w:rPr>
                        <w:rFonts w:ascii="Arial MT"/>
                        <w:spacing w:val="-8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5"/>
                        <w:sz w:val="12"/>
                      </w:rPr>
                      <w:t>1975 2012</w:t>
                    </w:r>
                  </w:p>
                  <w:p>
                    <w:pPr>
                      <w:spacing w:before="14"/>
                      <w:ind w:left="8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"/>
                        <w:w w:val="145"/>
                        <w:sz w:val="12"/>
                      </w:rPr>
                      <w:t>Adjusted</w:t>
                    </w:r>
                    <w:r>
                      <w:rPr>
                        <w:rFonts w:ascii="Arial MT"/>
                        <w:spacing w:val="-5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5"/>
                        <w:sz w:val="12"/>
                      </w:rPr>
                      <w:t>sample:</w:t>
                    </w:r>
                    <w:r>
                      <w:rPr>
                        <w:rFonts w:ascii="Arial MT"/>
                        <w:spacing w:val="-11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5"/>
                        <w:sz w:val="12"/>
                      </w:rPr>
                      <w:t>1978</w:t>
                    </w:r>
                    <w:r>
                      <w:rPr>
                        <w:rFonts w:ascii="Arial MT"/>
                        <w:spacing w:val="-4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5"/>
                        <w:sz w:val="12"/>
                      </w:rPr>
                      <w:t>2010</w:t>
                    </w:r>
                  </w:p>
                  <w:p>
                    <w:pPr>
                      <w:spacing w:before="15"/>
                      <w:ind w:left="8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3"/>
                        <w:w w:val="145"/>
                        <w:sz w:val="12"/>
                      </w:rPr>
                      <w:t>Included</w:t>
                    </w:r>
                    <w:r>
                      <w:rPr>
                        <w:rFonts w:ascii="Arial MT"/>
                        <w:spacing w:val="-4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45"/>
                        <w:sz w:val="12"/>
                      </w:rPr>
                      <w:t>observations:</w:t>
                    </w:r>
                    <w:r>
                      <w:rPr>
                        <w:rFonts w:ascii="Arial MT"/>
                        <w:spacing w:val="-9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45"/>
                        <w:sz w:val="12"/>
                      </w:rPr>
                      <w:t>33</w:t>
                    </w:r>
                  </w:p>
                  <w:p>
                    <w:pPr>
                      <w:tabs>
                        <w:tab w:pos="3127" w:val="right" w:leader="none"/>
                      </w:tabs>
                      <w:spacing w:before="168"/>
                      <w:ind w:left="8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Root</w:t>
                    </w:r>
                    <w:r>
                      <w:rPr>
                        <w:rFonts w:ascii="Arial MT"/>
                        <w:spacing w:val="-3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Mean</w:t>
                    </w:r>
                    <w:r>
                      <w:rPr>
                        <w:rFonts w:ascii="Arial MT"/>
                        <w:spacing w:val="-8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Squared</w:t>
                    </w:r>
                    <w:r>
                      <w:rPr>
                        <w:rFonts w:ascii="Arial MT"/>
                        <w:spacing w:val="4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Error</w:t>
                      <w:tab/>
                      <w:t>0.338088</w:t>
                    </w:r>
                  </w:p>
                  <w:p>
                    <w:pPr>
                      <w:tabs>
                        <w:tab w:pos="3127" w:val="right" w:leader="none"/>
                      </w:tabs>
                      <w:spacing w:before="16"/>
                      <w:ind w:left="8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Mean</w:t>
                    </w:r>
                    <w:r>
                      <w:rPr>
                        <w:rFonts w:ascii="Arial MT"/>
                        <w:spacing w:val="-11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Absolute</w:t>
                    </w:r>
                    <w:r>
                      <w:rPr>
                        <w:rFonts w:ascii="Arial MT"/>
                        <w:spacing w:val="1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Error</w:t>
                      <w:tab/>
                      <w:t>0.201605</w:t>
                    </w:r>
                  </w:p>
                  <w:p>
                    <w:pPr>
                      <w:tabs>
                        <w:tab w:pos="3127" w:val="right" w:leader="none"/>
                      </w:tabs>
                      <w:spacing w:before="14"/>
                      <w:ind w:left="8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Mean</w:t>
                    </w:r>
                    <w:r>
                      <w:rPr>
                        <w:rFonts w:ascii="Arial MT"/>
                        <w:spacing w:val="-8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Abs.</w:t>
                    </w:r>
                    <w:r>
                      <w:rPr>
                        <w:rFonts w:ascii="Arial MT"/>
                        <w:spacing w:val="-4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Percent</w:t>
                    </w:r>
                    <w:r>
                      <w:rPr>
                        <w:rFonts w:ascii="Arial MT"/>
                        <w:spacing w:val="-3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Error</w:t>
                      <w:tab/>
                      <w:t>2770.400</w:t>
                    </w:r>
                  </w:p>
                  <w:p>
                    <w:pPr>
                      <w:tabs>
                        <w:tab w:pos="3127" w:val="right" w:leader="none"/>
                      </w:tabs>
                      <w:spacing w:before="15"/>
                      <w:ind w:left="8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Theil</w:t>
                    </w:r>
                    <w:r>
                      <w:rPr>
                        <w:rFonts w:ascii="Arial MT"/>
                        <w:spacing w:val="-6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Inequality</w:t>
                    </w:r>
                    <w:r>
                      <w:rPr>
                        <w:rFonts w:ascii="Arial MT"/>
                        <w:spacing w:val="-11"/>
                        <w:w w:val="14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2"/>
                      </w:rPr>
                      <w:t>Coefficient</w:t>
                      <w:tab/>
                      <w:t>0.512730</w:t>
                    </w:r>
                  </w:p>
                  <w:p>
                    <w:pPr>
                      <w:tabs>
                        <w:tab w:pos="3127" w:val="right" w:leader="none"/>
                      </w:tabs>
                      <w:spacing w:before="15"/>
                      <w:ind w:left="299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Bias</w:t>
                    </w:r>
                    <w:r>
                      <w:rPr>
                        <w:rFonts w:ascii="Arial MT"/>
                        <w:spacing w:val="-5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5"/>
                        <w:sz w:val="12"/>
                      </w:rPr>
                      <w:t>Proportion</w:t>
                      <w:tab/>
                      <w:t>0.000120</w:t>
                    </w:r>
                  </w:p>
                  <w:p>
                    <w:pPr>
                      <w:tabs>
                        <w:tab w:pos="3127" w:val="right" w:leader="none"/>
                      </w:tabs>
                      <w:spacing w:before="15"/>
                      <w:ind w:left="299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Variance</w:t>
                    </w:r>
                    <w:r>
                      <w:rPr>
                        <w:rFonts w:ascii="Arial MT"/>
                        <w:spacing w:val="-4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5"/>
                        <w:sz w:val="12"/>
                      </w:rPr>
                      <w:t>Proportion</w:t>
                      <w:tab/>
                      <w:t>0.281630</w:t>
                    </w:r>
                  </w:p>
                  <w:p>
                    <w:pPr>
                      <w:tabs>
                        <w:tab w:pos="3127" w:val="right" w:leader="none"/>
                      </w:tabs>
                      <w:spacing w:before="14"/>
                      <w:ind w:left="299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Covariance</w:t>
                    </w:r>
                    <w:r>
                      <w:rPr>
                        <w:rFonts w:ascii="Arial MT"/>
                        <w:spacing w:val="-6"/>
                        <w:w w:val="14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45"/>
                        <w:sz w:val="12"/>
                      </w:rPr>
                      <w:t>Proportion</w:t>
                      <w:tab/>
                      <w:t>0.718250</w:t>
                    </w:r>
                  </w:p>
                </w:txbxContent>
              </v:textbox>
              <v:stroke dashstyle="solid"/>
              <w10:wrap type="none"/>
            </v:shape>
            <v:shape style="position:absolute;left:2312;top:378;width:314;height:2369" type="#_x0000_t202" filled="false" stroked="false">
              <v:textbox inset="0,0,0,0">
                <w:txbxContent>
                  <w:p>
                    <w:pPr>
                      <w:spacing w:before="0"/>
                      <w:ind w:left="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1.5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1.0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1"/>
                      <w:ind w:left="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0.5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0.0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-0.5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-1.0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-1.5</w:t>
                    </w:r>
                  </w:p>
                </w:txbxContent>
              </v:textbox>
              <w10:wrap type="none"/>
            </v:shape>
            <v:shape style="position:absolute;left:2773;top:2760;width:4289;height:139" type="#_x0000_t202" filled="false" stroked="false">
              <v:textbox inset="0,0,0,0">
                <w:txbxContent>
                  <w:p>
                    <w:pPr>
                      <w:tabs>
                        <w:tab w:pos="646" w:val="left" w:leader="none"/>
                        <w:tab w:pos="1292" w:val="left" w:leader="none"/>
                        <w:tab w:pos="1938" w:val="left" w:leader="none"/>
                        <w:tab w:pos="2585" w:val="left" w:leader="none"/>
                        <w:tab w:pos="3230" w:val="left" w:leader="none"/>
                        <w:tab w:pos="387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5"/>
                        <w:sz w:val="12"/>
                      </w:rPr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240" w:h="15840"/>
          <w:pgMar w:header="0" w:footer="1015" w:top="1440" w:bottom="1200" w:left="1320" w:right="440"/>
        </w:sectPr>
      </w:pPr>
    </w:p>
    <w:p>
      <w:pPr>
        <w:spacing w:before="79"/>
        <w:ind w:left="811" w:right="0" w:firstLine="0"/>
        <w:jc w:val="left"/>
        <w:rPr>
          <w:b/>
          <w:sz w:val="24"/>
        </w:rPr>
      </w:pPr>
      <w:r>
        <w:rPr/>
        <w:pict>
          <v:shape style="position:absolute;margin-left:116.940002pt;margin-top:397.679993pt;width:194.45pt;height:196.9pt;mso-position-horizontal-relative:page;mso-position-vertical-relative:page;z-index:-25248768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197.339966pt;width:237.4pt;height:230.5pt;mso-position-horizontal-relative:page;mso-position-vertical-relative:page;z-index:-25248256" coordorigin="5626,3947" coordsize="4748,4610" path="m6603,8500l6602,8496,6600,8489,6597,8486,6306,8195,6268,8123,6080,7762,6004,7618,5993,7597,5983,7585,5979,7583,5969,7580,5964,7582,5957,7586,5944,7597,5928,7613,5923,7619,5916,7628,5914,7633,5912,7641,5912,7644,5917,7657,5921,7662,6079,7955,6115,8020,6178,8128,6177,8128,6002,8029,5929,7989,5783,7911,5705,7869,5696,7865,5692,7864,5684,7866,5680,7867,5675,7870,5670,7873,5658,7883,5642,7899,5632,7911,5628,7917,5626,7922,5628,7932,5631,7936,5637,7941,5643,7946,5664,7958,5736,7996,6098,8184,6242,8260,6532,8551,6536,8553,6542,8556,6546,8556,6550,8555,6554,8554,6564,8549,6569,8545,6575,8541,6587,8529,6592,8523,6595,8518,6600,8508,6601,8504,6603,8500xm7274,7768l7274,7730,7268,7692,7258,7652,7242,7611,7223,7569,7199,7526,7170,7481,7161,7469,7161,7740,7157,7766,7148,7791,7133,7815,7115,7837,7093,7856,7070,7870,7045,7880,7020,7884,6994,7885,6967,7883,6939,7876,6909,7865,6880,7851,6849,7834,6818,7813,6786,7789,6753,7763,6720,7734,6687,7703,6652,7670,6622,7638,6594,7607,6567,7575,6541,7544,6518,7512,6499,7481,6482,7450,6469,7420,6458,7390,6451,7361,6447,7333,6447,7306,6451,7279,6460,7255,6474,7232,6493,7210,6515,7191,6537,7177,6562,7167,6587,7163,6614,7162,6641,7165,6669,7171,6698,7182,6728,7196,6759,7213,6790,7233,6821,7256,6854,7282,6886,7310,6919,7341,6952,7373,6983,7404,7012,7436,7039,7468,7064,7500,7088,7532,7108,7563,7125,7594,7139,7625,7150,7655,7157,7684,7161,7712,7161,7740,7161,7469,7137,7436,7100,7390,7059,7344,7013,7297,6966,7251,6921,7210,6876,7174,6860,7162,6832,7141,6790,7114,6749,7091,6709,7072,6670,7058,6633,7049,6596,7044,6562,7045,6528,7049,6496,7058,6465,7073,6436,7093,6408,7117,6383,7146,6363,7176,6348,7209,6339,7243,6335,7279,6336,7316,6341,7354,6351,7394,6366,7435,6386,7477,6409,7520,6438,7564,6470,7609,6507,7654,6547,7700,6591,7745,6639,7792,6685,7833,6731,7870,6775,7903,6817,7932,6859,7955,6899,7974,6938,7988,6975,7998,7011,8003,7046,8003,7080,7998,7113,7989,7144,7974,7173,7955,7201,7930,7227,7901,7237,7885,7247,7870,7261,7838,7270,7803,7274,7768xm7572,7530l7572,7527,7569,7519,7567,7516,7239,7188,7409,7018,7410,7015,7410,7008,7409,7004,7404,6995,7400,6989,7385,6971,7369,6955,7361,6948,7355,6943,7349,6938,7344,6935,7336,6931,7332,6930,7328,6930,7325,6931,7323,6932,7153,7102,6887,6837,7068,6656,7069,6654,7069,6651,7068,6643,7063,6635,7059,6629,7043,6610,7035,6602,7027,6594,7008,6577,6993,6569,6989,6568,6982,6568,6980,6568,6753,6795,6750,6804,6752,6815,6754,6824,6759,6834,6767,6844,6777,6856,7502,7581,7505,7583,7513,7586,7516,7586,7520,7585,7524,7584,7534,7579,7539,7576,7545,7571,7557,7558,7565,7548,7570,7538,7571,7534,7572,7530xm8101,7002l8100,6998,8098,6991,8095,6988,8092,6985,7340,6233,7337,6230,7330,6228,7327,6228,7322,6228,7318,6230,7309,6235,7298,6243,7286,6255,7278,6265,7273,6275,7272,6279,7271,6283,7271,6287,7274,6294,7276,6298,8031,7053,8034,7055,8041,7058,8044,7058,8048,7057,8053,7056,8063,7051,8073,7042,8086,7030,8090,7024,8094,7019,8099,7010,8099,7005,8101,7002xm8456,6574l8456,6558,8454,6541,8451,6524,8448,6507,8442,6490,8436,6472,8428,6454,8419,6436,8409,6418,8397,6399,8383,6381,8369,6363,8352,6345,8346,6338,8346,6540,8345,6554,8343,6568,8340,6580,8335,6592,8328,6604,8320,6616,8310,6627,8216,6721,7941,6446,8018,6369,8024,6364,8034,6355,8049,6343,8063,6334,8078,6327,8093,6323,8108,6321,8124,6320,8139,6321,8155,6325,8171,6330,8188,6337,8204,6346,8221,6357,8238,6369,8255,6384,8273,6400,8288,6417,8301,6433,8313,6449,8323,6465,8331,6480,8337,6496,8341,6511,8344,6525,8346,6540,8346,6338,8335,6326,8328,6320,8315,6307,8295,6290,8275,6275,8254,6261,8234,6249,8214,6239,8195,6230,8190,6228,8176,6223,8158,6218,8139,6215,8122,6213,8105,6213,8089,6214,8073,6218,8059,6222,8046,6228,8048,6215,8048,6201,8048,6187,8046,6172,8043,6158,8039,6143,8034,6128,8028,6113,8021,6099,8013,6084,8004,6070,7993,6055,7982,6041,7971,6026,7964,6018,7964,6212,7964,6226,7962,6239,7958,6252,7952,6265,7943,6277,7932,6290,7859,6364,7606,6111,7673,6044,7686,6032,7700,6021,7713,6014,7726,6008,7739,6005,7751,6003,7765,6003,7777,6005,7791,6008,7805,6014,7818,6020,7832,6028,7846,6038,7860,6049,7874,6061,7888,6075,7900,6087,7912,6101,7923,6114,7933,6128,7941,6143,7949,6157,7955,6171,7959,6185,7962,6199,7964,6212,7964,6018,7958,6012,7950,6003,7945,5998,7921,5976,7898,5956,7875,5939,7852,5924,7829,5912,7806,5902,7784,5895,7762,5890,7740,5888,7719,5889,7698,5892,7677,5898,7656,5907,7635,5920,7614,5936,7592,5956,7481,6067,7476,6072,7473,6081,7474,6092,7477,6101,7482,6111,7489,6122,7500,6133,8195,6829,8206,6839,8217,6847,8227,6851,8236,6853,8247,6855,8256,6853,8387,6721,8389,6720,8402,6706,8413,6692,8423,6678,8431,6664,8438,6650,8444,6636,8449,6621,8452,6606,8454,6590,8456,6574xm9020,6089l9019,6084,9017,6079,9014,6073,9009,6068,9003,6063,8995,6058,8984,6050,8889,5990,8609,5813,8609,5924,8440,6093,8179,5688,8135,5621,8135,5620,8135,5620,8609,5924,8609,5813,8304,5620,8097,5489,8091,5486,8086,5483,8081,5482,8076,5481,8072,5481,8062,5484,8056,5487,8050,5492,8044,5496,8038,5503,8030,5511,8022,5519,8016,5525,8012,5530,8008,5536,8005,5541,8004,5546,8002,5551,8001,5555,8003,5560,8004,5564,8007,5569,8010,5575,8053,5643,8370,6145,8571,6462,8578,6473,8584,6481,8589,6487,8594,6492,8600,6495,8604,6497,8609,6498,8614,6497,8620,6493,8625,6489,8632,6484,8646,6469,8651,6463,8655,6458,8659,6453,8661,6449,8661,6444,8662,6440,8662,6436,8660,6432,8659,6428,8657,6424,8654,6420,8617,6363,8506,6192,8605,6093,8709,5990,8940,6138,8945,6140,8949,6142,8953,6144,8956,6145,8960,6145,8963,6144,8968,6143,8972,6141,8978,6137,8983,6133,9005,6111,9010,6104,9014,6099,9018,6094,9020,6089xm9323,5673l9321,5635,9314,5595,9302,5554,9285,5512,9263,5468,9236,5423,9213,5389,9213,5637,9212,5664,9207,5690,9198,5716,9186,5740,9168,5764,9147,5788,9080,5854,8473,5247,8539,5181,8565,5159,8590,5141,8617,5128,8644,5121,8672,5118,8700,5119,8729,5123,8759,5130,8790,5142,8821,5156,8852,5173,8884,5194,8916,5218,8948,5244,8980,5272,9012,5302,9049,5341,9083,5379,9113,5415,9138,5450,9160,5484,9178,5517,9193,5549,9203,5580,9210,5609,9213,5637,9213,5389,9204,5376,9166,5329,9124,5280,9076,5230,9032,5188,8988,5150,8947,5118,8945,5117,8902,5087,8860,5062,8819,5041,8778,5025,8738,5012,8700,5005,8662,5002,8625,5004,8590,5011,8555,5022,8522,5039,8489,5063,8457,5091,8341,5207,8338,5216,8339,5227,8342,5236,8347,5246,8354,5257,8365,5268,9060,5964,9072,5974,9082,5981,9092,5986,9101,5988,9112,5990,9121,5987,9230,5879,9252,5854,9258,5847,9282,5814,9300,5781,9313,5746,9320,5711,9323,5673xm9940,5169l9939,5164,9937,5159,9934,5153,9929,5148,9923,5143,9916,5137,9905,5130,9810,5070,9529,4893,9529,5004,9360,5173,9099,4768,9055,4701,9055,4700,9529,5004,9529,4893,9224,4700,9017,4569,9011,4566,9006,4563,8996,4560,8992,4561,8987,4563,8982,4564,8976,4567,8971,4572,8965,4576,8958,4583,8950,4591,8936,4605,8928,4616,8925,4621,8924,4626,8922,4631,8922,4635,8923,4639,8924,4644,8927,4649,8930,4654,9017,4791,9289,5224,9318,5269,9491,5542,9498,5553,9504,5561,9509,5566,9514,5572,9520,5575,9529,5578,9534,5576,9540,5573,9545,5569,9552,5563,9566,5549,9571,5543,9575,5538,9579,5533,9581,5528,9581,5523,9582,5519,9582,5516,9580,5511,9579,5508,9577,5504,9574,5499,9426,5272,9525,5173,9629,5070,9860,5218,9865,5220,9869,5222,9873,5223,9876,5225,9880,5225,9883,5224,9888,5223,9892,5221,9898,5217,9903,5213,9925,5191,9930,5184,9934,5179,9938,5174,9940,5169xm10374,4725l10372,4712,10369,4705,10362,4691,10356,4683,10348,4675,9625,3952,9622,3950,9615,3947,9611,3947,9602,3948,9598,3950,9593,3954,9582,3962,9570,3974,9559,3990,9556,3994,9555,4003,9556,4007,9557,4010,9558,4014,9560,4017,10011,4467,10186,4640,10186,4641,10037,4563,9959,4523,9898,4493,9801,4444,9573,4330,9421,4254,9397,4243,9378,4234,9366,4230,9356,4228,9347,4227,9338,4227,9330,4228,9316,4234,9309,4239,9263,4285,9260,4295,9261,4307,9264,4317,9269,4327,9277,4338,9287,4350,10010,5073,10013,5075,10016,5076,10020,5078,10024,5079,10028,5077,10032,5077,10042,5072,10052,5064,10065,5051,10073,5040,10076,5035,10078,5031,10078,5026,10080,5022,10080,5019,10078,5015,10077,5011,10075,5008,9533,4467,9421,4358,9422,4357,9468,4382,9565,4433,9686,4494,10057,4678,10204,4752,10233,4766,10272,4782,10285,4785,10295,4786,10305,4787,10314,4787,10321,4784,10329,4781,10336,4776,10367,4745,10370,4741,10373,4730,10374,472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08.139999pt;margin-top:101.693153pt;width:108.26pt;height:.72pt;mso-position-horizontal-relative:page;mso-position-vertical-relative:paragraph;z-index:-25247744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196.220001pt;width:108.26pt;height:.72pt;mso-position-horizontal-relative:page;mso-position-vertical-relative:page;z-index:-2524723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346.970032pt;width:108.26pt;height:.71997pt;mso-position-horizontal-relative:page;mso-position-vertical-relative:page;z-index:-2524672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Unrestricted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Error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Correction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Exports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338"/>
        <w:gridCol w:w="1261"/>
        <w:gridCol w:w="1295"/>
        <w:gridCol w:w="1108"/>
      </w:tblGrid>
      <w:tr>
        <w:trPr>
          <w:trHeight w:val="270" w:hRule="atLeast"/>
        </w:trPr>
        <w:tc>
          <w:tcPr>
            <w:tcW w:w="7167" w:type="dxa"/>
            <w:gridSpan w:val="5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Variable: DLEX</w:t>
            </w:r>
          </w:p>
        </w:tc>
      </w:tr>
      <w:tr>
        <w:trPr>
          <w:trHeight w:val="276" w:hRule="atLeast"/>
        </w:trPr>
        <w:tc>
          <w:tcPr>
            <w:tcW w:w="7167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</w:tr>
      <w:tr>
        <w:trPr>
          <w:trHeight w:val="275" w:hRule="atLeast"/>
        </w:trPr>
        <w:tc>
          <w:tcPr>
            <w:tcW w:w="7167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(adjusted):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1975Q4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2010Q4</w:t>
            </w:r>
          </w:p>
        </w:tc>
      </w:tr>
      <w:tr>
        <w:trPr>
          <w:trHeight w:val="395" w:hRule="atLeast"/>
        </w:trPr>
        <w:tc>
          <w:tcPr>
            <w:tcW w:w="7167" w:type="dxa"/>
            <w:gridSpan w:val="5"/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 adjustments</w:t>
            </w:r>
          </w:p>
        </w:tc>
      </w:tr>
      <w:tr>
        <w:trPr>
          <w:trHeight w:val="485" w:hRule="atLeast"/>
        </w:trPr>
        <w:tc>
          <w:tcPr>
            <w:tcW w:w="21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left="66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33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6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36" w:right="112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29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110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436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3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-8.603925</w:t>
            </w:r>
          </w:p>
        </w:tc>
        <w:tc>
          <w:tcPr>
            <w:tcW w:w="126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3.293801</w:t>
            </w:r>
          </w:p>
        </w:tc>
        <w:tc>
          <w:tcPr>
            <w:tcW w:w="129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-2.612157</w:t>
            </w:r>
          </w:p>
        </w:tc>
        <w:tc>
          <w:tcPr>
            <w:tcW w:w="110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0.0100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DLEX(-1)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-0.152191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0.078888</w:t>
            </w:r>
          </w:p>
        </w:tc>
        <w:tc>
          <w:tcPr>
            <w:tcW w:w="1295" w:type="dxa"/>
          </w:tcPr>
          <w:p>
            <w:pPr>
              <w:pStyle w:val="TableParagraph"/>
              <w:spacing w:line="256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-1.929202</w:t>
            </w: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0.0559</w:t>
            </w:r>
          </w:p>
        </w:tc>
      </w:tr>
      <w:tr>
        <w:trPr>
          <w:trHeight w:val="256" w:hRule="atLeast"/>
        </w:trPr>
        <w:tc>
          <w:tcPr>
            <w:tcW w:w="2165" w:type="dxa"/>
          </w:tcPr>
          <w:p>
            <w:pPr>
              <w:pStyle w:val="TableParagraph"/>
              <w:spacing w:line="236" w:lineRule="exact"/>
              <w:ind w:left="28"/>
              <w:rPr>
                <w:sz w:val="24"/>
              </w:rPr>
            </w:pPr>
            <w:r>
              <w:rPr>
                <w:sz w:val="24"/>
              </w:rPr>
              <w:t>DLREER</w:t>
            </w:r>
          </w:p>
        </w:tc>
        <w:tc>
          <w:tcPr>
            <w:tcW w:w="1338" w:type="dxa"/>
          </w:tcPr>
          <w:p>
            <w:pPr>
              <w:pStyle w:val="TableParagraph"/>
              <w:spacing w:line="23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-1.117247</w:t>
            </w:r>
          </w:p>
        </w:tc>
        <w:tc>
          <w:tcPr>
            <w:tcW w:w="1261" w:type="dxa"/>
          </w:tcPr>
          <w:p>
            <w:pPr>
              <w:pStyle w:val="TableParagraph"/>
              <w:spacing w:line="23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0.288113</w:t>
            </w:r>
          </w:p>
        </w:tc>
        <w:tc>
          <w:tcPr>
            <w:tcW w:w="1295" w:type="dxa"/>
          </w:tcPr>
          <w:p>
            <w:pPr>
              <w:pStyle w:val="TableParagraph"/>
              <w:spacing w:line="236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-3.877806</w:t>
            </w:r>
          </w:p>
        </w:tc>
        <w:tc>
          <w:tcPr>
            <w:tcW w:w="1108" w:type="dxa"/>
          </w:tcPr>
          <w:p>
            <w:pPr>
              <w:pStyle w:val="TableParagraph"/>
              <w:spacing w:line="23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</w:tr>
      <w:tr>
        <w:trPr>
          <w:trHeight w:val="296" w:hRule="atLeast"/>
        </w:trPr>
        <w:tc>
          <w:tcPr>
            <w:tcW w:w="2165" w:type="dxa"/>
          </w:tcPr>
          <w:p>
            <w:pPr>
              <w:pStyle w:val="TableParagraph"/>
              <w:spacing w:line="26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d</w:t>
            </w:r>
            <w:r>
              <w:rPr>
                <w:sz w:val="24"/>
                <w:vertAlign w:val="baseline"/>
              </w:rPr>
              <w:t>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6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2.993661</w:t>
            </w:r>
          </w:p>
        </w:tc>
        <w:tc>
          <w:tcPr>
            <w:tcW w:w="1261" w:type="dxa"/>
          </w:tcPr>
          <w:p>
            <w:pPr>
              <w:pStyle w:val="TableParagraph"/>
              <w:spacing w:line="261" w:lineRule="exact" w:before="15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1.350630</w:t>
            </w:r>
          </w:p>
        </w:tc>
        <w:tc>
          <w:tcPr>
            <w:tcW w:w="1295" w:type="dxa"/>
          </w:tcPr>
          <w:p>
            <w:pPr>
              <w:pStyle w:val="TableParagraph"/>
              <w:spacing w:line="261" w:lineRule="exact" w:before="15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2.216492</w:t>
            </w:r>
          </w:p>
        </w:tc>
        <w:tc>
          <w:tcPr>
            <w:tcW w:w="1108" w:type="dxa"/>
          </w:tcPr>
          <w:p>
            <w:pPr>
              <w:pStyle w:val="TableParagraph"/>
              <w:spacing w:line="261" w:lineRule="exact" w:before="15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0.0284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DLWPI(-1)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1.251380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0.675000</w:t>
            </w:r>
          </w:p>
        </w:tc>
        <w:tc>
          <w:tcPr>
            <w:tcW w:w="1295" w:type="dxa"/>
          </w:tcPr>
          <w:p>
            <w:pPr>
              <w:pStyle w:val="TableParagraph"/>
              <w:spacing w:line="256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1.853897</w:t>
            </w: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0.0660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LEX(-1)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-0.362610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0.075733</w:t>
            </w:r>
          </w:p>
        </w:tc>
        <w:tc>
          <w:tcPr>
            <w:tcW w:w="1295" w:type="dxa"/>
          </w:tcPr>
          <w:p>
            <w:pPr>
              <w:pStyle w:val="TableParagraph"/>
              <w:spacing w:line="256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-4.787980</w:t>
            </w: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LREER(-1)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-0.578155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0.214711</w:t>
            </w:r>
          </w:p>
        </w:tc>
        <w:tc>
          <w:tcPr>
            <w:tcW w:w="1295" w:type="dxa"/>
          </w:tcPr>
          <w:p>
            <w:pPr>
              <w:pStyle w:val="TableParagraph"/>
              <w:spacing w:line="256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-2.692709</w:t>
            </w: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0.0080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LGDP_SL(-1)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1.883733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0.533816</w:t>
            </w:r>
          </w:p>
        </w:tc>
        <w:tc>
          <w:tcPr>
            <w:tcW w:w="1295" w:type="dxa"/>
          </w:tcPr>
          <w:p>
            <w:pPr>
              <w:pStyle w:val="TableParagraph"/>
              <w:spacing w:line="256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3.528808</w:t>
            </w: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LMS(-1)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0.223292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0.055861</w:t>
            </w:r>
          </w:p>
        </w:tc>
        <w:tc>
          <w:tcPr>
            <w:tcW w:w="1295" w:type="dxa"/>
          </w:tcPr>
          <w:p>
            <w:pPr>
              <w:pStyle w:val="TableParagraph"/>
              <w:spacing w:line="256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3.997305</w:t>
            </w: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  <w:tr>
        <w:trPr>
          <w:trHeight w:val="393" w:hRule="atLeast"/>
        </w:trPr>
        <w:tc>
          <w:tcPr>
            <w:tcW w:w="21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DU</w:t>
            </w:r>
          </w:p>
        </w:tc>
        <w:tc>
          <w:tcPr>
            <w:tcW w:w="133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0.334764</w:t>
            </w:r>
          </w:p>
        </w:tc>
        <w:tc>
          <w:tcPr>
            <w:tcW w:w="12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0.175559</w:t>
            </w:r>
          </w:p>
        </w:tc>
        <w:tc>
          <w:tcPr>
            <w:tcW w:w="129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1.906844</w:t>
            </w:r>
          </w:p>
        </w:tc>
        <w:tc>
          <w:tcPr>
            <w:tcW w:w="110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0.0587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3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0.338641</w:t>
            </w:r>
          </w:p>
        </w:tc>
        <w:tc>
          <w:tcPr>
            <w:tcW w:w="2556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0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0.062365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0.293204</w:t>
            </w:r>
          </w:p>
        </w:tc>
        <w:tc>
          <w:tcPr>
            <w:tcW w:w="2556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0.664628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0.558761</w:t>
            </w:r>
          </w:p>
        </w:tc>
        <w:tc>
          <w:tcPr>
            <w:tcW w:w="2556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1.742090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40.89994</w:t>
            </w:r>
          </w:p>
        </w:tc>
        <w:tc>
          <w:tcPr>
            <w:tcW w:w="2556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1.951222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133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-112.8173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2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7.453002</w:t>
            </w:r>
          </w:p>
        </w:tc>
      </w:tr>
      <w:tr>
        <w:trPr>
          <w:trHeight w:val="379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33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2.015920</w:t>
            </w:r>
          </w:p>
        </w:tc>
        <w:tc>
          <w:tcPr>
            <w:tcW w:w="2556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0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  <w:spacing w:line="276" w:lineRule="auto"/>
        <w:ind w:right="1903"/>
      </w:pPr>
      <w:r>
        <w:rPr/>
        <w:pict>
          <v:shape style="position:absolute;margin-left:116.940002pt;margin-top:397.679993pt;width:194.45pt;height:196.9pt;mso-position-horizontal-relative:page;mso-position-vertical-relative:page;z-index:-25246208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08.139999pt;margin-top:545.830017pt;width:108.26pt;height:.71997pt;mso-position-horizontal-relative:page;mso-position-vertical-relative:page;z-index:-25245184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598.870056pt;width:108.26pt;height:.71997pt;mso-position-horizontal-relative:page;mso-position-vertical-relative:page;z-index:-2524467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665.860046pt;width:108.26pt;height:.71997pt;mso-position-horizontal-relative:page;mso-position-vertical-relative:page;z-index:-25244160" filled="true" fillcolor="#000000" stroked="false">
            <v:fill type="solid"/>
            <w10:wrap type="none"/>
          </v:rect>
        </w:pict>
      </w:r>
      <w:r>
        <w:rPr/>
        <w:t>Appendix 14:</w:t>
      </w:r>
      <w:r>
        <w:rPr>
          <w:spacing w:val="-5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Parsimonious Model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Exports</w:t>
      </w:r>
      <w:r>
        <w:rPr>
          <w:spacing w:val="-57"/>
        </w:rPr>
        <w:t> </w:t>
      </w:r>
      <w:r>
        <w:rPr/>
        <w:t>Equation</w:t>
      </w:r>
    </w:p>
    <w:p>
      <w:pPr>
        <w:spacing w:before="200"/>
        <w:ind w:left="811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Residual Tests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811" w:right="0" w:firstLine="0"/>
        <w:jc w:val="left"/>
        <w:rPr>
          <w:b/>
          <w:sz w:val="22"/>
        </w:rPr>
      </w:pPr>
      <w:r>
        <w:rPr/>
        <w:pict>
          <v:shape style="position:absolute;margin-left:281.300018pt;margin-top:59.149483pt;width:237.4pt;height:230.5pt;mso-position-horizontal-relative:page;mso-position-vertical-relative:paragraph;z-index:-25245696" coordorigin="5626,1183" coordsize="4748,4610" path="m6603,5736l6602,5733,6600,5725,6597,5722,6306,5432,6268,5360,6080,4998,6004,4854,5993,4834,5983,4822,5979,4819,5969,4816,5964,4818,5957,4822,5944,4833,5928,4849,5923,4855,5916,4865,5914,4869,5912,4877,5912,4881,5917,4894,5921,4898,6079,5192,6115,5256,6178,5364,6177,5365,6002,5265,5929,5225,5783,5147,5705,5105,5696,5101,5692,5100,5684,5102,5680,5103,5675,5106,5670,5110,5658,5119,5642,5135,5632,5148,5628,5153,5626,5158,5628,5168,5631,5173,5637,5177,5643,5182,5664,5194,5736,5232,6098,5420,6242,5496,6532,5787,6536,5789,6542,5792,6546,5792,6550,5791,6554,5790,6564,5785,6569,5782,6575,5777,6587,5765,6592,5759,6595,5754,6600,5744,6601,5740,6603,5736xm7274,5004l7274,4966,7268,4928,7258,4888,7242,4847,7223,4805,7199,4762,7170,4717,7161,4705,7161,4976,7157,5003,7148,5028,7133,5051,7115,5073,7093,5092,7070,5107,7045,5116,7020,5121,6994,5122,6967,5119,6939,5112,6909,5101,6880,5087,6849,5070,6818,5049,6786,5025,6753,4999,6720,4970,6687,4939,6652,4906,6622,4875,6594,4843,6567,4812,6541,4780,6518,4748,6499,4717,6482,4686,6469,4656,6458,4626,6451,4598,6447,4569,6447,4542,6451,4516,6460,4491,6474,4468,6493,4446,6515,4427,6537,4413,6562,4403,6587,4399,6614,4398,6641,4401,6669,4408,6698,4418,6728,4432,6759,4449,6790,4469,6821,4492,6854,4518,6886,4547,6919,4577,6952,4609,6983,4640,7012,4672,7039,4704,7064,4736,7088,4768,7108,4800,7125,4831,7139,4861,7150,4891,7157,4920,7161,4949,7161,4976,7161,4705,7137,4672,7100,4626,7059,4580,7013,4533,6966,4488,6921,4447,6876,4410,6860,4398,6832,4378,6790,4350,6749,4327,6709,4308,6670,4294,6633,4285,6596,4281,6562,4281,6528,4285,6496,4295,6465,4309,6436,4329,6408,4353,6383,4382,6363,4413,6348,4445,6339,4479,6335,4515,6336,4552,6341,4591,6351,4630,6366,4671,6386,4713,6409,4756,6438,4800,6470,4845,6507,4890,6547,4936,6591,4982,6639,5028,6685,5069,6731,5107,6775,5140,6817,5168,6859,5191,6899,5210,6938,5225,6975,5234,7011,5239,7046,5239,7080,5234,7113,5225,7144,5211,7173,5191,7201,5166,7227,5137,7237,5122,7247,5106,7261,5074,7270,5039,7274,5004xm7572,4766l7572,4763,7569,4755,7567,4752,7239,4424,7409,4254,7410,4251,7410,4244,7409,4240,7404,4231,7400,4225,7385,4207,7369,4191,7361,4184,7355,4179,7349,4174,7344,4171,7336,4167,7332,4166,7328,4166,7325,4167,7323,4168,7153,4338,6887,4073,7068,3893,7069,3891,7069,3887,7068,3880,7063,3871,7059,3865,7043,3846,7035,3838,7027,3831,7008,3814,6993,3805,6989,3804,6982,3804,6980,3805,6753,4031,6750,4040,6752,4051,6754,4060,6759,4070,6767,4080,6777,4092,7502,4817,7505,4819,7513,4822,7516,4823,7520,4821,7524,4820,7534,4815,7539,4812,7545,4807,7557,4795,7565,4784,7570,4774,7571,4770,7572,4766xm8101,4238l8100,4234,8098,4227,8095,4224,8092,4221,7340,3469,7337,3467,7330,3464,7327,3464,7322,3465,7318,3466,7309,3471,7298,3479,7286,3491,7278,3501,7273,3511,7272,3515,7271,3519,7271,3523,7274,3530,7276,3534,8031,4289,8034,4291,8041,4294,8044,4294,8048,4293,8053,4292,8063,4287,8073,4279,8086,4266,8090,4260,8094,4256,8099,4246,8099,4242,8101,4238xm8456,3810l8456,3794,8454,3777,8451,3760,8448,3743,8442,3726,8436,3708,8428,3691,8419,3673,8409,3654,8397,3636,8383,3617,8369,3599,8352,3581,8346,3574,8346,3776,8345,3790,8343,3804,8340,3816,8335,3829,8328,3841,8320,3852,8310,3863,8216,3957,7941,3682,8018,3605,8024,3600,8034,3591,8049,3579,8063,3570,8078,3563,8093,3559,8108,3557,8124,3556,8139,3558,8155,3561,8171,3566,8188,3573,8204,3582,8221,3593,8238,3605,8255,3620,8273,3637,8288,3653,8301,3669,8313,3685,8323,3701,8331,3717,8337,3732,8341,3747,8344,3762,8346,3776,8346,3574,8335,3562,8328,3556,8315,3544,8295,3526,8275,3511,8254,3497,8234,3485,8214,3475,8195,3466,8190,3465,8176,3460,8158,3455,8139,3451,8122,3449,8105,3449,8089,3451,8073,3454,8059,3459,8046,3465,8048,3451,8048,3437,8048,3423,8046,3409,8043,3394,8039,3379,8034,3365,8028,3350,8021,3335,8013,3321,8004,3306,7993,3291,7982,3277,7971,3262,7964,3255,7964,3449,7964,3462,7962,3475,7958,3488,7952,3501,7943,3514,7932,3526,7859,3600,7606,3347,7673,3280,7686,3268,7700,3258,7713,3250,7726,3244,7739,3241,7751,3239,7765,3239,7777,3241,7791,3245,7805,3250,7818,3256,7832,3265,7846,3274,7860,3285,7874,3297,7888,3311,7900,3324,7912,3337,7923,3350,7933,3364,7941,3379,7949,3393,7955,3407,7959,3421,7962,3435,7964,3449,7964,3255,7958,3248,7950,3239,7945,3234,7921,3212,7898,3192,7875,3175,7852,3160,7829,3148,7806,3138,7784,3131,7762,3126,7740,3124,7719,3125,7698,3128,7677,3134,7656,3143,7635,3156,7614,3172,7592,3193,7481,3303,7476,3309,7473,3317,7474,3328,7477,3337,7482,3347,7489,3358,7500,3369,8195,4065,8206,4075,8217,4083,8227,4088,8236,4090,8247,4091,8256,4089,8387,3957,8389,3956,8402,3942,8413,3928,8423,3914,8431,3900,8438,3887,8444,3872,8449,3857,8452,3842,8454,3826,8456,3810xm9020,3325l9019,3320,9017,3315,9014,3310,9009,3304,9003,3299,8995,3294,8984,3286,8889,3226,8609,3049,8609,3160,8440,3330,8179,2924,8135,2857,8135,2857,8135,2857,8609,3160,8609,3049,8304,2857,8097,2725,8091,2722,8086,2719,8081,2718,8076,2717,8072,2717,8062,2720,8056,2723,8050,2728,8044,2733,8038,2739,8030,2747,8022,2755,8016,2761,8012,2766,8008,2772,8005,2777,8004,2782,8002,2787,8001,2791,8003,2796,8004,2801,8007,2805,8010,2811,8053,2879,8370,3381,8571,3699,8578,3710,8584,3717,8589,3723,8594,3729,8600,3732,8604,3733,8609,3734,8614,3733,8620,3729,8625,3725,8632,3720,8646,3705,8651,3699,8655,3694,8659,3689,8661,3685,8661,3680,8662,3676,8662,3672,8660,3668,8659,3664,8657,3660,8654,3656,8617,3599,8506,3428,8605,3330,8709,3226,8940,3374,8945,3377,8949,3378,8953,3380,8956,3381,8960,3381,8963,3380,8968,3379,8972,3377,8978,3373,8983,3369,9005,3347,9010,3341,9014,3335,9018,3330,9020,3325xm9323,2910l9321,2871,9314,2831,9302,2790,9285,2748,9263,2704,9236,2659,9213,2626,9213,2873,9212,2900,9207,2926,9198,2952,9186,2976,9168,3000,9147,3024,9080,3090,8473,2483,8539,2417,8565,2395,8590,2377,8617,2365,8644,2357,8672,2354,8700,2355,8729,2359,8759,2367,8790,2378,8821,2392,8852,2409,8884,2430,8916,2454,8948,2480,8980,2508,9012,2538,9049,2577,9083,2615,9113,2651,9138,2686,9160,2720,9178,2753,9193,2785,9203,2816,9210,2845,9213,2873,9213,2626,9204,2613,9166,2565,9124,2516,9076,2466,9032,2424,8988,2386,8947,2354,8945,2353,8902,2323,8860,2298,8819,2277,8778,2261,8738,2249,8700,2241,8662,2239,8625,2241,8590,2247,8555,2258,8522,2275,8489,2299,8457,2328,8341,2443,8338,2452,8339,2463,8342,2472,8347,2482,8354,2493,8365,2504,9060,3200,9072,3210,9082,3218,9092,3222,9101,3224,9112,3226,9121,3224,9230,3115,9252,3090,9258,3083,9282,3050,9300,3017,9313,2982,9320,2947,9323,2910xm9940,2405l9939,2400,9937,2395,9934,2390,9929,2384,9923,2379,9916,2374,9905,2366,9810,2306,9529,2129,9529,2240,9360,2410,9099,2004,9055,1937,9055,1936,9529,2240,9529,2129,9224,1936,9017,1805,9011,1802,9006,1799,8996,1797,8992,1797,8987,1799,8982,1800,8976,1803,8971,1808,8965,1812,8958,1819,8950,1827,8936,1841,8928,1852,8925,1857,8924,1862,8922,1867,8922,1871,8923,1876,8924,1881,8927,1885,8930,1891,9017,2027,9289,2460,9318,2506,9491,2779,9498,2789,9504,2797,9509,2803,9514,2809,9520,2812,9529,2814,9534,2813,9540,2809,9545,2805,9552,2800,9566,2785,9571,2779,9575,2774,9579,2769,9581,2765,9581,2760,9582,2756,9582,2752,9580,2748,9579,2744,9577,2740,9574,2736,9426,2508,9525,2410,9629,2306,9860,2454,9865,2456,9869,2458,9873,2460,9876,2461,9880,2461,9883,2460,9888,2459,9892,2457,9898,2453,9903,2449,9925,2427,9930,2421,9934,2415,9938,2410,9940,2405xm10374,1961l10372,1949,10369,1942,10362,1927,10356,1919,10348,1911,9625,1188,9622,1186,9615,1184,9611,1183,9602,1184,9598,1187,9593,1190,9582,1198,9570,1210,9559,1226,9556,1230,9555,1239,9556,1243,9557,1247,9558,1250,9560,1253,10011,1703,10186,1876,10186,1877,10037,1799,9959,1759,9898,1729,9801,1680,9573,1567,9421,1490,9397,1479,9378,1471,9366,1467,9356,1464,9347,1463,9338,1463,9330,1464,9316,1470,9309,1475,9263,1521,9260,1531,9261,1543,9264,1553,9269,1563,9277,1575,9287,1586,10010,2309,10013,2311,10016,2312,10020,2314,10024,2315,10028,2313,10032,2313,10042,2308,10052,2300,10065,2287,10073,2276,10076,2271,10078,2267,10078,2263,10080,2259,10080,2255,10078,2251,10077,2247,10075,2245,9533,1704,9421,1594,9422,1593,9468,1618,9565,1669,9686,1730,10057,1914,10204,1988,10233,2002,10272,2018,10285,2021,10295,2022,10305,2024,10314,2023,10321,2020,10329,2017,10336,2012,10367,1981,10370,1977,10373,1966,10374,196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A1: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Correlogram-Q-Statistics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444"/>
        <w:gridCol w:w="1003"/>
        <w:gridCol w:w="833"/>
        <w:gridCol w:w="840"/>
        <w:gridCol w:w="1055"/>
        <w:gridCol w:w="931"/>
      </w:tblGrid>
      <w:tr>
        <w:trPr>
          <w:trHeight w:val="270" w:hRule="atLeast"/>
        </w:trPr>
        <w:tc>
          <w:tcPr>
            <w:tcW w:w="7980" w:type="dxa"/>
            <w:gridSpan w:val="7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1975Q4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2010Q4</w:t>
            </w:r>
          </w:p>
        </w:tc>
      </w:tr>
      <w:tr>
        <w:trPr>
          <w:trHeight w:val="378" w:hRule="atLeast"/>
        </w:trPr>
        <w:tc>
          <w:tcPr>
            <w:tcW w:w="7980" w:type="dxa"/>
            <w:gridSpan w:val="7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141</w:t>
            </w:r>
          </w:p>
        </w:tc>
      </w:tr>
      <w:tr>
        <w:trPr>
          <w:trHeight w:val="487" w:hRule="atLeast"/>
        </w:trPr>
        <w:tc>
          <w:tcPr>
            <w:tcW w:w="187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206"/>
              <w:rPr>
                <w:sz w:val="24"/>
              </w:rPr>
            </w:pPr>
            <w:r>
              <w:rPr>
                <w:sz w:val="24"/>
              </w:rPr>
              <w:t>Autocorrelation</w:t>
            </w:r>
          </w:p>
        </w:tc>
        <w:tc>
          <w:tcPr>
            <w:tcW w:w="2447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49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83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53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84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46"/>
              <w:rPr>
                <w:sz w:val="24"/>
              </w:rPr>
            </w:pPr>
            <w:r>
              <w:rPr>
                <w:sz w:val="24"/>
              </w:rPr>
              <w:t>PAC</w:t>
            </w:r>
          </w:p>
        </w:tc>
        <w:tc>
          <w:tcPr>
            <w:tcW w:w="105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27"/>
              <w:rPr>
                <w:sz w:val="24"/>
              </w:rPr>
            </w:pPr>
            <w:r>
              <w:rPr>
                <w:sz w:val="24"/>
              </w:rPr>
              <w:t>Q-Stat</w:t>
            </w:r>
          </w:p>
        </w:tc>
        <w:tc>
          <w:tcPr>
            <w:tcW w:w="93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93"/>
              <w:rPr>
                <w:sz w:val="24"/>
              </w:rPr>
            </w:pPr>
            <w:r>
              <w:rPr>
                <w:sz w:val="24"/>
              </w:rPr>
              <w:t>Prob</w:t>
            </w:r>
          </w:p>
        </w:tc>
      </w:tr>
      <w:tr>
        <w:trPr>
          <w:trHeight w:val="380" w:hRule="atLeast"/>
        </w:trPr>
        <w:tc>
          <w:tcPr>
            <w:tcW w:w="187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976" w:val="left" w:leader="none"/>
              </w:tabs>
              <w:spacing w:line="261" w:lineRule="exact" w:before="99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37" w:val="left" w:leader="none"/>
              </w:tabs>
              <w:spacing w:line="261" w:lineRule="exact" w:before="99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-0.013</w:t>
            </w:r>
          </w:p>
        </w:tc>
        <w:tc>
          <w:tcPr>
            <w:tcW w:w="84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95"/>
              <w:rPr>
                <w:sz w:val="24"/>
              </w:rPr>
            </w:pPr>
            <w:r>
              <w:rPr>
                <w:sz w:val="24"/>
              </w:rPr>
              <w:t>-0.013</w:t>
            </w:r>
          </w:p>
        </w:tc>
        <w:tc>
          <w:tcPr>
            <w:tcW w:w="105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0.0244</w:t>
            </w:r>
          </w:p>
        </w:tc>
        <w:tc>
          <w:tcPr>
            <w:tcW w:w="93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0.876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0.031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0.031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0.1649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0.921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0.1753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0.981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1.8787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0.758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-0.141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-0.140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4.8191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0.438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-0.002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4.8252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0.566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-0.053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-0.048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5.2438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0.630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9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.|**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15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.|**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0.210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11.914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0.111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0.152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13.781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0.130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-0.028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13.781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96" w:val="left" w:leader="none"/>
              </w:tabs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**|.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157" w:val="left" w:leader="none"/>
              </w:tabs>
              <w:spacing w:line="256" w:lineRule="exact"/>
              <w:ind w:left="449"/>
              <w:rPr>
                <w:sz w:val="24"/>
              </w:rPr>
            </w:pPr>
            <w:r>
              <w:rPr>
                <w:sz w:val="24"/>
              </w:rPr>
              <w:t>**|.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-0.196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-0.229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19.716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0.097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21.172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-0.065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-0.008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21.845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96" w:val="left" w:leader="none"/>
              </w:tabs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**|.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157" w:val="left" w:leader="none"/>
              </w:tabs>
              <w:spacing w:line="256" w:lineRule="exact"/>
              <w:ind w:left="449"/>
              <w:rPr>
                <w:sz w:val="24"/>
              </w:rPr>
            </w:pPr>
            <w:r>
              <w:rPr>
                <w:sz w:val="24"/>
              </w:rPr>
              <w:t>**|.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-0.245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-0.215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31.390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-0.039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31.634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-0.045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31.834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31.850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-0.061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-0.066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32.459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-0.068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-0.049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33.232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</w:tr>
      <w:tr>
        <w:trPr>
          <w:trHeight w:val="381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271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1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0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-0.066</w:t>
            </w:r>
          </w:p>
        </w:tc>
        <w:tc>
          <w:tcPr>
            <w:tcW w:w="84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-0.059</w:t>
            </w:r>
          </w:p>
        </w:tc>
        <w:tc>
          <w:tcPr>
            <w:tcW w:w="105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33.967</w:t>
            </w:r>
          </w:p>
        </w:tc>
        <w:tc>
          <w:tcPr>
            <w:tcW w:w="93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</w:tr>
      <w:tr>
        <w:trPr>
          <w:trHeight w:val="667" w:hRule="atLeast"/>
        </w:trPr>
        <w:tc>
          <w:tcPr>
            <w:tcW w:w="5154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A2: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Normality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Jarque-Bera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  <w:tc>
          <w:tcPr>
            <w:tcW w:w="84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0" w:hRule="atLeast"/>
        </w:trPr>
        <w:tc>
          <w:tcPr>
            <w:tcW w:w="1874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354.4946</w:t>
            </w:r>
          </w:p>
        </w:tc>
        <w:tc>
          <w:tcPr>
            <w:tcW w:w="1836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499" w:hRule="atLeast"/>
        </w:trPr>
        <w:tc>
          <w:tcPr>
            <w:tcW w:w="5154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spacing w:before="106"/>
              <w:ind w:left="28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A3: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Breusch-Godfrey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Serial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Correlation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  <w:tc>
          <w:tcPr>
            <w:tcW w:w="84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0.334894</w:t>
            </w:r>
          </w:p>
        </w:tc>
        <w:tc>
          <w:tcPr>
            <w:tcW w:w="1836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0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5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0.716034</w:t>
            </w:r>
          </w:p>
        </w:tc>
      </w:tr>
      <w:tr>
        <w:trPr>
          <w:trHeight w:val="381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0.728311</w:t>
            </w:r>
          </w:p>
        </w:tc>
        <w:tc>
          <w:tcPr>
            <w:tcW w:w="1836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0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5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0.694783</w:t>
            </w:r>
          </w:p>
        </w:tc>
      </w:tr>
      <w:tr>
        <w:trPr>
          <w:trHeight w:val="499" w:hRule="atLeast"/>
        </w:trPr>
        <w:tc>
          <w:tcPr>
            <w:tcW w:w="1874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A4: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ARCH Test:</w:t>
            </w:r>
          </w:p>
        </w:tc>
        <w:tc>
          <w:tcPr>
            <w:tcW w:w="144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6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18.25527</w:t>
            </w:r>
          </w:p>
        </w:tc>
        <w:tc>
          <w:tcPr>
            <w:tcW w:w="1836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0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5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0.000036</w:t>
            </w:r>
          </w:p>
        </w:tc>
      </w:tr>
      <w:tr>
        <w:trPr>
          <w:trHeight w:val="378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16.35617</w:t>
            </w:r>
          </w:p>
        </w:tc>
        <w:tc>
          <w:tcPr>
            <w:tcW w:w="1836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40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5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-9" w:right="37"/>
              <w:jc w:val="right"/>
              <w:rPr>
                <w:sz w:val="24"/>
              </w:rPr>
            </w:pPr>
            <w:r>
              <w:rPr>
                <w:sz w:val="24"/>
              </w:rPr>
              <w:t>0.000052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2473"/>
        <w:gridCol w:w="2190"/>
      </w:tblGrid>
      <w:tr>
        <w:trPr>
          <w:trHeight w:val="383" w:hRule="atLeast"/>
        </w:trPr>
        <w:tc>
          <w:tcPr>
            <w:tcW w:w="7981" w:type="dxa"/>
            <w:gridSpan w:val="4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A5: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Heteroskedasticity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9.864144</w:t>
            </w:r>
          </w:p>
        </w:tc>
        <w:tc>
          <w:tcPr>
            <w:tcW w:w="247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81.33860</w:t>
            </w:r>
          </w:p>
        </w:tc>
        <w:tc>
          <w:tcPr>
            <w:tcW w:w="247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  <w:tr>
        <w:trPr>
          <w:trHeight w:val="1327" w:hRule="atLeast"/>
        </w:trPr>
        <w:tc>
          <w:tcPr>
            <w:tcW w:w="7981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Stability Tests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B1: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2.956053</w:t>
            </w:r>
          </w:p>
        </w:tc>
        <w:tc>
          <w:tcPr>
            <w:tcW w:w="247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0.087937</w:t>
            </w:r>
          </w:p>
        </w:tc>
      </w:tr>
      <w:tr>
        <w:trPr>
          <w:trHeight w:val="378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3.170271</w:t>
            </w:r>
          </w:p>
        </w:tc>
        <w:tc>
          <w:tcPr>
            <w:tcW w:w="247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0.074990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116.940002pt;margin-top:397.679993pt;width:194.45pt;height:196.9pt;mso-position-horizontal-relative:page;mso-position-vertical-relative:page;z-index:-25243136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06.580002pt;margin-top:197.339996pt;width:421.15pt;height:251.3pt;mso-position-horizontal-relative:page;mso-position-vertical-relative:page;z-index:-25242624" coordorigin="2132,3947" coordsize="8423,5026">
            <v:shape style="position:absolute;left:5626;top:3946;width:4748;height:4610" coordorigin="5626,3947" coordsize="4748,4610" path="m6603,8500l6602,8496,6600,8489,6597,8486,6306,8195,6268,8123,6080,7762,6004,7618,5993,7597,5983,7585,5979,7583,5969,7580,5964,7582,5957,7586,5944,7597,5928,7613,5923,7619,5916,7628,5914,7633,5912,7641,5912,7644,5917,7657,5921,7662,6079,7955,6115,8020,6178,8128,6177,8128,6002,8029,5929,7989,5783,7911,5705,7869,5696,7865,5692,7864,5684,7866,5680,7867,5675,7870,5670,7873,5658,7883,5642,7899,5632,7911,5628,7917,5626,7922,5628,7932,5631,7936,5637,7941,5643,7946,5664,7958,5736,7996,6098,8184,6242,8260,6532,8551,6536,8553,6542,8556,6546,8556,6550,8555,6554,8554,6564,8549,6569,8545,6575,8541,6587,8529,6592,8523,6595,8518,6600,8508,6601,8504,6603,8500xm7274,7768l7274,7730,7268,7692,7258,7652,7242,7611,7223,7569,7199,7526,7170,7481,7161,7469,7161,7740,7157,7766,7148,7791,7133,7815,7115,7837,7093,7856,7070,7870,7045,7880,7020,7884,6994,7885,6967,7883,6939,7876,6909,7865,6880,7851,6849,7834,6818,7813,6786,7789,6753,7763,6720,7734,6687,7703,6652,7670,6622,7638,6594,7607,6567,7575,6541,7544,6518,7512,6499,7481,6482,7450,6469,7420,6458,7390,6451,7361,6447,7333,6447,7306,6451,7279,6460,7255,6474,7232,6493,7210,6515,7191,6537,7177,6562,7167,6587,7163,6614,7162,6641,7165,6669,7171,6698,7182,6728,7196,6759,7213,6790,7233,6821,7256,6854,7282,6886,7310,6919,7341,6952,7373,6983,7404,7012,7436,7039,7468,7064,7500,7088,7532,7108,7563,7125,7594,7139,7625,7150,7655,7157,7684,7161,7712,7161,7740,7161,7469,7137,7436,7100,7390,7059,7344,7013,7297,6966,7251,6921,7210,6876,7174,6860,7162,6832,7141,6790,7114,6749,7091,6709,7072,6670,7058,6633,7049,6596,7044,6562,7045,6528,7049,6496,7058,6465,7073,6436,7093,6408,7117,6383,7146,6363,7176,6348,7209,6339,7243,6335,7279,6336,7316,6341,7354,6351,7394,6366,7435,6386,7477,6409,7520,6438,7564,6470,7609,6507,7654,6547,7700,6591,7745,6639,7792,6685,7833,6731,7870,6775,7903,6817,7932,6859,7955,6899,7974,6938,7988,6975,7998,7011,8003,7046,8003,7080,7998,7113,7989,7144,7974,7173,7955,7201,7930,7227,7901,7237,7885,7247,7870,7261,7838,7270,7803,7274,7768xm7572,7530l7572,7527,7569,7519,7567,7516,7239,7188,7409,7018,7410,7015,7410,7008,7409,7004,7404,6995,7400,6989,7385,6971,7369,6955,7361,6948,7355,6943,7349,6938,7344,6935,7336,6931,7332,6930,7328,6930,7325,6931,7323,6932,7153,7102,6887,6837,7068,6656,7069,6654,7069,6651,7068,6643,7063,6635,7059,6629,7043,6610,7035,6602,7027,6594,7008,6577,6993,6569,6989,6568,6982,6568,6980,6568,6753,6795,6750,6804,6752,6815,6754,6824,6759,6834,6767,6844,6777,6856,7502,7581,7505,7583,7513,7586,7516,7586,7520,7585,7524,7584,7534,7579,7539,7576,7545,7571,7557,7558,7565,7548,7570,7538,7571,7534,7572,7530xm8101,7002l8100,6998,8098,6991,8095,6988,8092,6985,7340,6233,7337,6230,7330,6228,7327,6228,7322,6228,7318,6230,7309,6235,7298,6243,7286,6255,7278,6265,7273,6275,7272,6279,7271,6283,7271,6287,7274,6294,7276,6298,8031,7053,8034,7055,8041,7058,8044,7058,8048,7057,8053,7056,8063,7051,8073,7042,8086,7030,8090,7024,8094,7019,8099,7010,8099,7005,8101,7002xm8456,6574l8456,6558,8454,6541,8451,6524,8448,6507,8442,6490,8436,6472,8428,6454,8419,6436,8409,6418,8397,6399,8383,6381,8369,6363,8352,6345,8346,6338,8346,6540,8345,6554,8343,6568,8340,6580,8335,6592,8328,6604,8320,6616,8310,6627,8216,6721,7941,6446,8018,6369,8024,6364,8034,6355,8049,6343,8063,6334,8078,6327,8093,6323,8108,6321,8124,6320,8139,6321,8155,6325,8171,6330,8188,6337,8204,6346,8221,6357,8238,6369,8255,6384,8273,6400,8288,6417,8301,6433,8313,6449,8323,6465,8331,6480,8337,6496,8341,6511,8344,6525,8346,6540,8346,6338,8335,6326,8328,6320,8315,6307,8295,6290,8275,6275,8254,6261,8234,6249,8214,6239,8195,6230,8190,6228,8176,6223,8158,6218,8139,6215,8122,6213,8105,6213,8089,6214,8073,6218,8059,6222,8046,6228,8048,6215,8048,6201,8048,6187,8046,6172,8043,6158,8039,6143,8034,6128,8028,6113,8021,6099,8013,6084,8004,6070,7993,6055,7982,6041,7971,6026,7964,6018,7964,6212,7964,6226,7962,6239,7958,6252,7952,6265,7943,6277,7932,6290,7859,6364,7606,6111,7673,6044,7686,6032,7700,6021,7713,6014,7726,6008,7739,6005,7751,6003,7765,6003,7777,6005,7791,6008,7805,6014,7818,6020,7832,6028,7846,6038,7860,6049,7874,6061,7888,6075,7900,6087,7912,6101,7923,6114,7933,6128,7941,6143,7949,6157,7955,6171,7959,6185,7962,6199,7964,6212,7964,6018,7958,6012,7950,6003,7945,5998,7921,5976,7898,5956,7875,5939,7852,5924,7829,5912,7806,5902,7784,5895,7762,5890,7740,5888,7719,5889,7698,5892,7677,5898,7656,5907,7635,5920,7614,5936,7592,5956,7481,6067,7476,6072,7473,6081,7474,6092,7477,6101,7482,6111,7489,6122,7500,6133,8195,6829,8206,6839,8217,6847,8227,6851,8236,6853,8247,6855,8256,6853,8387,6721,8389,6720,8402,6706,8413,6692,8423,6678,8431,6664,8438,6650,8444,6636,8449,6621,8452,6606,8454,6590,8456,6574xm9020,6089l9019,6084,9017,6079,9014,6073,9009,6068,9003,6063,8995,6058,8984,6050,8889,5990,8609,5813,8609,5924,8440,6093,8179,5688,8135,5621,8135,5620,8135,5620,8609,5924,8609,5813,8304,5620,8097,5489,8091,5486,8086,5483,8081,5482,8076,5481,8072,5481,8062,5484,8056,5487,8050,5492,8044,5496,8038,5503,8030,5511,8022,5519,8016,5525,8012,5530,8008,5536,8005,5541,8004,5546,8002,5551,8001,5555,8003,5560,8004,5564,8007,5569,8010,5575,8053,5643,8370,6145,8571,6462,8578,6473,8584,6481,8589,6487,8594,6492,8600,6495,8604,6497,8609,6498,8614,6497,8620,6493,8625,6489,8632,6484,8646,6469,8651,6463,8655,6458,8659,6453,8661,6449,8661,6444,8662,6440,8662,6436,8660,6432,8659,6428,8657,6424,8654,6420,8617,6363,8506,6192,8605,6093,8709,5990,8940,6138,8945,6140,8949,6142,8953,6144,8956,6145,8960,6145,8963,6144,8968,6143,8972,6141,8978,6137,8983,6133,9005,6111,9010,6104,9014,6099,9018,6094,9020,6089xm9323,5673l9321,5635,9314,5595,9302,5554,9285,5512,9263,5468,9236,5423,9213,5389,9213,5637,9212,5664,9207,5690,9198,5716,9186,5740,9168,5764,9147,5788,9080,5854,8473,5247,8539,5181,8565,5159,8590,5141,8617,5128,8644,5121,8672,5118,8700,5119,8729,5123,8759,5130,8790,5142,8821,5156,8852,5173,8884,5194,8916,5218,8948,5244,8980,5272,9012,5302,9049,5341,9083,5379,9113,5415,9138,5450,9160,5484,9178,5517,9193,5549,9203,5580,9210,5609,9213,5637,9213,5389,9204,5376,9166,5329,9124,5280,9076,5230,9032,5188,8988,5150,8947,5118,8945,5117,8902,5087,8860,5062,8819,5041,8778,5025,8738,5012,8700,5005,8662,5002,8625,5004,8590,5011,8555,5022,8522,5039,8489,5063,8457,5091,8341,5207,8338,5216,8339,5227,8342,5236,8347,5246,8354,5257,8365,5268,9060,5964,9072,5974,9082,5981,9092,5986,9101,5988,9112,5990,9121,5987,9230,5879,9252,5854,9258,5847,9282,5814,9300,5781,9313,5746,9320,5711,9323,5673xm9940,5169l9939,5164,9937,5159,9934,5153,9929,5148,9923,5143,9916,5137,9905,5130,9810,5070,9529,4893,9529,5004,9360,5173,9099,4768,9055,4701,9055,4700,9529,5004,9529,4893,9224,4700,9017,4569,9011,4566,9006,4563,8996,4560,8992,4561,8987,4563,8982,4564,8976,4567,8971,4572,8965,4576,8958,4583,8950,4591,8936,4605,8928,4616,8925,4621,8924,4626,8922,4631,8922,4635,8923,4639,8924,4644,8927,4649,8930,4654,9017,4791,9289,5224,9318,5269,9491,5542,9498,5553,9504,5561,9509,5566,9514,5572,9520,5575,9529,5578,9534,5576,9540,5573,9545,5569,9552,5563,9566,5549,9571,5543,9575,5538,9579,5533,9581,5528,9581,5523,9582,5519,9582,5516,9580,5511,9579,5508,9577,5504,9574,5499,9426,5272,9525,5173,9629,5070,9860,5218,9865,5220,9869,5222,9873,5223,9876,5225,9880,5225,9883,5224,9888,5223,9892,5221,9898,5217,9903,5213,9925,5191,9930,5184,9934,5179,9938,5174,9940,5169xm10374,4725l10372,4712,10369,4705,10362,4691,10356,4683,10348,4675,9625,3952,9622,3950,9615,3947,9611,3947,9602,3948,9598,3950,9593,3954,9582,3962,9570,3974,9559,3990,9556,3994,9555,4003,9556,4007,9557,4010,9558,4014,9560,4017,10011,4467,10186,4640,10186,4641,10037,4563,9959,4523,9898,4493,9801,4444,9573,4330,9421,4254,9397,4243,9378,4234,9366,4230,9356,4228,9347,4227,9338,4227,9330,4228,9316,4234,9309,4239,9263,4285,9260,4295,9261,4307,9264,4317,9269,4327,9277,4338,9287,4350,10010,5073,10013,5075,10016,5076,10020,5078,10024,5079,10028,5077,10032,5077,10042,5072,10052,5064,10065,5051,10073,5040,10076,5035,10078,5031,10078,5026,10080,5022,10080,5019,10078,5015,10077,5011,10075,5008,9533,4467,9421,4358,9422,4357,9468,4382,9565,4433,9686,4494,10057,4678,10204,4752,10233,4766,10272,4782,10285,4785,10295,4786,10305,4787,10314,4787,10321,4784,10329,4781,10336,4776,10367,4745,10370,4741,10373,4730,10374,4725xe" filled="true" fillcolor="#ffc000" stroked="false">
              <v:path arrowok="t"/>
              <v:fill opacity="32896f" type="solid"/>
            </v:shape>
            <v:rect style="position:absolute;left:2132;top:6243;width:4321;height:2729" filled="true" fillcolor="#ffffff" stroked="false">
              <v:fill type="solid"/>
            </v:rect>
            <v:shape style="position:absolute;left:2429;top:6392;width:3757;height:2070" coordorigin="2430,6392" coordsize="3757,2070" path="m2430,8410l2485,8410m2430,8007l2485,8007m2430,7603l2485,7603m2430,7199l2485,7199m2430,6796l2485,6796m2430,6392l2485,6392m2491,7199l6187,7199m2491,8420l2491,8442m2538,8420l2538,8442m2586,8420l2586,8442m2635,8420l2635,8442m2682,8420l2682,8442m2731,8420l2731,8442m2778,8420l2778,8442m2826,8420l2826,8442m2875,8420l2875,8442m2922,8420l2922,8442m2971,8420l2971,8442m3018,8420l3018,8442m3066,8420l3066,8442m3114,8420l3114,8442m3162,8420l3162,8442m3211,8420l3211,8442m3258,8420l3258,8442m3306,8420l3306,8442m3354,8420l3354,8442m3402,8420l3402,8442m3451,8420l3451,8442m3498,8420l3498,8442m3546,8420l3546,8442m3595,8420l3595,8442m3642,8420l3642,8442m3691,8420l3691,8442m3738,8420l3738,8442m3786,8420l3786,8442m3834,8420l3834,8442m3882,8420l3882,8442m3931,8420l3931,8442m3978,8420l3978,8442m4026,8420l4026,8442m4074,8420l4074,8442m4122,8420l4122,8442m4171,8420l4171,8442m4218,8420l4218,8442m4266,8420l4266,8442m4315,8420l4315,8442m4362,8420l4362,8442m4411,8420l4411,8442m4458,8420l4458,8442m4506,8420l4506,8442m4554,8420l4554,8442m4602,8420l4602,8442m4651,8420l4651,8442m4698,8420l4698,8442m4746,8420l4746,8442m4794,8420l4794,8442m4842,8420l4842,8442m4891,8420l4891,8442m4938,8420l4938,8442m4985,8420l4985,8442m5034,8420l5034,8442m5082,8420l5082,8442m5130,8420l5130,8442m5178,8420l5178,8442m5226,8420l5226,8442m5274,8420l5274,8442m5322,8420l5322,8442m5371,8420l5371,8442m5418,8420l5418,8442m5465,8420l5465,8442m5514,8420l5514,8442m5562,8420l5562,8442m5610,8420l5610,8442m5658,8420l5658,8442m5705,8420l5705,8442m5754,8420l5754,8442m5802,8420l5802,8442m5850,8420l5850,8442m5898,8420l5898,8442m5946,8420l5946,8442m5994,8420l5994,8442m6042,8420l6042,8442m6090,8420l6090,8442m6138,8420l6138,8442m6187,8420l6187,8442m2586,8420l2586,8462m2778,8420l2778,8462m2971,8420l2971,8462m3162,8420l3162,8462m3354,8420l3354,8462m3546,8420l3546,8462m3738,8420l3738,8462m3931,8420l3931,8462m4122,8420l4122,8462m4315,8420l4315,8462m4506,8420l4506,8462m4698,8420l4698,8462m4891,8420l4891,8462m5082,8420l5082,8462m5274,8420l5274,8462m5465,8420l5465,8462m5658,8420l5658,8462m5850,8420l5850,8462m6042,8420l6042,8462m2586,8420l2586,8462m2971,8420l2971,8462m3354,8420l3354,8462m3738,8420l3738,8462m4122,8420l4122,8462m4506,8420l4506,8462m4891,8420l4891,8462m5274,8420l5274,8462m5658,8420l5658,8462m6042,8420l6042,8462e" filled="false" stroked="true" strokeweight=".374119pt" strokecolor="#000000">
              <v:path arrowok="t"/>
              <v:stroke dashstyle="solid"/>
            </v:shape>
            <v:shape style="position:absolute;left:2490;top:6484;width:3696;height:1617" coordorigin="2491,6485" coordsize="3696,1617" path="m2491,7250l2538,7211,2586,7371,2635,7136,2682,7233,2731,7272,2778,7347,2826,7274,2875,7312,2922,7191,2971,7269,3018,7296,3066,7267,3114,7171,3162,7554,3211,7828,3258,7663,3306,7003,3354,7175,3402,7156,3451,7337,3498,7230,3546,7191,3595,8101,3642,8101,3691,6485,3738,7936,3786,6636,3834,7113,3882,7017,3931,7477,3978,6747,4026,7336,4074,7147,4122,7045,4171,6931,4218,7613,4266,6535,4315,6992,4362,7170,4411,7145,4458,7238,4506,7318,4554,7136,4602,7097,4651,7346,4698,7180,4746,7199,4794,7198,4842,7258,4891,7207,4938,7154,4985,7274,5034,7377,5082,7296,5130,7222,5178,7288,5226,7297,5274,7261,5322,6904,5371,7118,5418,7298,5465,7048,5514,7185,5562,7251,5610,7351,5658,7176,5705,7221,5754,7197,5802,7287,5850,7235,5898,7300,5946,7251,5994,7273,6042,7247,6090,7274,6138,7208,6187,7275e" filled="false" stroked="true" strokeweight=".388031pt" strokecolor="#0000ff">
              <v:path arrowok="t"/>
              <v:stroke dashstyle="solid"/>
            </v:shape>
            <v:line style="position:absolute" from="2487,7515" to="2531,7515" stroked="true" strokeweight=".503583pt" strokecolor="#ff0000">
              <v:stroke dashstyle="solid"/>
            </v:line>
            <v:shape style="position:absolute;left:2548;top:7506;width:209;height:8" coordorigin="2548,7506" coordsize="209,8" path="m2548,7513l2585,7513m2606,7512l2635,7511,2642,7510m2663,7510l2682,7509,2700,7508m2721,7507l2731,7507,2757,7506e" filled="false" stroked="true" strokeweight=".4348pt" strokecolor="#ff0000">
              <v:path arrowok="t"/>
              <v:stroke dashstyle="solid"/>
            </v:shape>
            <v:line style="position:absolute" from="2775,7505" to="2818,7505" stroked="true" strokeweight=".458518pt" strokecolor="#ff0000">
              <v:stroke dashstyle="solid"/>
            </v:line>
            <v:shape style="position:absolute;left:2835;top:7495;width:209;height:8" coordorigin="2836,7496" coordsize="209,8" path="m2836,7503l2872,7503m2893,7501l2922,7501,2930,7500m2951,7499l2971,7499,2987,7498m3008,7498l3018,7498,3044,7496e" filled="false" stroked="true" strokeweight=".4348pt" strokecolor="#ff0000">
              <v:path arrowok="t"/>
              <v:stroke dashstyle="solid"/>
            </v:shape>
            <v:line style="position:absolute" from="3062,7495" to="3106,7495" stroked="true" strokeweight=".458518pt" strokecolor="#ff0000">
              <v:stroke dashstyle="solid"/>
            </v:line>
            <v:shape style="position:absolute;left:3123;top:7494;width:357;height:59" coordorigin="3123,7495" coordsize="357,59" path="m3123,7495l3158,7502m3174,7512l3201,7530m3217,7540l3251,7550m3271,7553l3306,7553,3307,7552m3328,7552l3354,7551,3364,7551m3386,7550l3402,7549,3422,7548m3443,7548l3451,7548,3480,7546e" filled="false" stroked="true" strokeweight=".4348pt" strokecolor="#ff0000">
              <v:path arrowok="t"/>
              <v:stroke dashstyle="solid"/>
            </v:shape>
            <v:line style="position:absolute" from="3496,7544" to="3539,7544" stroked="true" strokeweight=".461975pt" strokecolor="#ff0000">
              <v:stroke dashstyle="solid"/>
            </v:line>
            <v:shape style="position:absolute;left:3551;top:7550;width:461;height:162" coordorigin="3552,7551" coordsize="461,162" path="m3552,7551l3571,7572m3582,7585l3595,7598,3603,7607m3616,7620l3637,7642m3653,7651l3683,7666m3701,7675l3731,7691m3749,7698l3783,7706m3803,7706l3834,7705,3839,7704m3861,7704l3882,7704,3897,7704m3918,7704l3931,7704,3954,7707m3976,7711l3978,7712,4012,7709e" filled="false" stroked="true" strokeweight=".4348pt" strokecolor="#ff0000">
              <v:path arrowok="t"/>
              <v:stroke dashstyle="solid"/>
            </v:shape>
            <v:line style="position:absolute" from="4029,7707" to="4073,7707" stroked="true" strokeweight=".458516pt" strokecolor="#ff0000">
              <v:stroke dashstyle="solid"/>
            </v:line>
            <v:shape style="position:absolute;left:4090;top:7704;width:204;height:21" coordorigin="4091,7704" coordsize="204,21" path="m4091,7705l4122,7704,4127,7704m4148,7704l4171,7704,4184,7705m4206,7708l4218,7710,4239,7716m4259,7723l4266,7725,4294,7725e" filled="false" stroked="true" strokeweight=".4348pt" strokecolor="#ff0000">
              <v:path arrowok="t"/>
              <v:stroke dashstyle="solid"/>
            </v:shape>
            <v:line style="position:absolute" from="4312,7723" to="4356,7723" stroked="true" strokeweight=".451613pt" strokecolor="#ff0000">
              <v:stroke dashstyle="solid"/>
            </v:line>
            <v:line style="position:absolute" from="4369,7720" to="4413,7720" stroked="true" strokeweight=".45161pt" strokecolor="#ff0000">
              <v:stroke dashstyle="solid"/>
            </v:line>
            <v:shape style="position:absolute;left:4430;top:7709;width:152;height:8" coordorigin="4431,7710" coordsize="152,8" path="m4431,7717l4458,7716,4467,7715m4488,7714l4506,7714,4524,7713m4546,7712l4554,7712,4582,7710e" filled="false" stroked="true" strokeweight=".4348pt" strokecolor="#ff0000">
              <v:path arrowok="t"/>
              <v:stroke dashstyle="solid"/>
            </v:shape>
            <v:line style="position:absolute" from="4599,7709" to="4643,7709" stroked="true" strokeweight=".410325pt" strokecolor="#ff0000">
              <v:stroke dashstyle="solid"/>
            </v:line>
            <v:line style="position:absolute" from="4657,7706" to="4700,7706" stroked="true" strokeweight=".451613pt" strokecolor="#ff0000">
              <v:stroke dashstyle="solid"/>
            </v:line>
            <v:shape style="position:absolute;left:4718;top:7696;width:152;height:8" coordorigin="4718,7696" coordsize="152,8" path="m4718,7704l4746,7703,4754,7702m4776,7701l4794,7700,4812,7699m4833,7698l4842,7698,4869,7696e" filled="false" stroked="true" strokeweight=".4348pt" strokecolor="#ff0000">
              <v:path arrowok="t"/>
              <v:stroke dashstyle="solid"/>
            </v:shape>
            <v:line style="position:absolute" from="4887,7694" to="4931,7694" stroked="true" strokeweight=".461975pt" strokecolor="#ff0000">
              <v:stroke dashstyle="solid"/>
            </v:line>
            <v:line style="position:absolute" from="4944,7692" to="4988,7692" stroked="true" strokeweight=".458519pt" strokecolor="#ff0000">
              <v:stroke dashstyle="solid"/>
            </v:line>
            <v:shape style="position:absolute;left:5005;top:7684;width:152;height:6" coordorigin="5006,7684" coordsize="152,6" path="m5006,7690l5034,7690,5042,7689m5063,7688l5082,7688,5099,7687m5121,7686l5130,7686,5157,7684e" filled="false" stroked="true" strokeweight=".4348pt" strokecolor="#ff0000">
              <v:path arrowok="t"/>
              <v:stroke dashstyle="solid"/>
            </v:shape>
            <v:shape style="position:absolute;left:5174;top:7680;width:102;height:3" coordorigin="5174,7681" coordsize="102,3" path="m5174,7684l5218,7684m5232,7681l5275,7681e" filled="false" stroked="true" strokeweight=".458519pt" strokecolor="#ff0000">
              <v:path arrowok="t"/>
              <v:stroke dashstyle="solid"/>
            </v:shape>
            <v:shape style="position:absolute;left:5293;top:7676;width:152;height:6" coordorigin="5293,7676" coordsize="152,6" path="m5293,7680l5322,7682,5329,7681m5350,7680l5371,7679,5387,7678m5408,7678l5418,7678,5444,7676e" filled="false" stroked="true" strokeweight=".4348pt" strokecolor="#ff0000">
              <v:path arrowok="t"/>
              <v:stroke dashstyle="solid"/>
            </v:shape>
            <v:line style="position:absolute" from="5462,7675" to="5505,7675" stroked="true" strokeweight=".458519pt" strokecolor="#ff0000">
              <v:stroke dashstyle="solid"/>
            </v:line>
            <v:line style="position:absolute" from="5519,7673" to="5563,7673" stroked="true" strokeweight=".417188pt" strokecolor="#ff0000">
              <v:stroke dashstyle="solid"/>
            </v:line>
            <v:shape style="position:absolute;left:5580;top:7663;width:209;height:9" coordorigin="5581,7663" coordsize="209,9" path="m5581,7672l5610,7672,5617,7671m5638,7670l5658,7669,5674,7668m5696,7667l5705,7667,5732,7665m5753,7665l5754,7665,5789,7663e" filled="false" stroked="true" strokeweight=".4348pt" strokecolor="#ff0000">
              <v:path arrowok="t"/>
              <v:stroke dashstyle="solid"/>
            </v:shape>
            <v:line style="position:absolute" from="5807,7662" to="5850,7662" stroked="true" strokeweight=".417187pt" strokecolor="#ff0000">
              <v:stroke dashstyle="solid"/>
            </v:line>
            <v:shape style="position:absolute;left:5867;top:7653;width:209;height:8" coordorigin="5868,7653" coordsize="209,8" path="m5868,7661l5898,7661,5904,7660m5925,7659l5946,7659,5962,7658m5983,7657l5994,7657,6019,7655m6040,7655l6042,7655,6077,7653e" filled="false" stroked="true" strokeweight=".4348pt" strokecolor="#ff0000">
              <v:path arrowok="t"/>
              <v:stroke dashstyle="solid"/>
            </v:shape>
            <v:line style="position:absolute" from="6094,7652" to="6138,7652" stroked="true" strokeweight=".406896pt" strokecolor="#ff0000">
              <v:stroke dashstyle="solid"/>
            </v:line>
            <v:line style="position:absolute" from="6155,7651" to="6187,7651" stroked="true" strokeweight=".365893pt" strokecolor="#ff0000">
              <v:stroke dashstyle="solid"/>
            </v:line>
            <v:line style="position:absolute" from="2487,6884" to="2531,6884" stroked="true" strokeweight=".458518pt" strokecolor="#ff0000">
              <v:stroke dashstyle="solid"/>
            </v:line>
            <v:shape style="position:absolute;left:2548;top:6885;width:209;height:8" coordorigin="2548,6885" coordsize="209,8" path="m2548,6885l2585,6885m2606,6886l2635,6888,2642,6888m2663,6889l2682,6890,2700,6890m2721,6891l2731,6892,2757,6892e" filled="false" stroked="true" strokeweight=".4348pt" strokecolor="#ff0000">
              <v:path arrowok="t"/>
              <v:stroke dashstyle="solid"/>
            </v:shape>
            <v:line style="position:absolute" from="2775,6893" to="2818,6893" stroked="true" strokeweight=".410324pt" strokecolor="#ff0000">
              <v:stroke dashstyle="solid"/>
            </v:line>
            <v:line style="position:absolute" from="2832,6895" to="2876,6895" stroked="true" strokeweight=".406897pt" strokecolor="#ff0000">
              <v:stroke dashstyle="solid"/>
            </v:line>
            <v:shape style="position:absolute;left:2893;top:6692;width:884;height:213" coordorigin="2893,6692" coordsize="884,213" path="m2893,6896l2922,6898,2930,6898m2951,6899l2971,6900,2987,6900m3008,6901l3018,6901,3044,6902m3066,6902l3066,6903,3101,6904m3121,6903l3156,6896m3172,6888l3198,6871m3215,6860l3248,6849m3268,6845l3305,6845m3326,6846l3354,6848,3362,6848m3383,6849l3402,6850,3420,6850m3441,6850l3451,6851,3477,6852m3498,6852l3498,6853,3533,6855m3550,6850l3568,6829m3580,6816l3595,6800,3601,6794m3613,6781l3634,6760m3649,6749l3680,6734m3697,6725l3726,6709m3743,6701l3777,6692e" filled="false" stroked="true" strokeweight=".4348pt" strokecolor="#ff0000">
              <v:path arrowok="t"/>
              <v:stroke dashstyle="solid"/>
            </v:shape>
            <v:line style="position:absolute" from="3794,6691" to="3838,6691" stroked="true" strokeweight=".458516pt" strokecolor="#ff0000">
              <v:stroke dashstyle="solid"/>
            </v:line>
            <v:shape style="position:absolute;left:3854;top:6687;width:152;height:8" coordorigin="3854,6688" coordsize="152,8" path="m3854,6693l3882,6695,3891,6694m3912,6694l3931,6694,3948,6691m3969,6688l3978,6688,4006,6688e" filled="false" stroked="true" strokeweight=".4348pt" strokecolor="#ff0000">
              <v:path arrowok="t"/>
              <v:stroke dashstyle="solid"/>
            </v:shape>
            <v:line style="position:absolute" from="4023,6691" to="4067,6691" stroked="true" strokeweight=".503600pt" strokecolor="#ff0000">
              <v:stroke dashstyle="solid"/>
            </v:line>
            <v:line style="position:absolute" from="4081,6693" to="4124,6693" stroked="true" strokeweight=".406895pt" strokecolor="#ff0000">
              <v:stroke dashstyle="solid"/>
            </v:line>
            <v:shape style="position:absolute;left:4141;top:6672;width:203;height:21" coordorigin="4142,6673" coordsize="203,21" path="m4142,6694l4171,6694,4178,6693m4199,6691l4218,6689,4233,6684m4252,6677l4266,6673,4287,6673m4308,6674l4315,6675,4345,6676e" filled="false" stroked="true" strokeweight=".4348pt" strokecolor="#ff0000">
              <v:path arrowok="t"/>
              <v:stroke dashstyle="solid"/>
            </v:shape>
            <v:line style="position:absolute" from="4362,6678" to="4406,6678" stroked="true" strokeweight=".461971pt" strokecolor="#ff0000">
              <v:stroke dashstyle="solid"/>
            </v:line>
            <v:shape style="position:absolute;left:4423;top:6680;width:209;height:11" coordorigin="4423,6680" coordsize="209,11" path="m4423,6680l4458,6682,4459,6682m4481,6683l4506,6685,4517,6685m4538,6686l4554,6688,4574,6688m4596,6688l4602,6689,4632,6690e" filled="false" stroked="true" strokeweight=".4348pt" strokecolor="#ff0000">
              <v:path arrowok="t"/>
              <v:stroke dashstyle="solid"/>
            </v:shape>
            <v:line style="position:absolute" from="4649,6692" to="4693,6692" stroked="true" strokeweight=".461975pt" strokecolor="#ff0000">
              <v:stroke dashstyle="solid"/>
            </v:line>
            <v:shape style="position:absolute;left:4710;top:6693;width:209;height:11" coordorigin="4711,6694" coordsize="209,11" path="m4711,6694l4746,6696,4747,6696m4768,6697l4794,6698,4804,6698m4826,6699l4842,6701,4862,6701m4883,6702l4891,6703,4919,6704e" filled="false" stroked="true" strokeweight=".4348pt" strokecolor="#ff0000">
              <v:path arrowok="t"/>
              <v:stroke dashstyle="solid"/>
            </v:shape>
            <v:line style="position:absolute" from="4937,6706" to="4980,6706" stroked="true" strokeweight=".406896pt" strokecolor="#ff0000">
              <v:stroke dashstyle="solid"/>
            </v:line>
            <v:shape style="position:absolute;left:4998;top:6707;width:208;height:9" coordorigin="4998,6707" coordsize="208,9" path="m4998,6707l5034,6707m5054,6709l5082,6710,5091,6710m5112,6711l5130,6713,5148,6713m5169,6714l5178,6715,5205,6716e" filled="false" stroked="true" strokeweight=".4348pt" strokecolor="#ff0000">
              <v:path arrowok="t"/>
              <v:stroke dashstyle="solid"/>
            </v:shape>
            <v:line style="position:absolute" from="5223,6717" to="5267,6717" stroked="true" strokeweight=".406896pt" strokecolor="#ff0000">
              <v:stroke dashstyle="solid"/>
            </v:line>
            <v:shape style="position:absolute;left:5284;top:6717;width:553;height:19" coordorigin="5284,6718" coordsize="553,19" path="m5284,6718l5320,6718m5342,6718l5371,6719,5378,6719m5399,6720l5418,6721,5435,6721m5457,6721l5465,6722,5493,6723m5514,6724l5514,6725,5549,6726m5570,6727l5607,6727m5628,6728l5658,6729,5664,6729m5685,6730l5705,6731,5722,6731m5743,6732l5754,6733,5779,6734m5801,6734l5802,6735,5837,6736e" filled="false" stroked="true" strokeweight=".4348pt" strokecolor="#ff0000">
              <v:path arrowok="t"/>
              <v:stroke dashstyle="solid"/>
            </v:shape>
            <v:line style="position:absolute" from="5854,6737" to="5898,6737" stroked="true" strokeweight=".406896pt" strokecolor="#ff0000">
              <v:stroke dashstyle="solid"/>
            </v:line>
            <v:shape style="position:absolute;left:5915;top:6738;width:209;height:8" coordorigin="5916,6738" coordsize="209,8" path="m5916,6738l5946,6740,5952,6740m5973,6741l5994,6742,6009,6742m6030,6742l6042,6743,6067,6743m6088,6744l6090,6745,6124,6746e" filled="false" stroked="true" strokeweight=".4348pt" strokecolor="#ff0000">
              <v:path arrowok="t"/>
              <v:stroke dashstyle="solid"/>
            </v:shape>
            <v:line style="position:absolute" from="6142,6747" to="6185,6747" stroked="true" strokeweight=".406896pt" strokecolor="#ff0000">
              <v:stroke dashstyle="solid"/>
            </v:line>
            <v:rect style="position:absolute;left:2484;top:6388;width:3710;height:2029" filled="false" stroked="true" strokeweight=".490066pt" strokecolor="#000000">
              <v:stroke dashstyle="solid"/>
            </v:rect>
            <v:line style="position:absolute" from="2986,8797" to="3255,8797" stroked="true" strokeweight=".365893pt" strokecolor="#0000ff">
              <v:stroke dashstyle="solid"/>
            </v:line>
            <v:shape style="position:absolute;left:4834;top:8797;width:267;height:2" coordorigin="4834,8797" coordsize="267,0" path="m4834,8797l4871,8797m4892,8797l4928,8797m4949,8797l4985,8797m5007,8797l5043,8797m5064,8797l5101,8797e" filled="false" stroked="true" strokeweight=".4348pt" strokecolor="#ff0000">
              <v:path arrowok="t"/>
              <v:stroke dashstyle="solid"/>
            </v:shape>
            <v:rect style="position:absolute;left:6503;top:6243;width:4052;height:2729" filled="true" fillcolor="#ffffff" stroked="false">
              <v:fill type="solid"/>
            </v:rect>
            <v:shape style="position:absolute;left:6782;top:6392;width:3523;height:2070" coordorigin="6782,6392" coordsize="3523,2070" path="m6782,8410l6834,8410m6782,8074l6834,8074m6782,7738l6834,7738m6782,7401l6834,7401m6782,7065l6834,7065m6782,6728l6834,6728m6782,6392l6834,6392m6840,7401l10305,7401m6840,8420l6840,8442m6884,8420l6884,8442m6929,8420l6929,8442m6974,8420l6974,8442m7019,8420l7019,8442m7065,8420l7065,8442m7109,8420l7109,8442m7154,8420l7154,8442m7199,8420l7199,8442m7244,8420l7244,8442m7290,8420l7290,8442m7334,8420l7334,8442m7379,8420l7379,8442m7424,8420l7424,8442m7469,8420l7469,8442m7515,8420l7515,8442m7559,8420l7559,8442m7604,8420l7604,8442m7649,8420l7649,8442m7694,8420l7694,8442m7740,8420l7740,8442m7784,8420l7784,8442m7829,8420l7829,8442m7874,8420l7874,8442m7919,8420l7919,8442m7965,8420l7965,8442m8009,8420l8009,8442m8054,8420l8054,8442m8099,8420l8099,8442m8144,8420l8144,8442m8190,8420l8190,8442m8234,8420l8234,8442m8279,8420l8279,8442m8324,8420l8324,8442m8369,8420l8369,8442m8415,8420l8415,8442m8459,8420l8459,8442m8504,8420l8504,8442m8550,8420l8550,8442m8594,8420l8594,8442m8640,8420l8640,8442m8684,8420l8684,8442m8729,8420l8729,8442m8775,8420l8775,8442m8819,8420l8819,8442m8865,8420l8865,8442m8909,8420l8909,8442m8954,8420l8954,8442m8999,8420l8999,8442m9044,8420l9044,8442m9090,8420l9090,8442m9134,8420l9134,8442m9179,8420l9179,8442m9225,8420l9225,8442m9269,8420l9269,8442m9315,8420l9315,8442m9359,8420l9359,8442m9404,8420l9404,8442m9450,8420l9450,8442m9494,8420l9494,8442m9540,8420l9540,8442m9584,8420l9584,8442m9629,8420l9629,8442m9675,8420l9675,8442m9719,8420l9719,8442m9765,8420l9765,8442m9810,8420l9810,8442m9854,8420l9854,8442m9900,8420l9900,8442m9944,8420l9944,8442m9990,8420l9990,8442m10034,8420l10034,8442m10079,8420l10079,8442m10125,8420l10125,8442m10169,8420l10169,8442m10215,8420l10215,8442m10259,8420l10259,8442m10305,8420l10305,8442m6929,8420l6929,8462m7109,8420l7109,8462m7290,8420l7290,8462m7469,8420l7469,8462m7649,8420l7649,8462m7829,8420l7829,8462m8009,8420l8009,8462m8190,8420l8190,8462m8369,8420l8369,8462m8550,8420l8550,8462m8729,8420l8729,8462m8909,8420l8909,8462m9090,8420l9090,8462m9269,8420l9269,8462m9450,8420l9450,8462m9629,8420l9629,8462m9810,8420l9810,8462m9990,8420l9990,8462m10169,8420l10169,8462m6929,8420l6929,8462m7290,8420l7290,8462m7649,8420l7649,8462m8009,8420l8009,8462m8369,8420l8369,8462m8729,8420l8729,8462m9090,8420l9090,8462m9450,8420l9450,8462m9810,8420l9810,8462m10169,8420l10169,8462e" filled="false" stroked="true" strokeweight=".360626pt" strokecolor="#000000">
              <v:path arrowok="t"/>
              <v:stroke dashstyle="solid"/>
            </v:shape>
            <v:shape style="position:absolute;left:6839;top:7407;width:3466;height:509" coordorigin="6840,7408" coordsize="3466,509" path="m6840,7408l6884,7410,6929,7431,6974,7423,7019,7428,7065,7437,7109,7456,7154,7466,7199,7480,7244,7479,7290,7488,7334,7501,7379,7510,7424,7506,7469,7551,7515,7633,7559,7693,7604,7668,7649,7664,7694,7659,7740,7676,7784,7681,7829,7680,7874,7796,7919,7913,7965,7821,8009,7916,8054,7843,8099,7832,8144,7808,8190,7844,8234,7785,8279,7803,8324,7796,8369,7776,8415,7741,8459,7795,8504,7709,8550,7682,8594,7678,8640,7671,8684,7676,8729,7692,8775,7683,8819,7670,8865,7689,8909,7686,8954,7686,8999,7686,9044,7693,9090,7694,9134,7689,9179,7699,9225,7722,9269,7734,9315,7737,9359,7748,9404,7761,9450,7769,9494,7731,9540,7720,9584,7733,9629,7714,9675,7712,9719,7718,9765,7738,9810,7734,9854,7737,9900,7737,9944,7749,9990,7754,10034,7766,10079,7773,10125,7783,10169,7788,10215,7798,10259,7799,10305,7809e" filled="false" stroked="true" strokeweight=".368133pt" strokecolor="#0000ff">
              <v:path arrowok="t"/>
              <v:stroke dashstyle="solid"/>
            </v:shape>
            <v:shape style="position:absolute;left:6839;top:6556;width:3466;height:1690" coordorigin="6840,6556" coordsize="3466,1690" path="m6840,7683l6874,7687m6893,7691l6926,7696m6946,7699l6974,7704,6979,7704m6999,7708l7019,7713,7032,7714m7052,7717l7065,7720,7084,7723m7104,7725l7109,7727,7137,7731m7157,7734l7190,7740m7210,7743l7243,7748m7263,7752l7290,7756,7295,7757m7315,7760l7334,7764,7348,7765m7368,7768l7379,7771,7401,7774m7421,7777l7424,7778,7454,7783m7474,7785l7507,7791m7526,7795l7559,7800,7559,7800m7579,7803l7604,7807,7612,7808m7632,7811l7649,7815,7665,7816m7685,7820l7694,7822,7719,7826m7739,7828l7740,7829,7771,7834m7791,7837l7825,7843m7845,7846l7874,7851,7878,7851m7898,7855l7919,7858,7932,7860m7952,7863l7965,7866,7985,7868m8005,7871l8009,7873,8037,7877m8057,7880l8090,7886m8110,7888l8143,7894m8163,7898l8190,7902,8195,7903m8215,7906l8234,7909,8248,7911m8268,7915l8279,7917,8301,7920m8321,7924l8324,7925,8354,7929m8374,7932l8407,7938m8426,7941l8459,7947,8459,7947m8479,7949l8504,7954,8512,7955m8532,7958l8550,7961,8565,7963m8585,7967l8594,7968,8619,7972m8639,7975l8640,7976,8671,7980m8691,7984l8725,7989m8745,7992l8775,7998,8778,7998m8798,8001l8819,8005,8832,8007m8852,8009l8865,8012,8885,8015m8905,8018l8909,8019,8937,8023m8957,8027l8990,8032m9010,8035l9043,8040m9063,8044l9090,8049,9096,8049m9115,8052l9134,8056,9148,8058m9168,8060l9179,8063,9201,8066m9221,8070l9225,8070,9254,8075m9274,8078l9307,8083m9327,8087l9359,8092,9359,8092m9379,8095l9404,8100,9412,8100m9432,8103l9450,8107,9465,8109m9485,8112l9494,8114,9519,8118m9539,8121l9540,8121,9572,8127m9591,8130l9625,8136m9645,8139l9675,8144,9678,8144m9698,8148l9719,8151,9732,8153m9752,8156l9765,8159,9785,8162m9805,8164l9810,8166,9838,8170m9857,8173l9890,8179m9910,8181l9943,8187m9963,8191l9990,8195,9996,8196m10016,8199l10034,8202,10049,8204m10069,8207l10079,8210,10101,8212m10121,8216l10125,8217,10154,8222m10174,8224l10207,8230m10227,8233l10259,8239,10259,8239m10279,8242l10305,8246m6840,7120l6872,7114m6891,7111l6925,7105m6945,7103l6974,7098,6978,7097m6998,7094l7019,7091,7031,7088m7050,7084l7065,7083,7083,7079m7103,7076l7109,7075,7136,7071m7155,7067l7189,7062m7209,7059l7242,7054m7262,7050l7290,7046,7294,7045m7314,7042l7334,7039,7347,7036m7367,7033l7379,7032,7400,7028m7420,7024l7424,7024,7452,7020m7471,7016l7504,7011m7524,7008l7557,7003m7577,6999l7604,6995,7610,6993m7630,6991l7649,6988,7662,6985m7682,6982l7694,6981,7715,6977m7735,6973l7740,6973,7768,6969m7787,6965l7819,6960m7839,6957l7872,6952m7892,6948l7919,6944,7925,6942m7945,6940l7965,6937,7978,6934m7997,6931l8009,6930,8030,6926m8050,6922l8054,6922,8083,6917m8103,6914l8136,6909m8156,6905l8190,6901m8210,6897l8234,6893,8242,6891m8262,6889l8279,6886,8295,6882m8315,6880l8324,6878,8348,6873m8368,6871l8369,6871,8401,6865m8421,6861l8454,6857m8474,6853l8504,6849,8507,6848m8527,6844l8550,6841,8560,6840m8580,6836l8594,6834,8613,6830m8633,6828l8640,6827,8666,6822m8685,6819l8719,6813m8739,6810l8772,6805m8792,6801l8819,6798,8825,6796m8845,6793l8865,6790,8878,6788m8898,6785l8909,6783,8930,6779m8950,6776l8954,6776,8983,6770m9003,6768l9036,6762m9056,6758l9090,6754m9110,6750l9134,6747,9143,6745m9163,6742l9179,6739,9195,6737m9215,6733l9225,6732,9248,6728m9268,6725l9269,6725,9301,6719m9321,6716l9355,6711m9375,6707l9404,6703,9408,6702m9427,6698l9450,6696,9460,6694m9480,6690l9494,6688,9513,6685m9533,6682l9540,6681,9566,6676m9586,6672l9620,6667m9639,6664l9672,6658m9692,6655l9719,6651,9725,6649m9745,6647l9765,6644,9778,6641m9798,6638l9810,6637,9831,6633m9850,6629l9854,6629,9883,6624m9903,6621l9936,6616m9956,6612l9990,6607m10010,6604l10034,6600,10043,6598m10063,6596l10079,6593,10095,6590m10115,6586l10125,6585,10148,6581m10168,6578l10169,6578,10201,6573m10221,6569l10255,6565m10275,6561l10305,6556e" filled="false" stroked="true" strokeweight=".419118pt" strokecolor="#ff0000">
              <v:path arrowok="t"/>
              <v:stroke dashstyle="solid"/>
            </v:shape>
            <v:rect style="position:absolute;left:6833;top:6388;width:3479;height:2029" filled="false" stroked="true" strokeweight=".484261pt" strokecolor="#000000">
              <v:stroke dashstyle="solid"/>
            </v:rect>
            <v:line style="position:absolute" from="7440,8797" to="7692,8797" stroked="true" strokeweight=".365893pt" strokecolor="#0000ff">
              <v:stroke dashstyle="solid"/>
            </v:line>
            <v:shape style="position:absolute;left:8390;top:8797;width:250;height:2" coordorigin="8390,8797" coordsize="250,0" path="m8390,8797l8424,8797m8444,8797l8478,8797m8498,8797l8532,8797m8552,8797l8586,8797m8606,8797l8640,8797e" filled="false" stroked="true" strokeweight=".419118pt" strokecolor="#ff0000">
              <v:path arrowok="t"/>
              <v:stroke dashstyle="solid"/>
            </v:shape>
            <v:shape style="position:absolute;left:2131;top:5218;width:2800;height:78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B2: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Recursive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Estimates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1"/>
                      <w:ind w:left="7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Recursive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Residuals</w:t>
                    </w:r>
                  </w:p>
                </w:txbxContent>
              </v:textbox>
              <w10:wrap type="none"/>
            </v:shape>
            <v:shape style="position:absolute;left:7172;top:5736;width:13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CUSUN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2313;top:6312;width:106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9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94;top:6312;width:180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313;top:6715;width:106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9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94;top:6648;width:180;height:462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2"/>
                      </w:rPr>
                    </w:pP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313;top:7118;width:106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673;top:7320;width:101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1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67;top:7523;width:150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40"/>
                        <w:sz w:val="11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6550;top:7657;width:224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2267;top:7926;width:150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40"/>
                        <w:sz w:val="11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6550;top:7993;width:224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267;top:8329;width:150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40"/>
                        <w:sz w:val="11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6550;top:8329;width:224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2574;top:8464;width:7764;height:125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  <w:tab w:pos="768" w:val="left" w:leader="none"/>
                        <w:tab w:pos="1152" w:val="left" w:leader="none"/>
                        <w:tab w:pos="1535" w:val="left" w:leader="none"/>
                        <w:tab w:pos="1920" w:val="left" w:leader="none"/>
                        <w:tab w:pos="2304" w:val="left" w:leader="none"/>
                        <w:tab w:pos="2688" w:val="left" w:leader="none"/>
                        <w:tab w:pos="3072" w:val="left" w:leader="none"/>
                        <w:tab w:pos="3455" w:val="left" w:leader="none"/>
                        <w:tab w:pos="4343" w:val="left" w:leader="none"/>
                        <w:tab w:pos="4704" w:val="left" w:leader="none"/>
                        <w:tab w:pos="6144" w:val="left" w:leader="none"/>
                      </w:tabs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5"/>
                        <w:sz w:val="11"/>
                      </w:rPr>
                      <w:t>92</w:t>
                      <w:tab/>
                      <w:t>94</w:t>
                      <w:tab/>
                      <w:t>96</w:t>
                      <w:tab/>
                      <w:t>98</w:t>
                      <w:tab/>
                      <w:t>00</w:t>
                      <w:tab/>
                      <w:t>02</w:t>
                      <w:tab/>
                      <w:t>04</w:t>
                      <w:tab/>
                      <w:t>06</w:t>
                      <w:tab/>
                      <w:t>08</w:t>
                      <w:tab/>
                      <w:t>10</w:t>
                      <w:tab/>
                      <w:t>92</w:t>
                      <w:tab/>
                    </w:r>
                    <w:r>
                      <w:rPr>
                        <w:rFonts w:ascii="Arial MT"/>
                        <w:w w:val="130"/>
                        <w:sz w:val="11"/>
                      </w:rPr>
                      <w:t>94     96    </w:t>
                    </w:r>
                    <w:r>
                      <w:rPr>
                        <w:rFonts w:ascii="Arial MT"/>
                        <w:spacing w:val="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1"/>
                      </w:rPr>
                      <w:t>98    </w:t>
                    </w:r>
                    <w:r>
                      <w:rPr>
                        <w:rFonts w:ascii="Arial MT"/>
                        <w:spacing w:val="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35"/>
                        <w:sz w:val="11"/>
                      </w:rPr>
                      <w:t>00</w:t>
                      <w:tab/>
                    </w:r>
                    <w:r>
                      <w:rPr>
                        <w:rFonts w:ascii="Arial MT"/>
                        <w:w w:val="130"/>
                        <w:sz w:val="11"/>
                      </w:rPr>
                      <w:t>02     04    </w:t>
                    </w:r>
                    <w:r>
                      <w:rPr>
                        <w:rFonts w:ascii="Arial MT"/>
                        <w:spacing w:val="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1"/>
                      </w:rPr>
                      <w:t>06    </w:t>
                    </w:r>
                    <w:r>
                      <w:rPr>
                        <w:rFonts w:ascii="Arial MT"/>
                        <w:spacing w:val="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11"/>
                      </w:rPr>
                      <w:t>08    </w:t>
                    </w:r>
                    <w:r>
                      <w:rPr>
                        <w:rFonts w:ascii="Arial MT"/>
                        <w:spacing w:val="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35"/>
                        <w:sz w:val="11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375;top:8703;width:2397;height:177" type="#_x0000_t202" filled="false" stroked="true" strokeweight=".315656pt" strokecolor="#000000">
              <v:textbox inset="0,0,0,0">
                <w:txbxContent>
                  <w:p>
                    <w:pPr>
                      <w:tabs>
                        <w:tab w:pos="1319" w:val="left" w:leader="none"/>
                      </w:tabs>
                      <w:spacing w:before="25"/>
                      <w:ind w:left="369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30"/>
                        <w:sz w:val="11"/>
                      </w:rPr>
                      <w:t>CUSUM</w:t>
                      <w:tab/>
                    </w:r>
                    <w:r>
                      <w:rPr>
                        <w:rFonts w:ascii="Arial MT"/>
                        <w:spacing w:val="-1"/>
                        <w:w w:val="130"/>
                        <w:sz w:val="11"/>
                      </w:rPr>
                      <w:t>5%</w:t>
                    </w:r>
                    <w:r>
                      <w:rPr>
                        <w:rFonts w:ascii="Arial MT"/>
                        <w:spacing w:val="-10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30"/>
                        <w:sz w:val="11"/>
                      </w:rPr>
                      <w:t>Significance</w:t>
                    </w:r>
                  </w:p>
                </w:txbxContent>
              </v:textbox>
              <v:stroke dashstyle="solid"/>
              <w10:wrap type="none"/>
            </v:shape>
            <v:shape style="position:absolute;left:2945;top:8703;width:2808;height:177" type="#_x0000_t202" filled="false" stroked="true" strokeweight=".315693pt" strokecolor="#000000">
              <v:textbox inset="0,0,0,0">
                <w:txbxContent>
                  <w:p>
                    <w:pPr>
                      <w:tabs>
                        <w:tab w:pos="2214" w:val="left" w:leader="none"/>
                      </w:tabs>
                      <w:spacing w:before="25"/>
                      <w:ind w:left="366" w:right="0" w:firstLine="0"/>
                      <w:jc w:val="left"/>
                      <w:rPr>
                        <w:rFonts w:ascii="Arial MT" w:hAnsi="Arial MT"/>
                        <w:sz w:val="11"/>
                      </w:rPr>
                    </w:pPr>
                    <w:r>
                      <w:rPr>
                        <w:rFonts w:ascii="Arial MT" w:hAnsi="Arial MT"/>
                        <w:spacing w:val="-4"/>
                        <w:w w:val="140"/>
                        <w:sz w:val="11"/>
                      </w:rPr>
                      <w:t>Recursive</w:t>
                    </w:r>
                    <w:r>
                      <w:rPr>
                        <w:rFonts w:ascii="Arial MT" w:hAnsi="Arial MT"/>
                        <w:spacing w:val="-7"/>
                        <w:w w:val="140"/>
                        <w:sz w:val="11"/>
                      </w:rPr>
                      <w:t> </w:t>
                    </w:r>
                    <w:r>
                      <w:rPr>
                        <w:rFonts w:ascii="Arial MT" w:hAnsi="Arial MT"/>
                        <w:spacing w:val="-3"/>
                        <w:w w:val="140"/>
                        <w:sz w:val="11"/>
                      </w:rPr>
                      <w:t>Residuals</w:t>
                      <w:tab/>
                    </w:r>
                    <w:r>
                      <w:rPr>
                        <w:rFonts w:ascii="Arial MT" w:hAnsi="Arial MT"/>
                        <w:w w:val="140"/>
                        <w:sz w:val="11"/>
                      </w:rPr>
                      <w:t>±</w:t>
                    </w:r>
                    <w:r>
                      <w:rPr>
                        <w:rFonts w:ascii="Arial MT" w:hAnsi="Arial MT"/>
                        <w:spacing w:val="-10"/>
                        <w:w w:val="140"/>
                        <w:sz w:val="11"/>
                      </w:rPr>
                      <w:t> </w:t>
                    </w:r>
                    <w:r>
                      <w:rPr>
                        <w:rFonts w:ascii="Arial MT" w:hAnsi="Arial MT"/>
                        <w:w w:val="140"/>
                        <w:sz w:val="11"/>
                      </w:rPr>
                      <w:t>2</w:t>
                    </w:r>
                    <w:r>
                      <w:rPr>
                        <w:rFonts w:ascii="Arial MT" w:hAnsi="Arial MT"/>
                        <w:spacing w:val="-6"/>
                        <w:w w:val="140"/>
                        <w:sz w:val="11"/>
                      </w:rPr>
                      <w:t> </w:t>
                    </w:r>
                    <w:r>
                      <w:rPr>
                        <w:rFonts w:ascii="Arial MT" w:hAnsi="Arial MT"/>
                        <w:w w:val="140"/>
                        <w:sz w:val="11"/>
                      </w:rPr>
                      <w:t>S.E.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108.139999pt;margin-top:90.860001pt;width:108.26pt;height:.72pt;mso-position-horizontal-relative:page;mso-position-vertical-relative:page;z-index:-2524211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199.220001pt;width:108.26pt;height:.72pt;mso-position-horizontal-relative:page;mso-position-vertical-relative:page;z-index:-25241600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  <w:r>
        <w:rPr/>
        <w:pict>
          <v:group style="position:absolute;margin-left:106.610001pt;margin-top:13.024073pt;width:437.2pt;height:201pt;mso-position-horizontal-relative:page;mso-position-vertical-relative:paragraph;z-index:-15540736;mso-wrap-distance-left:0;mso-wrap-distance-right:0" coordorigin="2132,260" coordsize="8744,4020">
            <v:rect style="position:absolute;left:2132;top:260;width:8744;height:4020" filled="true" fillcolor="#ffffff" stroked="false">
              <v:fill type="solid"/>
            </v:rect>
            <v:shape style="position:absolute;left:2575;top:545;width:4347;height:2879" coordorigin="2576,546" coordsize="4347,2879" path="m2576,3353l2640,3353m2576,2885l2640,2885m2576,1014l2640,1014m2576,546l2640,546m2678,3367l2678,3396m2802,3367l2802,3396m2927,3367l2927,3396m3052,3367l3052,3396m3178,3367l3178,3396m3302,3367l3302,3396m3427,3367l3427,3396m3552,3367l3552,3396m3676,3367l3676,3396m3801,3367l3801,3396m3925,3367l3925,3396m4052,3367l4052,3396m4176,3367l4176,3396m4301,3367l4301,3396m4425,3367l4425,3396m4550,3367l4550,3396m4675,3367l4675,3396m4799,3367l4799,3396m4926,3367l4926,3396m5050,3367l5050,3396m5175,3367l5175,3396m5300,3367l5300,3396m5424,3367l5424,3396m5549,3367l5549,3396m5673,3367l5673,3396m5800,3367l5800,3396m5924,3367l5924,3396m6049,3367l6049,3396m6174,3367l6174,3396m6298,3367l6298,3396m6423,3367l6423,3396m6547,3367l6547,3396m6674,3367l6674,3396m6798,3367l6798,3396m6923,3367l6923,3396m3178,3367l3178,3425m3801,3367l3801,3425m4425,3367l4425,3425m5050,3367l5050,3425m5673,3367l5673,3425m6298,3367l6298,3425m6923,3367l6923,3425e" filled="false" stroked="true" strokeweight=".422387pt" strokecolor="#000000">
              <v:path arrowok="t"/>
              <v:stroke dashstyle="solid"/>
            </v:shape>
            <v:shape style="position:absolute;left:2575;top:698;width:4447;height:2213" type="#_x0000_t75" stroked="false">
              <v:imagedata r:id="rId52" o:title=""/>
            </v:shape>
            <v:line style="position:absolute" from="3981,873" to="3981,920" stroked="true" strokeweight=".600461pt" strokecolor="#ff0000">
              <v:stroke dashstyle="solid"/>
            </v:line>
            <v:line style="position:absolute" from="3984,816" to="3984,863" stroked="true" strokeweight=".611824pt" strokecolor="#ff0000">
              <v:stroke dashstyle="solid"/>
            </v:line>
            <v:line style="position:absolute" from="3987,758" to="3987,805" stroked="true" strokeweight=".600463pt" strokecolor="#ff0000">
              <v:stroke dashstyle="solid"/>
            </v:line>
            <v:line style="position:absolute" from="3992,766" to="3992,813" stroked="true" strokeweight=".753489pt" strokecolor="#ff0000">
              <v:stroke dashstyle="solid"/>
            </v:line>
            <v:line style="position:absolute" from="3997,823" to="3997,870" stroked="true" strokeweight=".685569pt" strokecolor="#ff0000">
              <v:stroke dashstyle="solid"/>
            </v:line>
            <v:line style="position:absolute" from="4002,881" to="4002,928" stroked="true" strokeweight=".685565pt" strokecolor="#ff0000">
              <v:stroke dashstyle="solid"/>
            </v:line>
            <v:rect style="position:absolute;left:2639;top:539;width:4387;height:2824" filled="false" stroked="true" strokeweight=".676956pt" strokecolor="#000000">
              <v:stroke dashstyle="solid"/>
            </v:rect>
            <v:rect style="position:absolute;left:4270;top:3762;width:1111;height:251" filled="false" stroked="true" strokeweight=".3926pt" strokecolor="#000000">
              <v:stroke dashstyle="solid"/>
            </v:rect>
            <v:line style="position:absolute" from="4351,3895" to="4669,3895" stroked="true" strokeweight=".450257pt" strokecolor="#0000ff">
              <v:stroke dashstyle="solid"/>
            </v:line>
            <v:rect style="position:absolute;left:7291;top:547;width:3390;height:2592" filled="false" stroked="true" strokeweight=".413739pt" strokecolor="#000000">
              <v:stroke dashstyle="solid"/>
            </v:rect>
            <v:shape style="position:absolute;left:7383;top:604;width:2803;height:945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392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Forecast:</w:t>
                    </w:r>
                    <w:r>
                      <w:rPr>
                        <w:rFonts w:ascii="Arial MT"/>
                        <w:spacing w:val="10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DLEXF</w:t>
                    </w:r>
                    <w:r>
                      <w:rPr>
                        <w:rFonts w:ascii="Arial MT"/>
                        <w:spacing w:val="-47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Actual:</w:t>
                    </w:r>
                    <w:r>
                      <w:rPr>
                        <w:rFonts w:ascii="Arial MT"/>
                        <w:spacing w:val="-10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DLEX</w:t>
                    </w:r>
                  </w:p>
                  <w:p>
                    <w:pPr>
                      <w:spacing w:line="268" w:lineRule="auto" w:before="0"/>
                      <w:ind w:left="0" w:right="18" w:firstLine="0"/>
                      <w:jc w:val="both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Forecast sample: 1975Q1 2010Q4</w:t>
                    </w:r>
                    <w:r>
                      <w:rPr>
                        <w:rFonts w:ascii="Arial MT"/>
                        <w:spacing w:val="-47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Adjusted sample: 1975Q4 2010Q4</w:t>
                    </w:r>
                    <w:r>
                      <w:rPr>
                        <w:rFonts w:ascii="Arial MT"/>
                        <w:spacing w:val="-47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Included</w:t>
                    </w:r>
                    <w:r>
                      <w:rPr>
                        <w:rFonts w:ascii="Arial MT"/>
                        <w:spacing w:val="-6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observations:</w:t>
                    </w:r>
                    <w:r>
                      <w:rPr>
                        <w:rFonts w:ascii="Arial MT"/>
                        <w:spacing w:val="-12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141</w:t>
                    </w:r>
                  </w:p>
                </w:txbxContent>
              </v:textbox>
              <w10:wrap type="none"/>
            </v:shape>
            <v:shape style="position:absolute;left:7383;top:1758;width:2075;height:1331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2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Root</w:t>
                    </w:r>
                    <w:r>
                      <w:rPr>
                        <w:rFonts w:ascii="Arial MT"/>
                        <w:spacing w:val="-10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Mean</w:t>
                    </w:r>
                    <w:r>
                      <w:rPr>
                        <w:rFonts w:ascii="Arial MT"/>
                        <w:spacing w:val="-13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Squared</w:t>
                    </w:r>
                    <w:r>
                      <w:rPr>
                        <w:rFonts w:ascii="Arial MT"/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Error</w:t>
                    </w:r>
                    <w:r>
                      <w:rPr>
                        <w:rFonts w:ascii="Arial MT"/>
                        <w:spacing w:val="-47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15"/>
                      </w:rPr>
                      <w:t>Mean Absolute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Error</w:t>
                    </w:r>
                    <w:r>
                      <w:rPr>
                        <w:rFonts w:ascii="Arial MT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Mean Abs. Percent Error</w:t>
                    </w:r>
                    <w:r>
                      <w:rPr>
                        <w:rFonts w:ascii="Arial MT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20"/>
                        <w:sz w:val="15"/>
                      </w:rPr>
                      <w:t>Theil</w:t>
                    </w:r>
                    <w:r>
                      <w:rPr>
                        <w:rFonts w:ascii="Arial MT"/>
                        <w:spacing w:val="-6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20"/>
                        <w:sz w:val="15"/>
                      </w:rPr>
                      <w:t>Inequality</w:t>
                    </w:r>
                    <w:r>
                      <w:rPr>
                        <w:rFonts w:ascii="Arial MT"/>
                        <w:spacing w:val="-1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20"/>
                        <w:sz w:val="15"/>
                      </w:rPr>
                      <w:t>Coefficient</w:t>
                    </w:r>
                  </w:p>
                  <w:p>
                    <w:pPr>
                      <w:spacing w:line="268" w:lineRule="auto" w:before="0"/>
                      <w:ind w:left="228" w:right="4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Bias Proportion</w:t>
                    </w:r>
                    <w:r>
                      <w:rPr>
                        <w:rFonts w:ascii="Arial MT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Variance Proportion</w:t>
                    </w:r>
                    <w:r>
                      <w:rPr>
                        <w:rFonts w:ascii="Arial MT"/>
                        <w:spacing w:val="1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Covariance</w:t>
                    </w:r>
                    <w:r>
                      <w:rPr>
                        <w:rFonts w:ascii="Arial MT"/>
                        <w:spacing w:val="-4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Proportion</w:t>
                    </w:r>
                  </w:p>
                </w:txbxContent>
              </v:textbox>
              <w10:wrap type="none"/>
            </v:shape>
            <v:shape style="position:absolute;left:9840;top:1758;width:782;height:133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0.546419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0.365666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41511.74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0.542403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0.000000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0.355562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0.644438</w:t>
                    </w:r>
                  </w:p>
                </w:txbxContent>
              </v:textbox>
              <w10:wrap type="none"/>
            </v:shape>
            <v:shape style="position:absolute;left:2378;top:430;width:178;height:2982" type="#_x0000_t202" filled="false" stroked="false">
              <v:textbox inset="0,0,0,0">
                <w:txbxContent>
                  <w:p>
                    <w:pPr>
                      <w:spacing w:before="0"/>
                      <w:ind w:left="56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1"/>
                        <w:sz w:val="15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2"/>
                      <w:ind w:left="56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1"/>
                        <w:sz w:val="15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1"/>
                      <w:ind w:left="56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1"/>
                        <w:sz w:val="15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1"/>
                      <w:ind w:left="56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1"/>
                        <w:sz w:val="15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-1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-2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2972;top:3428;width:4175;height:552" type="#_x0000_t202" filled="false" stroked="false">
              <v:textbox inset="0,0,0,0">
                <w:txbxContent>
                  <w:p>
                    <w:pPr>
                      <w:tabs>
                        <w:tab w:pos="623" w:val="left" w:leader="none"/>
                        <w:tab w:pos="1247" w:val="left" w:leader="none"/>
                        <w:tab w:pos="1872" w:val="left" w:leader="none"/>
                        <w:tab w:pos="2495" w:val="left" w:leader="none"/>
                        <w:tab w:pos="3120" w:val="left" w:leader="none"/>
                        <w:tab w:pos="3744" w:val="left" w:leader="none"/>
                      </w:tabs>
                      <w:spacing w:before="0"/>
                      <w:ind w:left="0" w:right="18" w:firstLine="0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33" w:firstLine="0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DLEXF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240" w:h="15840"/>
          <w:pgMar w:header="0" w:footer="1015" w:top="1440" w:bottom="1200" w:left="1320" w:right="440"/>
        </w:sectPr>
      </w:pPr>
    </w:p>
    <w:p>
      <w:pPr>
        <w:pStyle w:val="Heading2"/>
      </w:pPr>
      <w:r>
        <w:rPr/>
        <w:pict>
          <v:shape style="position:absolute;margin-left:116.940002pt;margin-top:397.679993pt;width:194.45pt;height:196.9pt;mso-position-horizontal-relative:page;mso-position-vertical-relative:page;z-index:-25241088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197.339966pt;width:237.4pt;height:230.5pt;mso-position-horizontal-relative:page;mso-position-vertical-relative:page;z-index:-25240576" coordorigin="5626,3947" coordsize="4748,4610" path="m6603,8500l6602,8496,6600,8489,6597,8486,6306,8195,6268,8123,6080,7762,6004,7618,5993,7597,5983,7585,5979,7583,5969,7580,5964,7582,5957,7586,5944,7597,5928,7613,5923,7619,5916,7628,5914,7633,5912,7641,5912,7644,5917,7657,5921,7662,6079,7955,6115,8020,6178,8128,6177,8128,6002,8029,5929,7989,5783,7911,5705,7869,5696,7865,5692,7864,5684,7866,5680,7867,5675,7870,5670,7873,5658,7883,5642,7899,5632,7911,5628,7917,5626,7922,5628,7932,5631,7936,5637,7941,5643,7946,5664,7958,5736,7996,6098,8184,6242,8260,6532,8551,6536,8553,6542,8556,6546,8556,6550,8555,6554,8554,6564,8549,6569,8545,6575,8541,6587,8529,6592,8523,6595,8518,6600,8508,6601,8504,6603,8500xm7274,7768l7274,7730,7268,7692,7258,7652,7242,7611,7223,7569,7199,7526,7170,7481,7161,7469,7161,7740,7157,7766,7148,7791,7133,7815,7115,7837,7093,7856,7070,7870,7045,7880,7020,7884,6994,7885,6967,7883,6939,7876,6909,7865,6880,7851,6849,7834,6818,7813,6786,7789,6753,7763,6720,7734,6687,7703,6652,7670,6622,7638,6594,7607,6567,7575,6541,7544,6518,7512,6499,7481,6482,7450,6469,7420,6458,7390,6451,7361,6447,7333,6447,7306,6451,7279,6460,7255,6474,7232,6493,7210,6515,7191,6537,7177,6562,7167,6587,7163,6614,7162,6641,7165,6669,7171,6698,7182,6728,7196,6759,7213,6790,7233,6821,7256,6854,7282,6886,7310,6919,7341,6952,7373,6983,7404,7012,7436,7039,7468,7064,7500,7088,7532,7108,7563,7125,7594,7139,7625,7150,7655,7157,7684,7161,7712,7161,7740,7161,7469,7137,7436,7100,7390,7059,7344,7013,7297,6966,7251,6921,7210,6876,7174,6860,7162,6832,7141,6790,7114,6749,7091,6709,7072,6670,7058,6633,7049,6596,7044,6562,7045,6528,7049,6496,7058,6465,7073,6436,7093,6408,7117,6383,7146,6363,7176,6348,7209,6339,7243,6335,7279,6336,7316,6341,7354,6351,7394,6366,7435,6386,7477,6409,7520,6438,7564,6470,7609,6507,7654,6547,7700,6591,7745,6639,7792,6685,7833,6731,7870,6775,7903,6817,7932,6859,7955,6899,7974,6938,7988,6975,7998,7011,8003,7046,8003,7080,7998,7113,7989,7144,7974,7173,7955,7201,7930,7227,7901,7237,7885,7247,7870,7261,7838,7270,7803,7274,7768xm7572,7530l7572,7527,7569,7519,7567,7516,7239,7188,7409,7018,7410,7015,7410,7008,7409,7004,7404,6995,7400,6989,7385,6971,7369,6955,7361,6948,7355,6943,7349,6938,7344,6935,7336,6931,7332,6930,7328,6930,7325,6931,7323,6932,7153,7102,6887,6837,7068,6656,7069,6654,7069,6651,7068,6643,7063,6635,7059,6629,7043,6610,7035,6602,7027,6594,7008,6577,6993,6569,6989,6568,6982,6568,6980,6568,6753,6795,6750,6804,6752,6815,6754,6824,6759,6834,6767,6844,6777,6856,7502,7581,7505,7583,7513,7586,7516,7586,7520,7585,7524,7584,7534,7579,7539,7576,7545,7571,7557,7558,7565,7548,7570,7538,7571,7534,7572,7530xm8101,7002l8100,6998,8098,6991,8095,6988,8092,6985,7340,6233,7337,6230,7330,6228,7327,6228,7322,6228,7318,6230,7309,6235,7298,6243,7286,6255,7278,6265,7273,6275,7272,6279,7271,6283,7271,6287,7274,6294,7276,6298,8031,7053,8034,7055,8041,7058,8044,7058,8048,7057,8053,7056,8063,7051,8073,7042,8086,7030,8090,7024,8094,7019,8099,7010,8099,7005,8101,7002xm8456,6574l8456,6558,8454,6541,8451,6524,8448,6507,8442,6490,8436,6472,8428,6454,8419,6436,8409,6418,8397,6399,8383,6381,8369,6363,8352,6345,8346,6338,8346,6540,8345,6554,8343,6568,8340,6580,8335,6592,8328,6604,8320,6616,8310,6627,8216,6721,7941,6446,8018,6369,8024,6364,8034,6355,8049,6343,8063,6334,8078,6327,8093,6323,8108,6321,8124,6320,8139,6321,8155,6325,8171,6330,8188,6337,8204,6346,8221,6357,8238,6369,8255,6384,8273,6400,8288,6417,8301,6433,8313,6449,8323,6465,8331,6480,8337,6496,8341,6511,8344,6525,8346,6540,8346,6338,8335,6326,8328,6320,8315,6307,8295,6290,8275,6275,8254,6261,8234,6249,8214,6239,8195,6230,8190,6228,8176,6223,8158,6218,8139,6215,8122,6213,8105,6213,8089,6214,8073,6218,8059,6222,8046,6228,8048,6215,8048,6201,8048,6187,8046,6172,8043,6158,8039,6143,8034,6128,8028,6113,8021,6099,8013,6084,8004,6070,7993,6055,7982,6041,7971,6026,7964,6018,7964,6212,7964,6226,7962,6239,7958,6252,7952,6265,7943,6277,7932,6290,7859,6364,7606,6111,7673,6044,7686,6032,7700,6021,7713,6014,7726,6008,7739,6005,7751,6003,7765,6003,7777,6005,7791,6008,7805,6014,7818,6020,7832,6028,7846,6038,7860,6049,7874,6061,7888,6075,7900,6087,7912,6101,7923,6114,7933,6128,7941,6143,7949,6157,7955,6171,7959,6185,7962,6199,7964,6212,7964,6018,7958,6012,7950,6003,7945,5998,7921,5976,7898,5956,7875,5939,7852,5924,7829,5912,7806,5902,7784,5895,7762,5890,7740,5888,7719,5889,7698,5892,7677,5898,7656,5907,7635,5920,7614,5936,7592,5956,7481,6067,7476,6072,7473,6081,7474,6092,7477,6101,7482,6111,7489,6122,7500,6133,8195,6829,8206,6839,8217,6847,8227,6851,8236,6853,8247,6855,8256,6853,8387,6721,8389,6720,8402,6706,8413,6692,8423,6678,8431,6664,8438,6650,8444,6636,8449,6621,8452,6606,8454,6590,8456,6574xm9020,6089l9019,6084,9017,6079,9014,6073,9009,6068,9003,6063,8995,6058,8984,6050,8889,5990,8609,5813,8609,5924,8440,6093,8179,5688,8135,5621,8135,5620,8135,5620,8609,5924,8609,5813,8304,5620,8097,5489,8091,5486,8086,5483,8081,5482,8076,5481,8072,5481,8062,5484,8056,5487,8050,5492,8044,5496,8038,5503,8030,5511,8022,5519,8016,5525,8012,5530,8008,5536,8005,5541,8004,5546,8002,5551,8001,5555,8003,5560,8004,5564,8007,5569,8010,5575,8053,5643,8370,6145,8571,6462,8578,6473,8584,6481,8589,6487,8594,6492,8600,6495,8604,6497,8609,6498,8614,6497,8620,6493,8625,6489,8632,6484,8646,6469,8651,6463,8655,6458,8659,6453,8661,6449,8661,6444,8662,6440,8662,6436,8660,6432,8659,6428,8657,6424,8654,6420,8617,6363,8506,6192,8605,6093,8709,5990,8940,6138,8945,6140,8949,6142,8953,6144,8956,6145,8960,6145,8963,6144,8968,6143,8972,6141,8978,6137,8983,6133,9005,6111,9010,6104,9014,6099,9018,6094,9020,6089xm9323,5673l9321,5635,9314,5595,9302,5554,9285,5512,9263,5468,9236,5423,9213,5389,9213,5637,9212,5664,9207,5690,9198,5716,9186,5740,9168,5764,9147,5788,9080,5854,8473,5247,8539,5181,8565,5159,8590,5141,8617,5128,8644,5121,8672,5118,8700,5119,8729,5123,8759,5130,8790,5142,8821,5156,8852,5173,8884,5194,8916,5218,8948,5244,8980,5272,9012,5302,9049,5341,9083,5379,9113,5415,9138,5450,9160,5484,9178,5517,9193,5549,9203,5580,9210,5609,9213,5637,9213,5389,9204,5376,9166,5329,9124,5280,9076,5230,9032,5188,8988,5150,8947,5118,8945,5117,8902,5087,8860,5062,8819,5041,8778,5025,8738,5012,8700,5005,8662,5002,8625,5004,8590,5011,8555,5022,8522,5039,8489,5063,8457,5091,8341,5207,8338,5216,8339,5227,8342,5236,8347,5246,8354,5257,8365,5268,9060,5964,9072,5974,9082,5981,9092,5986,9101,5988,9112,5990,9121,5987,9230,5879,9252,5854,9258,5847,9282,5814,9300,5781,9313,5746,9320,5711,9323,5673xm9940,5169l9939,5164,9937,5159,9934,5153,9929,5148,9923,5143,9916,5137,9905,5130,9810,5070,9529,4893,9529,5004,9360,5173,9099,4768,9055,4701,9055,4700,9529,5004,9529,4893,9224,4700,9017,4569,9011,4566,9006,4563,8996,4560,8992,4561,8987,4563,8982,4564,8976,4567,8971,4572,8965,4576,8958,4583,8950,4591,8936,4605,8928,4616,8925,4621,8924,4626,8922,4631,8922,4635,8923,4639,8924,4644,8927,4649,8930,4654,9017,4791,9289,5224,9318,5269,9491,5542,9498,5553,9504,5561,9509,5566,9514,5572,9520,5575,9529,5578,9534,5576,9540,5573,9545,5569,9552,5563,9566,5549,9571,5543,9575,5538,9579,5533,9581,5528,9581,5523,9582,5519,9582,5516,9580,5511,9579,5508,9577,5504,9574,5499,9426,5272,9525,5173,9629,5070,9860,5218,9865,5220,9869,5222,9873,5223,9876,5225,9880,5225,9883,5224,9888,5223,9892,5221,9898,5217,9903,5213,9925,5191,9930,5184,9934,5179,9938,5174,9940,5169xm10374,4725l10372,4712,10369,4705,10362,4691,10356,4683,10348,4675,9625,3952,9622,3950,9615,3947,9611,3947,9602,3948,9598,3950,9593,3954,9582,3962,9570,3974,9559,3990,9556,3994,9555,4003,9556,4007,9557,4010,9558,4014,9560,4017,10011,4467,10186,4640,10186,4641,10037,4563,9959,4523,9898,4493,9801,4444,9573,4330,9421,4254,9397,4243,9378,4234,9366,4230,9356,4228,9347,4227,9338,4227,9330,4228,9316,4234,9309,4239,9263,4285,9260,4295,9261,4307,9264,4317,9269,4327,9277,4338,9287,4350,10010,5073,10013,5075,10016,5076,10020,5078,10024,5079,10028,5077,10032,5077,10042,5072,10052,5064,10065,5051,10073,5040,10076,5035,10078,5031,10078,5026,10080,5022,10080,5019,10078,5015,10077,5011,10075,5008,9533,4467,9421,4358,9422,4357,9468,4382,9565,4433,9686,4494,10057,4678,10204,4752,10233,4766,10272,4782,10285,4785,10295,4786,10305,4787,10314,4787,10321,4784,10329,4781,10336,4776,10367,4745,10370,4741,10373,4730,10374,472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08.139999pt;margin-top:90.173149pt;width:108.26pt;height:.72pt;mso-position-horizontal-relative:page;mso-position-vertical-relative:paragraph;z-index:-25240064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116.693153pt;width:108.26pt;height:.72pt;mso-position-horizontal-relative:page;mso-position-vertical-relative:paragraph;z-index:-2523955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335.450012pt;width:108.26pt;height:.72pt;mso-position-horizontal-relative:page;mso-position-vertical-relative:page;z-index:-25239040" filled="true" fillcolor="#000000" stroked="false">
            <v:fill type="solid"/>
            <w10:wrap type="none"/>
          </v:rect>
        </w:pict>
      </w:r>
      <w:r>
        <w:rPr/>
        <w:t>Appendix</w:t>
      </w:r>
      <w:r>
        <w:rPr>
          <w:spacing w:val="-1"/>
        </w:rPr>
        <w:t> </w:t>
      </w:r>
      <w:r>
        <w:rPr/>
        <w:t>15:</w:t>
      </w:r>
      <w:r>
        <w:rPr>
          <w:spacing w:val="57"/>
        </w:rPr>
        <w:t> </w:t>
      </w:r>
      <w:r>
        <w:rPr/>
        <w:t>Unrestricted</w:t>
      </w:r>
      <w:r>
        <w:rPr>
          <w:spacing w:val="-1"/>
        </w:rPr>
        <w:t> </w:t>
      </w:r>
      <w:r>
        <w:rPr/>
        <w:t>Error</w:t>
      </w:r>
      <w:r>
        <w:rPr>
          <w:spacing w:val="-3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Imports</w:t>
      </w:r>
      <w:r>
        <w:rPr>
          <w:spacing w:val="-1"/>
        </w:rPr>
        <w:t> </w:t>
      </w:r>
      <w:r>
        <w:rPr/>
        <w:t>Equation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518"/>
        <w:gridCol w:w="1261"/>
        <w:gridCol w:w="1341"/>
        <w:gridCol w:w="1154"/>
      </w:tblGrid>
      <w:tr>
        <w:trPr>
          <w:trHeight w:val="270" w:hRule="atLeast"/>
        </w:trPr>
        <w:tc>
          <w:tcPr>
            <w:tcW w:w="7439" w:type="dxa"/>
            <w:gridSpan w:val="5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DLIM</w:t>
            </w:r>
          </w:p>
        </w:tc>
      </w:tr>
      <w:tr>
        <w:trPr>
          <w:trHeight w:val="276" w:hRule="atLeast"/>
        </w:trPr>
        <w:tc>
          <w:tcPr>
            <w:tcW w:w="7439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</w:tr>
      <w:tr>
        <w:trPr>
          <w:trHeight w:val="275" w:hRule="atLeast"/>
        </w:trPr>
        <w:tc>
          <w:tcPr>
            <w:tcW w:w="7439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(adjusted): 1975Q4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2010Q4</w:t>
            </w:r>
          </w:p>
        </w:tc>
      </w:tr>
      <w:tr>
        <w:trPr>
          <w:trHeight w:val="393" w:hRule="atLeast"/>
        </w:trPr>
        <w:tc>
          <w:tcPr>
            <w:tcW w:w="7439" w:type="dxa"/>
            <w:gridSpan w:val="5"/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 adjustments</w:t>
            </w:r>
          </w:p>
        </w:tc>
      </w:tr>
      <w:tr>
        <w:trPr>
          <w:trHeight w:val="485" w:hRule="atLeast"/>
        </w:trPr>
        <w:tc>
          <w:tcPr>
            <w:tcW w:w="21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left="66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51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6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36" w:right="112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4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207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115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481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1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3.033506</w:t>
            </w:r>
          </w:p>
        </w:tc>
        <w:tc>
          <w:tcPr>
            <w:tcW w:w="126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1.012583</w:t>
            </w:r>
          </w:p>
        </w:tc>
        <w:tc>
          <w:tcPr>
            <w:tcW w:w="134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226"/>
              <w:rPr>
                <w:sz w:val="24"/>
              </w:rPr>
            </w:pPr>
            <w:r>
              <w:rPr>
                <w:sz w:val="24"/>
              </w:rPr>
              <w:t>2.995811</w:t>
            </w:r>
          </w:p>
        </w:tc>
        <w:tc>
          <w:tcPr>
            <w:tcW w:w="115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0.0033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595"/>
              <w:rPr>
                <w:sz w:val="24"/>
              </w:rPr>
            </w:pPr>
            <w:r>
              <w:rPr>
                <w:sz w:val="24"/>
              </w:rPr>
              <w:t>DLIM(-1)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0.172209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0.075980</w:t>
            </w:r>
          </w:p>
        </w:tc>
        <w:tc>
          <w:tcPr>
            <w:tcW w:w="1341" w:type="dxa"/>
          </w:tcPr>
          <w:p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2.266505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0.0251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595"/>
              <w:rPr>
                <w:sz w:val="24"/>
              </w:rPr>
            </w:pPr>
            <w:r>
              <w:rPr>
                <w:sz w:val="24"/>
              </w:rPr>
              <w:t>DLIM(-2)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-0.115526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0.081531</w:t>
            </w:r>
          </w:p>
        </w:tc>
        <w:tc>
          <w:tcPr>
            <w:tcW w:w="1341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-1.416950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0.1589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614"/>
              <w:rPr>
                <w:sz w:val="24"/>
              </w:rPr>
            </w:pPr>
            <w:r>
              <w:rPr>
                <w:sz w:val="24"/>
              </w:rPr>
              <w:t>DLREER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-1.066600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0.222799</w:t>
            </w:r>
          </w:p>
        </w:tc>
        <w:tc>
          <w:tcPr>
            <w:tcW w:w="1341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-4.787285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56" w:hRule="atLeast"/>
        </w:trPr>
        <w:tc>
          <w:tcPr>
            <w:tcW w:w="2165" w:type="dxa"/>
          </w:tcPr>
          <w:p>
            <w:pPr>
              <w:pStyle w:val="TableParagraph"/>
              <w:spacing w:line="236" w:lineRule="exact"/>
              <w:ind w:left="434"/>
              <w:rPr>
                <w:sz w:val="24"/>
              </w:rPr>
            </w:pPr>
            <w:r>
              <w:rPr>
                <w:sz w:val="24"/>
              </w:rPr>
              <w:t>DLREER(-2)</w:t>
            </w:r>
          </w:p>
        </w:tc>
        <w:tc>
          <w:tcPr>
            <w:tcW w:w="1518" w:type="dxa"/>
          </w:tcPr>
          <w:p>
            <w:pPr>
              <w:pStyle w:val="TableParagraph"/>
              <w:spacing w:line="23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-0.378959</w:t>
            </w:r>
          </w:p>
        </w:tc>
        <w:tc>
          <w:tcPr>
            <w:tcW w:w="1261" w:type="dxa"/>
          </w:tcPr>
          <w:p>
            <w:pPr>
              <w:pStyle w:val="TableParagraph"/>
              <w:spacing w:line="23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0.248489</w:t>
            </w:r>
          </w:p>
        </w:tc>
        <w:tc>
          <w:tcPr>
            <w:tcW w:w="1341" w:type="dxa"/>
          </w:tcPr>
          <w:p>
            <w:pPr>
              <w:pStyle w:val="TableParagraph"/>
              <w:spacing w:line="236" w:lineRule="exact"/>
              <w:ind w:left="147"/>
              <w:rPr>
                <w:sz w:val="24"/>
              </w:rPr>
            </w:pPr>
            <w:r>
              <w:rPr>
                <w:sz w:val="24"/>
              </w:rPr>
              <w:t>-1.525052</w:t>
            </w:r>
          </w:p>
        </w:tc>
        <w:tc>
          <w:tcPr>
            <w:tcW w:w="1154" w:type="dxa"/>
          </w:tcPr>
          <w:p>
            <w:pPr>
              <w:pStyle w:val="TableParagraph"/>
              <w:spacing w:line="23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0.1297</w:t>
            </w:r>
          </w:p>
        </w:tc>
      </w:tr>
      <w:tr>
        <w:trPr>
          <w:trHeight w:val="296" w:hRule="atLeast"/>
        </w:trPr>
        <w:tc>
          <w:tcPr>
            <w:tcW w:w="2165" w:type="dxa"/>
          </w:tcPr>
          <w:p>
            <w:pPr>
              <w:pStyle w:val="TableParagraph"/>
              <w:spacing w:line="261" w:lineRule="exact" w:before="15"/>
              <w:ind w:left="460"/>
              <w:rPr>
                <w:sz w:val="24"/>
              </w:rPr>
            </w:pPr>
            <w:r>
              <w:rPr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d</w:t>
            </w:r>
            <w:r>
              <w:rPr>
                <w:sz w:val="24"/>
                <w:vertAlign w:val="baseline"/>
              </w:rPr>
              <w:t>(-2)</w:t>
            </w:r>
          </w:p>
        </w:tc>
        <w:tc>
          <w:tcPr>
            <w:tcW w:w="1518" w:type="dxa"/>
          </w:tcPr>
          <w:p>
            <w:pPr>
              <w:pStyle w:val="TableParagraph"/>
              <w:spacing w:line="26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1.936718</w:t>
            </w:r>
          </w:p>
        </w:tc>
        <w:tc>
          <w:tcPr>
            <w:tcW w:w="1261" w:type="dxa"/>
          </w:tcPr>
          <w:p>
            <w:pPr>
              <w:pStyle w:val="TableParagraph"/>
              <w:spacing w:line="261" w:lineRule="exact" w:before="15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0.994368</w:t>
            </w:r>
          </w:p>
        </w:tc>
        <w:tc>
          <w:tcPr>
            <w:tcW w:w="1341" w:type="dxa"/>
          </w:tcPr>
          <w:p>
            <w:pPr>
              <w:pStyle w:val="TableParagraph"/>
              <w:spacing w:line="261" w:lineRule="exact" w:before="15"/>
              <w:ind w:left="226"/>
              <w:rPr>
                <w:sz w:val="24"/>
              </w:rPr>
            </w:pPr>
            <w:r>
              <w:rPr>
                <w:sz w:val="24"/>
              </w:rPr>
              <w:t>1.947688</w:t>
            </w:r>
          </w:p>
        </w:tc>
        <w:tc>
          <w:tcPr>
            <w:tcW w:w="1154" w:type="dxa"/>
          </w:tcPr>
          <w:p>
            <w:pPr>
              <w:pStyle w:val="TableParagraph"/>
              <w:spacing w:line="261" w:lineRule="exact" w:before="15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0.0536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726" w:right="732"/>
              <w:jc w:val="center"/>
              <w:rPr>
                <w:sz w:val="24"/>
              </w:rPr>
            </w:pPr>
            <w:r>
              <w:rPr>
                <w:sz w:val="24"/>
              </w:rPr>
              <w:t>DLMS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-1.534323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0.615383</w:t>
            </w:r>
          </w:p>
        </w:tc>
        <w:tc>
          <w:tcPr>
            <w:tcW w:w="1341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-2.493282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0.0139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681"/>
              <w:rPr>
                <w:sz w:val="24"/>
              </w:rPr>
            </w:pPr>
            <w:r>
              <w:rPr>
                <w:sz w:val="24"/>
              </w:rPr>
              <w:t>LIM(-1)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-0.510405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0.083414</w:t>
            </w:r>
          </w:p>
        </w:tc>
        <w:tc>
          <w:tcPr>
            <w:tcW w:w="1341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-6.118956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520"/>
              <w:rPr>
                <w:sz w:val="24"/>
              </w:rPr>
            </w:pPr>
            <w:r>
              <w:rPr>
                <w:sz w:val="24"/>
              </w:rPr>
              <w:t>LREER(-1)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-0.562002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0.171764</w:t>
            </w:r>
          </w:p>
        </w:tc>
        <w:tc>
          <w:tcPr>
            <w:tcW w:w="1341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-3.271938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0.0014</w:t>
            </w:r>
          </w:p>
        </w:tc>
      </w:tr>
      <w:tr>
        <w:trPr>
          <w:trHeight w:val="393" w:hRule="atLeast"/>
        </w:trPr>
        <w:tc>
          <w:tcPr>
            <w:tcW w:w="21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652"/>
              <w:rPr>
                <w:sz w:val="24"/>
              </w:rPr>
            </w:pPr>
            <w:r>
              <w:rPr>
                <w:sz w:val="24"/>
              </w:rPr>
              <w:t>LMS(-1)</w:t>
            </w:r>
          </w:p>
        </w:tc>
        <w:tc>
          <w:tcPr>
            <w:tcW w:w="151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0.450104</w:t>
            </w:r>
          </w:p>
        </w:tc>
        <w:tc>
          <w:tcPr>
            <w:tcW w:w="12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36" w:right="67"/>
              <w:jc w:val="center"/>
              <w:rPr>
                <w:sz w:val="24"/>
              </w:rPr>
            </w:pPr>
            <w:r>
              <w:rPr>
                <w:sz w:val="24"/>
              </w:rPr>
              <w:t>0.077503</w:t>
            </w:r>
          </w:p>
        </w:tc>
        <w:tc>
          <w:tcPr>
            <w:tcW w:w="134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5.807552</w:t>
            </w:r>
          </w:p>
        </w:tc>
        <w:tc>
          <w:tcPr>
            <w:tcW w:w="115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51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0.428291</w:t>
            </w:r>
          </w:p>
        </w:tc>
        <w:tc>
          <w:tcPr>
            <w:tcW w:w="2602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5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0.065679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0.389013</w:t>
            </w:r>
          </w:p>
        </w:tc>
        <w:tc>
          <w:tcPr>
            <w:tcW w:w="2602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0.545663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0.426521</w:t>
            </w:r>
          </w:p>
        </w:tc>
        <w:tc>
          <w:tcPr>
            <w:tcW w:w="2602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1.201973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23.83159</w:t>
            </w:r>
          </w:p>
        </w:tc>
        <w:tc>
          <w:tcPr>
            <w:tcW w:w="2602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1.411105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-74.73910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3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10.90416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51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2.058499</w:t>
            </w:r>
          </w:p>
        </w:tc>
        <w:tc>
          <w:tcPr>
            <w:tcW w:w="2602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5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line="451" w:lineRule="auto" w:before="79" w:after="5"/>
        <w:ind w:left="811" w:right="3988" w:firstLine="0"/>
        <w:jc w:val="left"/>
        <w:rPr>
          <w:b/>
          <w:sz w:val="24"/>
        </w:rPr>
      </w:pPr>
      <w:r>
        <w:rPr/>
        <w:pict>
          <v:shape style="position:absolute;margin-left:116.940002pt;margin-top:542.849976pt;width:51.55pt;height:51.7pt;mso-position-horizontal-relative:page;mso-position-vertical-relative:page;z-index:-25238528" coordorigin="2339,10857" coordsize="1031,1034" path="m2701,10857l2697,10857,2693,10858,2644,10905,2641,10913,2642,10916,2644,10923,2647,10927,3127,11407,3152,11432,3194,11482,3236,11552,3257,11615,3259,11635,3258,11654,3231,11721,3172,11766,3118,11775,3098,11773,3033,11752,2961,11708,2910,11665,2409,11165,2405,11162,2346,11198,2339,11215,2339,11219,2831,11716,2902,11780,2971,11830,3037,11865,3098,11885,3157,11891,3184,11889,3260,11862,3323,11806,3361,11730,3369,11673,3367,11644,3353,11581,3324,11515,3281,11447,3224,11377,2711,10862,2708,10860,2701,1085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240005pt;margin-top:397.679993pt;width:169.15pt;height:177.05pt;mso-position-horizontal-relative:page;mso-position-vertical-relative:page;z-index:-25238016" coordorigin="2845,7954" coordsize="3383,3541" path="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129.333130pt;width:237.4pt;height:230.5pt;mso-position-horizontal-relative:page;mso-position-vertical-relative:paragraph;z-index:-25237504" coordorigin="5626,2587" coordsize="4748,4610" path="m6603,7139l6602,7136,6600,7129,6597,7126,6306,6835,6268,6763,6080,6402,6004,6257,5993,6237,5983,6225,5979,6222,5969,6220,5964,6222,5957,6226,5944,6237,5928,6252,5923,6259,5916,6268,5914,6273,5912,6281,5912,6284,5917,6297,5921,6302,6079,6595,6115,6659,6178,6767,6177,6768,6002,6668,5929,6629,5783,6551,5705,6508,5696,6505,5692,6504,5684,6505,5680,6507,5675,6509,5670,6513,5658,6523,5642,6539,5632,6551,5628,6557,5626,6562,5628,6572,5631,6576,5637,6581,5643,6586,5664,6598,5736,6636,6098,6824,6242,6900,6532,7190,6536,7193,6542,7196,6546,7196,6550,7195,6554,7194,6564,7189,6569,7185,6575,7181,6587,7168,6592,7163,6595,7158,6600,7148,6601,7143,6603,7139xm7274,6407l7274,6370,7268,6332,7258,6292,7242,6251,7223,6209,7199,6165,7170,6121,7161,6109,7161,6380,7157,6406,7148,6431,7133,6455,7115,6477,7093,6496,7070,6510,7045,6520,7020,6524,6994,6525,6967,6523,6939,6516,6909,6505,6880,6491,6849,6473,6818,6453,6786,6429,6753,6403,6720,6374,6687,6343,6652,6309,6622,6278,6594,6247,6567,6215,6541,6183,6518,6152,6499,6121,6482,6090,6469,6059,6458,6030,6451,6001,6447,5973,6447,5946,6451,5919,6460,5895,6474,5871,6493,5850,6515,5831,6537,5817,6562,5807,6587,5802,6614,5802,6641,5805,6669,5811,6698,5822,6728,5836,6759,5853,6790,5873,6821,5896,6854,5922,6886,5950,6919,5980,6952,6012,6983,6044,7012,6076,7039,6108,7064,6140,7088,6172,7108,6203,7125,6234,7139,6264,7150,6295,7157,6324,7161,6352,7161,6380,7161,6109,7137,6076,7100,6030,7059,5984,7013,5937,6966,5891,6921,5850,6876,5814,6860,5802,6832,5781,6790,5753,6749,5730,6709,5712,6670,5698,6633,5689,6596,5684,6562,5685,6528,5689,6496,5698,6465,5713,6436,5732,6408,5757,6383,5786,6363,5816,6348,5849,6339,5883,6335,5919,6336,5956,6341,5994,6351,6034,6366,6075,6386,6117,6409,6160,6438,6204,6470,6249,6507,6294,6547,6339,6591,6385,6639,6431,6685,6473,6731,6510,6775,6543,6817,6572,6859,6595,6899,6614,6938,6628,6975,6638,7011,6643,7046,6642,7080,6638,7113,6629,7144,6614,7173,6595,7201,6570,7227,6541,7237,6525,7247,6510,7261,6478,7270,6443,7274,6407xm7572,6170l7572,6166,7569,6159,7567,6156,7239,5828,7409,5658,7410,5655,7410,5648,7409,5644,7404,5635,7400,5629,7385,5611,7369,5595,7361,5588,7355,5583,7349,5578,7344,5575,7336,5571,7332,5570,7328,5570,7325,5570,7323,5571,7153,5742,6887,5477,7068,5296,7069,5294,7069,5291,7068,5283,7063,5274,7059,5268,7043,5250,7035,5242,7027,5234,7008,5217,6993,5208,6989,5208,6982,5207,6980,5208,6753,5435,6750,5444,6752,5454,6754,5464,6759,5474,6767,5484,6777,5495,7502,6221,7505,6223,7513,6226,7516,6226,7520,6225,7524,6224,7534,6219,7539,6215,7545,6211,7557,6198,7565,6188,7570,6178,7571,6174,7572,6170xm8101,5641l8100,5638,8098,5631,8095,5628,8092,5625,7340,4873,7337,4870,7330,4868,7327,4867,7322,4868,7318,4869,7309,4874,7298,4882,7286,4895,7278,4905,7273,4915,7272,4919,7271,4923,7271,4927,7274,4934,7276,4938,8031,5692,8034,5695,8041,5698,8044,5698,8048,5696,8053,5696,8063,5690,8073,5682,8086,5670,8090,5664,8094,5659,8099,5650,8099,5645,8101,5641xm8456,5214l8456,5197,8454,5181,8451,5164,8448,5147,8442,5129,8436,5112,8428,5094,8419,5076,8409,5058,8397,5039,8383,5021,8369,5003,8352,4985,8346,4977,8346,5180,8345,5194,8343,5207,8340,5220,8335,5232,8328,5244,8320,5256,8310,5267,8216,5361,7941,5086,8018,5009,8024,5003,8034,4995,8049,4983,8063,4974,8078,4967,8093,4963,8108,4961,8124,4960,8139,4961,8155,4965,8171,4970,8188,4977,8204,4986,8221,4996,8238,5009,8255,5024,8273,5040,8288,5057,8301,5073,8313,5089,8323,5105,8331,5120,8337,5136,8341,5151,8344,5165,8346,5180,8346,4977,8335,4966,8328,4960,8315,4947,8295,4930,8275,4915,8254,4901,8234,4889,8214,4878,8195,4870,8190,4868,8176,4863,8158,4858,8139,4855,8122,4853,8105,4853,8089,4854,8073,4858,8059,4862,8046,4868,8048,4855,8048,4841,8048,4827,8046,4812,8043,4798,8039,4783,8034,4768,8028,4753,8021,4739,8013,4724,8004,4710,7993,4695,7982,4680,7971,4666,7964,4658,7964,4852,7964,4866,7962,4879,7958,4892,7952,4905,7943,4917,7932,4930,7859,5003,7606,4751,7673,4684,7686,4671,7700,4661,7713,4653,7726,4648,7739,4645,7751,4643,7765,4643,7777,4644,7791,4648,7805,4653,7818,4660,7832,4668,7846,4678,7860,4689,7874,4701,7888,4714,7900,4727,7912,4741,7923,4754,7933,4768,7941,4783,7949,4797,7955,4811,7959,4824,7962,4838,7964,4852,7964,4658,7958,4652,7950,4643,7945,4638,7921,4616,7898,4596,7875,4579,7852,4564,7829,4552,7806,4542,7784,4534,7762,4530,7740,4528,7719,4529,7698,4532,7677,4538,7656,4547,7635,4560,7614,4576,7592,4596,7481,4707,7476,4712,7473,4721,7474,4732,7477,4741,7482,4751,7489,4762,7500,4773,8195,5469,8206,5479,8217,5487,8227,5491,8236,5493,8247,5495,8256,5492,8387,5361,8389,5360,8402,5346,8413,5332,8423,5318,8431,5304,8438,5290,8444,5276,8449,5261,8452,5245,8454,5230,8456,5214xm9020,4728l9019,4724,9017,4719,9014,4713,9009,4708,9003,4703,8995,4697,8984,4690,8889,4629,8609,4453,8609,4564,8440,4733,8179,4328,8135,4261,8135,4260,8135,4260,8609,4564,8609,4453,8304,4260,8097,4129,8091,4126,8086,4123,8081,4121,8076,4120,8072,4121,8062,4124,8056,4127,8050,4132,8044,4136,8038,4143,8030,4151,8022,4158,8016,4164,8012,4170,8008,4175,8005,4181,8004,4186,8002,4191,8001,4195,8003,4199,8004,4204,8007,4209,8010,4214,8053,4283,8370,4785,8571,5102,8578,5113,8584,5121,8589,5126,8594,5132,8600,5135,8604,5137,8609,5138,8614,5136,8620,5133,8625,5129,8632,5123,8646,5109,8651,5103,8655,5098,8659,5093,8661,5088,8661,5083,8662,5079,8662,5076,8660,5071,8659,5068,8657,5064,8654,5059,8617,5003,8506,4832,8605,4733,8709,4629,8940,4778,8945,4780,8949,4782,8953,4783,8956,4785,8960,4785,8963,4783,8968,4783,8972,4781,8978,4777,8983,4773,9005,4751,9010,4744,9014,4739,9018,4734,9020,4728xm9323,4313l9321,4275,9314,4235,9302,4194,9285,4152,9263,4108,9236,4062,9213,4029,9213,4277,9212,4304,9207,4330,9198,4355,9186,4380,9168,4404,9147,4427,9080,4494,8473,3887,8539,3821,8565,3798,8590,3781,8617,3768,8644,3761,8672,3758,8700,3759,8729,3763,8759,3770,8790,3781,8821,3796,8852,3813,8884,3834,8916,3858,8948,3884,8980,3912,9012,3942,9049,3981,9083,4019,9113,4055,9138,4090,9160,4124,9178,4157,9193,4189,9203,4219,9210,4249,9213,4277,9213,4029,9204,4016,9166,3969,9124,3920,9076,3870,9032,3828,8988,3790,8947,3758,8945,3756,8902,3727,8860,3702,8819,3681,8778,3665,8738,3652,8700,3645,8662,3642,8625,3644,8590,3650,8555,3662,8522,3679,8489,3702,8457,3731,8341,3847,8338,3856,8339,3867,8342,3876,8347,3886,8354,3896,8365,3908,9060,4603,9072,4614,9082,4621,9092,4626,9101,4628,9112,4630,9121,4627,9230,4518,9252,4494,9258,4487,9282,4454,9300,4420,9313,4386,9320,4350,9323,4313xm9940,3808l9939,3803,9937,3798,9934,3793,9929,3788,9923,3783,9916,3777,9905,3770,9810,3709,9529,3533,9529,3644,9360,3813,9099,3408,9055,3340,9055,3340,9529,3644,9529,3533,9224,3340,9017,3209,9011,3206,9006,3203,8996,3200,8992,3201,8987,3202,8982,3204,8976,3207,8971,3212,8965,3216,8958,3223,8950,3231,8936,3244,8928,3255,8925,3261,8924,3266,8922,3271,8922,3275,8923,3279,8924,3284,8927,3289,8930,3294,9017,3431,9289,3863,9318,3909,9491,4182,9498,4193,9504,4201,9509,4206,9514,4212,9520,4215,9529,4218,9534,4216,9540,4213,9545,4209,9552,4203,9566,4189,9571,4183,9575,4178,9579,4173,9581,4168,9581,4163,9582,4159,9582,4155,9580,4151,9579,4148,9577,4144,9574,4139,9426,3912,9525,3813,9629,3709,9860,3857,9865,3860,9869,3862,9873,3863,9876,3864,9880,3865,9883,3863,9888,3863,9892,3861,9898,3856,9903,3853,9925,3831,9930,3824,9934,3819,9938,3814,9940,3808xm10374,3365l10372,3352,10369,3345,10362,3330,10356,3322,10348,3315,9625,2592,9622,2590,9615,2587,9611,2587,9602,2588,9598,2590,9593,2594,9582,2602,9570,2614,9559,2629,9556,2634,9555,2643,9556,2647,9557,2650,9558,2654,9560,2657,10011,3107,10186,3280,10186,3280,10037,3203,9959,3162,9898,3133,9801,3084,9573,2970,9421,2894,9397,2883,9378,2874,9366,2870,9356,2867,9347,2867,9338,2867,9330,2867,9316,2874,9309,2879,9263,2925,9260,2935,9261,2947,9264,2957,9269,2967,9277,2978,9287,2990,10010,3713,10013,3715,10016,3716,10020,3718,10024,3718,10028,3717,10032,3717,10042,3711,10052,3704,10065,3691,10073,3680,10076,3675,10078,3671,10078,3666,10080,3662,10080,3659,10078,3654,10077,3651,10075,3648,9533,3107,9421,2997,9422,2997,9468,3022,9565,3073,9686,3134,10057,3318,10204,3392,10233,3406,10272,3422,10285,3425,10295,3426,10305,3427,10314,3426,10321,3423,10329,3421,10336,3416,10367,3384,10370,3380,10373,3370,10374,336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62.139999pt;margin-top:535.149963pt;width:108.26pt;height:.72003pt;mso-position-horizontal-relative:page;mso-position-vertical-relative:page;z-index:-25236992" filled="true" fillcolor="#000000" stroked="false">
            <v:fill type="solid"/>
            <w10:wrap type="none"/>
          </v:rect>
        </w:pict>
      </w:r>
      <w:r>
        <w:rPr/>
        <w:pict>
          <v:rect style="position:absolute;margin-left:162.139999pt;margin-top:588.190002pt;width:108.26pt;height:.71997pt;mso-position-horizontal-relative:page;mso-position-vertical-relative:page;z-index:-25236480" filled="true" fillcolor="#000000" stroked="false">
            <v:fill type="solid"/>
            <w10:wrap type="none"/>
          </v:rect>
        </w:pict>
      </w:r>
      <w:r>
        <w:rPr/>
        <w:pict>
          <v:rect style="position:absolute;margin-left:162.139999pt;margin-top:655.180054pt;width:108.26pt;height:.71997pt;mso-position-horizontal-relative:page;mso-position-vertical-relative:page;z-index:-2523596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Appendix 16: Diagnostic Test for the Imports Equation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Residual Tests</w:t>
      </w:r>
    </w:p>
    <w:tbl>
      <w:tblPr>
        <w:tblW w:w="0" w:type="auto"/>
        <w:jc w:val="left"/>
        <w:tblInd w:w="1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084"/>
        <w:gridCol w:w="933"/>
        <w:gridCol w:w="428"/>
        <w:gridCol w:w="949"/>
        <w:gridCol w:w="835"/>
        <w:gridCol w:w="1337"/>
        <w:gridCol w:w="715"/>
      </w:tblGrid>
      <w:tr>
        <w:trPr>
          <w:trHeight w:val="542" w:hRule="atLeast"/>
        </w:trPr>
        <w:tc>
          <w:tcPr>
            <w:tcW w:w="8155" w:type="dxa"/>
            <w:gridSpan w:val="8"/>
          </w:tcPr>
          <w:p>
            <w:pPr>
              <w:pStyle w:val="TableParagraph"/>
              <w:spacing w:line="263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A1: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Correlogram-Q-Statistics</w:t>
            </w:r>
          </w:p>
          <w:p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1975Q4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2010Q4</w:t>
            </w:r>
          </w:p>
        </w:tc>
      </w:tr>
      <w:tr>
        <w:trPr>
          <w:trHeight w:val="381" w:hRule="atLeast"/>
        </w:trPr>
        <w:tc>
          <w:tcPr>
            <w:tcW w:w="8155" w:type="dxa"/>
            <w:gridSpan w:val="8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141</w:t>
            </w:r>
          </w:p>
        </w:tc>
      </w:tr>
      <w:tr>
        <w:trPr>
          <w:trHeight w:val="485" w:hRule="atLeast"/>
        </w:trPr>
        <w:tc>
          <w:tcPr>
            <w:tcW w:w="187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99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Autocorrelation</w:t>
            </w:r>
          </w:p>
        </w:tc>
        <w:tc>
          <w:tcPr>
            <w:tcW w:w="2017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99"/>
              <w:ind w:left="149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42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99"/>
              <w:ind w:left="155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83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99"/>
              <w:ind w:left="77"/>
              <w:rPr>
                <w:sz w:val="24"/>
              </w:rPr>
            </w:pPr>
            <w:r>
              <w:rPr>
                <w:sz w:val="24"/>
              </w:rPr>
              <w:t>PAC</w:t>
            </w:r>
          </w:p>
        </w:tc>
        <w:tc>
          <w:tcPr>
            <w:tcW w:w="1337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99"/>
              <w:ind w:left="152"/>
              <w:rPr>
                <w:sz w:val="24"/>
              </w:rPr>
            </w:pPr>
            <w:r>
              <w:rPr>
                <w:sz w:val="24"/>
              </w:rPr>
              <w:t>Q-Stat</w:t>
            </w:r>
          </w:p>
        </w:tc>
        <w:tc>
          <w:tcPr>
            <w:tcW w:w="71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99"/>
              <w:ind w:left="-18"/>
              <w:rPr>
                <w:sz w:val="24"/>
              </w:rPr>
            </w:pPr>
            <w:r>
              <w:rPr>
                <w:sz w:val="24"/>
              </w:rPr>
              <w:t>Prob</w:t>
            </w:r>
          </w:p>
        </w:tc>
      </w:tr>
      <w:tr>
        <w:trPr>
          <w:trHeight w:val="382" w:hRule="atLeast"/>
        </w:trPr>
        <w:tc>
          <w:tcPr>
            <w:tcW w:w="187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976" w:val="left" w:leader="none"/>
              </w:tabs>
              <w:spacing w:line="261" w:lineRule="exact" w:before="101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8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527" w:val="left" w:leader="none"/>
              </w:tabs>
              <w:spacing w:line="261" w:lineRule="exact" w:before="10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left="122"/>
              <w:rPr>
                <w:sz w:val="24"/>
              </w:rPr>
            </w:pPr>
            <w:r>
              <w:rPr>
                <w:sz w:val="24"/>
              </w:rPr>
              <w:t>-0.030</w:t>
            </w:r>
          </w:p>
        </w:tc>
        <w:tc>
          <w:tcPr>
            <w:tcW w:w="83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left="73"/>
              <w:rPr>
                <w:sz w:val="24"/>
              </w:rPr>
            </w:pPr>
            <w:r>
              <w:rPr>
                <w:sz w:val="24"/>
              </w:rPr>
              <w:t>-0.030</w:t>
            </w:r>
          </w:p>
        </w:tc>
        <w:tc>
          <w:tcPr>
            <w:tcW w:w="133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0.1316</w:t>
            </w:r>
          </w:p>
        </w:tc>
        <w:tc>
          <w:tcPr>
            <w:tcW w:w="71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0.717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84" w:type="dxa"/>
          </w:tcPr>
          <w:p>
            <w:pPr>
              <w:pStyle w:val="TableParagraph"/>
              <w:tabs>
                <w:tab w:pos="527" w:val="left" w:leader="none"/>
              </w:tabs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-0.001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-0.002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0.1318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0.936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0.083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0.083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1.1298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0.770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-0.176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-0.173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5.7105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0.222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9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.|**</w:t>
              <w:tab/>
              <w:t>|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tabs>
                <w:tab w:pos="115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.|**</w:t>
              <w:tab/>
              <w:t>|</w:t>
            </w: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0.238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0.239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14.087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-0.067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-0.083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14.759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-0.101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-0.071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16.293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-0.024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-0.099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16.379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084" w:type="dxa"/>
          </w:tcPr>
          <w:p>
            <w:pPr>
              <w:pStyle w:val="TableParagraph"/>
              <w:tabs>
                <w:tab w:pos="527" w:val="left" w:leader="none"/>
              </w:tabs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-0.075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17.250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84" w:type="dxa"/>
          </w:tcPr>
          <w:p>
            <w:pPr>
              <w:pStyle w:val="TableParagraph"/>
              <w:tabs>
                <w:tab w:pos="527" w:val="left" w:leader="none"/>
              </w:tabs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-0.056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17.303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</w:tr>
      <w:tr>
        <w:trPr>
          <w:trHeight w:val="274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5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84" w:type="dxa"/>
          </w:tcPr>
          <w:p>
            <w:pPr>
              <w:pStyle w:val="TableParagraph"/>
              <w:tabs>
                <w:tab w:pos="527" w:val="left" w:leader="none"/>
              </w:tabs>
              <w:spacing w:line="25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5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9" w:type="dxa"/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-0.013</w:t>
            </w:r>
          </w:p>
        </w:tc>
        <w:tc>
          <w:tcPr>
            <w:tcW w:w="835" w:type="dxa"/>
          </w:tcPr>
          <w:p>
            <w:pPr>
              <w:pStyle w:val="TableParagraph"/>
              <w:spacing w:line="255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337" w:type="dxa"/>
          </w:tcPr>
          <w:p>
            <w:pPr>
              <w:pStyle w:val="TableParagraph"/>
              <w:spacing w:line="255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17.328</w:t>
            </w:r>
          </w:p>
        </w:tc>
        <w:tc>
          <w:tcPr>
            <w:tcW w:w="715" w:type="dxa"/>
          </w:tcPr>
          <w:p>
            <w:pPr>
              <w:pStyle w:val="TableParagraph"/>
              <w:spacing w:line="255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0.099</w:t>
            </w:r>
          </w:p>
        </w:tc>
      </w:tr>
      <w:tr>
        <w:trPr>
          <w:trHeight w:val="274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5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tabs>
                <w:tab w:pos="1097" w:val="left" w:leader="none"/>
              </w:tabs>
              <w:spacing w:line="255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428" w:type="dxa"/>
          </w:tcPr>
          <w:p>
            <w:pPr>
              <w:pStyle w:val="TableParagraph"/>
              <w:spacing w:line="25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49" w:type="dxa"/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-0.073</w:t>
            </w:r>
          </w:p>
        </w:tc>
        <w:tc>
          <w:tcPr>
            <w:tcW w:w="835" w:type="dxa"/>
          </w:tcPr>
          <w:p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-0.062</w:t>
            </w:r>
          </w:p>
        </w:tc>
        <w:tc>
          <w:tcPr>
            <w:tcW w:w="1337" w:type="dxa"/>
          </w:tcPr>
          <w:p>
            <w:pPr>
              <w:pStyle w:val="TableParagraph"/>
              <w:spacing w:line="255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18.155</w:t>
            </w:r>
          </w:p>
        </w:tc>
        <w:tc>
          <w:tcPr>
            <w:tcW w:w="715" w:type="dxa"/>
          </w:tcPr>
          <w:p>
            <w:pPr>
              <w:pStyle w:val="TableParagraph"/>
              <w:spacing w:line="255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0.111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0.103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19.085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0.120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-0.037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-0.062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19.303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84" w:type="dxa"/>
          </w:tcPr>
          <w:p>
            <w:pPr>
              <w:pStyle w:val="TableParagraph"/>
              <w:tabs>
                <w:tab w:pos="527" w:val="left" w:leader="none"/>
              </w:tabs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-0.014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-0.004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19.334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84" w:type="dxa"/>
          </w:tcPr>
          <w:p>
            <w:pPr>
              <w:pStyle w:val="TableParagraph"/>
              <w:tabs>
                <w:tab w:pos="527" w:val="left" w:leader="none"/>
              </w:tabs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-0.051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19.335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0.252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84" w:type="dxa"/>
          </w:tcPr>
          <w:p>
            <w:pPr>
              <w:pStyle w:val="TableParagraph"/>
              <w:tabs>
                <w:tab w:pos="527" w:val="left" w:leader="none"/>
              </w:tabs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-0.050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19.733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84" w:type="dxa"/>
          </w:tcPr>
          <w:p>
            <w:pPr>
              <w:pStyle w:val="TableParagraph"/>
              <w:tabs>
                <w:tab w:pos="527" w:val="left" w:leader="none"/>
              </w:tabs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-0.055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19.803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0.344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084" w:type="dxa"/>
          </w:tcPr>
          <w:p>
            <w:pPr>
              <w:pStyle w:val="TableParagraph"/>
              <w:tabs>
                <w:tab w:pos="527" w:val="left" w:leader="none"/>
              </w:tabs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19.846</w:t>
            </w:r>
          </w:p>
        </w:tc>
        <w:tc>
          <w:tcPr>
            <w:tcW w:w="715" w:type="dxa"/>
          </w:tcPr>
          <w:p>
            <w:pPr>
              <w:pStyle w:val="TableParagraph"/>
              <w:spacing w:line="25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</w:tr>
      <w:tr>
        <w:trPr>
          <w:trHeight w:val="381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271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2017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1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4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-0.063</w:t>
            </w:r>
          </w:p>
        </w:tc>
        <w:tc>
          <w:tcPr>
            <w:tcW w:w="83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73"/>
              <w:rPr>
                <w:sz w:val="24"/>
              </w:rPr>
            </w:pPr>
            <w:r>
              <w:rPr>
                <w:sz w:val="24"/>
              </w:rPr>
              <w:t>-0.082</w:t>
            </w:r>
          </w:p>
        </w:tc>
        <w:tc>
          <w:tcPr>
            <w:tcW w:w="133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20.510</w:t>
            </w:r>
          </w:p>
        </w:tc>
        <w:tc>
          <w:tcPr>
            <w:tcW w:w="71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0.426</w:t>
            </w:r>
          </w:p>
        </w:tc>
      </w:tr>
      <w:tr>
        <w:trPr>
          <w:trHeight w:val="960" w:hRule="atLeast"/>
        </w:trPr>
        <w:tc>
          <w:tcPr>
            <w:tcW w:w="8155" w:type="dxa"/>
            <w:gridSpan w:val="8"/>
            <w:tcBorders>
              <w:top w:val="double" w:sz="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A2: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Normality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Jarque-Bera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470" w:hRule="atLeast"/>
        </w:trPr>
        <w:tc>
          <w:tcPr>
            <w:tcW w:w="1874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2017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049"/>
              <w:rPr>
                <w:sz w:val="24"/>
              </w:rPr>
            </w:pPr>
            <w:r>
              <w:rPr>
                <w:sz w:val="24"/>
              </w:rPr>
              <w:t>4635.796</w:t>
            </w:r>
          </w:p>
        </w:tc>
        <w:tc>
          <w:tcPr>
            <w:tcW w:w="1377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242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3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87"/>
              <w:ind w:left="522"/>
              <w:rPr>
                <w:sz w:val="24"/>
              </w:rPr>
            </w:pPr>
            <w:r>
              <w:rPr>
                <w:sz w:val="24"/>
              </w:rPr>
              <w:t>0.00000</w:t>
            </w:r>
          </w:p>
        </w:tc>
      </w:tr>
      <w:tr>
        <w:trPr>
          <w:trHeight w:val="499" w:hRule="atLeast"/>
        </w:trPr>
        <w:tc>
          <w:tcPr>
            <w:tcW w:w="8155" w:type="dxa"/>
            <w:gridSpan w:val="8"/>
          </w:tcPr>
          <w:p>
            <w:pPr>
              <w:pStyle w:val="TableParagraph"/>
              <w:spacing w:before="106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A3: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Breusch-Godfrey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Correlation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spacing w:line="261" w:lineRule="exact" w:before="87"/>
              <w:ind w:left="1049"/>
              <w:rPr>
                <w:sz w:val="24"/>
              </w:rPr>
            </w:pPr>
            <w:r>
              <w:rPr>
                <w:sz w:val="24"/>
              </w:rPr>
              <w:t>0.529154</w:t>
            </w:r>
          </w:p>
        </w:tc>
        <w:tc>
          <w:tcPr>
            <w:tcW w:w="1377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242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35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line="261" w:lineRule="exact" w:before="87"/>
              <w:ind w:left="402"/>
              <w:rPr>
                <w:sz w:val="24"/>
              </w:rPr>
            </w:pPr>
            <w:r>
              <w:rPr>
                <w:sz w:val="24"/>
              </w:rPr>
              <w:t>0.590377</w:t>
            </w:r>
          </w:p>
        </w:tc>
      </w:tr>
      <w:tr>
        <w:trPr>
          <w:trHeight w:val="381" w:hRule="atLeast"/>
        </w:trPr>
        <w:tc>
          <w:tcPr>
            <w:tcW w:w="2958" w:type="dxa"/>
            <w:gridSpan w:val="2"/>
          </w:tcPr>
          <w:p>
            <w:pPr>
              <w:pStyle w:val="TableParagraph"/>
              <w:spacing w:line="271" w:lineRule="exact"/>
              <w:ind w:left="68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93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-35"/>
              <w:rPr>
                <w:sz w:val="24"/>
              </w:rPr>
            </w:pPr>
            <w:r>
              <w:rPr>
                <w:sz w:val="24"/>
              </w:rPr>
              <w:t>1.147341</w:t>
            </w:r>
          </w:p>
        </w:tc>
        <w:tc>
          <w:tcPr>
            <w:tcW w:w="1377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42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35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line="271" w:lineRule="exact"/>
              <w:ind w:left="402"/>
              <w:rPr>
                <w:sz w:val="24"/>
              </w:rPr>
            </w:pPr>
            <w:r>
              <w:rPr>
                <w:sz w:val="24"/>
              </w:rPr>
              <w:t>0.563453</w:t>
            </w:r>
          </w:p>
        </w:tc>
      </w:tr>
      <w:tr>
        <w:trPr>
          <w:trHeight w:val="499" w:hRule="atLeast"/>
        </w:trPr>
        <w:tc>
          <w:tcPr>
            <w:tcW w:w="8155" w:type="dxa"/>
            <w:gridSpan w:val="8"/>
          </w:tcPr>
          <w:p>
            <w:pPr>
              <w:pStyle w:val="TableParagraph"/>
              <w:spacing w:before="104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A4: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ARCH Test:</w:t>
            </w:r>
          </w:p>
        </w:tc>
      </w:tr>
      <w:tr>
        <w:trPr>
          <w:trHeight w:val="366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0" w:lineRule="exact" w:before="8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spacing w:line="260" w:lineRule="exact" w:before="87"/>
              <w:ind w:left="1049"/>
              <w:rPr>
                <w:sz w:val="24"/>
              </w:rPr>
            </w:pPr>
            <w:r>
              <w:rPr>
                <w:sz w:val="24"/>
              </w:rPr>
              <w:t>28.42430</w:t>
            </w:r>
          </w:p>
        </w:tc>
        <w:tc>
          <w:tcPr>
            <w:tcW w:w="1377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0" w:lineRule="exact" w:before="87"/>
              <w:ind w:left="242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35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line="260" w:lineRule="exact" w:before="87"/>
              <w:ind w:left="402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  <w:tr>
        <w:trPr>
          <w:trHeight w:val="379" w:hRule="atLeast"/>
        </w:trPr>
        <w:tc>
          <w:tcPr>
            <w:tcW w:w="2958" w:type="dxa"/>
            <w:gridSpan w:val="2"/>
          </w:tcPr>
          <w:p>
            <w:pPr>
              <w:pStyle w:val="TableParagraph"/>
              <w:spacing w:line="270" w:lineRule="exact"/>
              <w:ind w:left="68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93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0" w:lineRule="exact"/>
              <w:ind w:left="-35"/>
              <w:rPr>
                <w:sz w:val="24"/>
              </w:rPr>
            </w:pPr>
            <w:r>
              <w:rPr>
                <w:sz w:val="24"/>
              </w:rPr>
              <w:t>23.91118</w:t>
            </w:r>
          </w:p>
        </w:tc>
        <w:tc>
          <w:tcPr>
            <w:tcW w:w="1377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835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line="270" w:lineRule="exact"/>
              <w:ind w:left="402"/>
              <w:rPr>
                <w:sz w:val="24"/>
              </w:rPr>
            </w:pPr>
            <w:r>
              <w:rPr>
                <w:sz w:val="24"/>
              </w:rPr>
              <w:t>0.000001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tbl>
      <w:tblPr>
        <w:tblW w:w="0" w:type="auto"/>
        <w:jc w:val="left"/>
        <w:tblInd w:w="1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1875"/>
        <w:gridCol w:w="1592"/>
      </w:tblGrid>
      <w:tr>
        <w:trPr>
          <w:trHeight w:val="383" w:hRule="atLeast"/>
        </w:trPr>
        <w:tc>
          <w:tcPr>
            <w:tcW w:w="6785" w:type="dxa"/>
            <w:gridSpan w:val="4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A5: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Heteroskedasticity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6.955797</w:t>
            </w:r>
          </w:p>
        </w:tc>
        <w:tc>
          <w:tcPr>
            <w:tcW w:w="187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71.41384</w:t>
            </w:r>
          </w:p>
        </w:tc>
        <w:tc>
          <w:tcPr>
            <w:tcW w:w="187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  <w:tr>
        <w:trPr>
          <w:trHeight w:val="1327" w:hRule="atLeast"/>
        </w:trPr>
        <w:tc>
          <w:tcPr>
            <w:tcW w:w="6785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Stability Tests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B1: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4.547837</w:t>
            </w:r>
          </w:p>
        </w:tc>
        <w:tc>
          <w:tcPr>
            <w:tcW w:w="187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0.034840</w:t>
            </w:r>
          </w:p>
        </w:tc>
      </w:tr>
      <w:tr>
        <w:trPr>
          <w:trHeight w:val="378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4.848334</w:t>
            </w:r>
          </w:p>
        </w:tc>
        <w:tc>
          <w:tcPr>
            <w:tcW w:w="187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59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0.027673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116.940002pt;margin-top:397.679993pt;width:194.45pt;height:196.9pt;mso-position-horizontal-relative:page;mso-position-vertical-relative:page;z-index:-25234944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0.710007pt;margin-top:197.339996pt;width:398.1pt;height:243.5pt;mso-position-horizontal-relative:page;mso-position-vertical-relative:page;z-index:-25234432" coordorigin="2814,3947" coordsize="7962,4870">
            <v:shape style="position:absolute;left:5626;top:3946;width:4748;height:4610" coordorigin="5626,3947" coordsize="4748,4610" path="m6603,8500l6602,8496,6600,8489,6597,8486,6306,8195,6268,8123,6080,7762,6004,7618,5993,7597,5983,7585,5979,7583,5969,7580,5964,7582,5957,7586,5944,7597,5928,7613,5923,7619,5916,7628,5914,7633,5912,7641,5912,7644,5917,7657,5921,7662,6079,7955,6115,8020,6178,8128,6177,8128,6002,8029,5929,7989,5783,7911,5705,7869,5696,7865,5692,7864,5684,7866,5680,7867,5675,7870,5670,7873,5658,7883,5642,7899,5632,7911,5628,7917,5626,7922,5628,7932,5631,7936,5637,7941,5643,7946,5664,7958,5736,7996,6098,8184,6242,8260,6532,8551,6536,8553,6542,8556,6546,8556,6550,8555,6554,8554,6564,8549,6569,8545,6575,8541,6587,8529,6592,8523,6595,8518,6600,8508,6601,8504,6603,8500xm7274,7768l7274,7730,7268,7692,7258,7652,7242,7611,7223,7569,7199,7526,7170,7481,7161,7469,7161,7740,7157,7766,7148,7791,7133,7815,7115,7837,7093,7856,7070,7870,7045,7880,7020,7884,6994,7885,6967,7883,6939,7876,6909,7865,6880,7851,6849,7834,6818,7813,6786,7789,6753,7763,6720,7734,6687,7703,6652,7670,6622,7638,6594,7607,6567,7575,6541,7544,6518,7512,6499,7481,6482,7450,6469,7420,6458,7390,6451,7361,6447,7333,6447,7306,6451,7279,6460,7255,6474,7232,6493,7210,6515,7191,6537,7177,6562,7167,6587,7163,6614,7162,6641,7165,6669,7171,6698,7182,6728,7196,6759,7213,6790,7233,6821,7256,6854,7282,6886,7310,6919,7341,6952,7373,6983,7404,7012,7436,7039,7468,7064,7500,7088,7532,7108,7563,7125,7594,7139,7625,7150,7655,7157,7684,7161,7712,7161,7740,7161,7469,7137,7436,7100,7390,7059,7344,7013,7297,6966,7251,6921,7210,6876,7174,6860,7162,6832,7141,6790,7114,6749,7091,6709,7072,6670,7058,6633,7049,6596,7044,6562,7045,6528,7049,6496,7058,6465,7073,6436,7093,6408,7117,6383,7146,6363,7176,6348,7209,6339,7243,6335,7279,6336,7316,6341,7354,6351,7394,6366,7435,6386,7477,6409,7520,6438,7564,6470,7609,6507,7654,6547,7700,6591,7745,6639,7792,6685,7833,6731,7870,6775,7903,6817,7932,6859,7955,6899,7974,6938,7988,6975,7998,7011,8003,7046,8003,7080,7998,7113,7989,7144,7974,7173,7955,7201,7930,7227,7901,7237,7885,7247,7870,7261,7838,7270,7803,7274,7768xm7572,7530l7572,7527,7569,7519,7567,7516,7239,7188,7409,7018,7410,7015,7410,7008,7409,7004,7404,6995,7400,6989,7385,6971,7369,6955,7361,6948,7355,6943,7349,6938,7344,6935,7336,6931,7332,6930,7328,6930,7325,6931,7323,6932,7153,7102,6887,6837,7068,6656,7069,6654,7069,6651,7068,6643,7063,6635,7059,6629,7043,6610,7035,6602,7027,6594,7008,6577,6993,6569,6989,6568,6982,6568,6980,6568,6753,6795,6750,6804,6752,6815,6754,6824,6759,6834,6767,6844,6777,6856,7502,7581,7505,7583,7513,7586,7516,7586,7520,7585,7524,7584,7534,7579,7539,7576,7545,7571,7557,7558,7565,7548,7570,7538,7571,7534,7572,7530xm8101,7002l8100,6998,8098,6991,8095,6988,8092,6985,7340,6233,7337,6230,7330,6228,7327,6228,7322,6228,7318,6230,7309,6235,7298,6243,7286,6255,7278,6265,7273,6275,7272,6279,7271,6283,7271,6287,7274,6294,7276,6298,8031,7053,8034,7055,8041,7058,8044,7058,8048,7057,8053,7056,8063,7051,8073,7042,8086,7030,8090,7024,8094,7019,8099,7010,8099,7005,8101,7002xm8456,6574l8456,6558,8454,6541,8451,6524,8448,6507,8442,6490,8436,6472,8428,6454,8419,6436,8409,6418,8397,6399,8383,6381,8369,6363,8352,6345,8346,6338,8346,6540,8345,6554,8343,6568,8340,6580,8335,6592,8328,6604,8320,6616,8310,6627,8216,6721,7941,6446,8018,6369,8024,6364,8034,6355,8049,6343,8063,6334,8078,6327,8093,6323,8108,6321,8124,6320,8139,6321,8155,6325,8171,6330,8188,6337,8204,6346,8221,6357,8238,6369,8255,6384,8273,6400,8288,6417,8301,6433,8313,6449,8323,6465,8331,6480,8337,6496,8341,6511,8344,6525,8346,6540,8346,6338,8335,6326,8328,6320,8315,6307,8295,6290,8275,6275,8254,6261,8234,6249,8214,6239,8195,6230,8190,6228,8176,6223,8158,6218,8139,6215,8122,6213,8105,6213,8089,6214,8073,6218,8059,6222,8046,6228,8048,6215,8048,6201,8048,6187,8046,6172,8043,6158,8039,6143,8034,6128,8028,6113,8021,6099,8013,6084,8004,6070,7993,6055,7982,6041,7971,6026,7964,6018,7964,6212,7964,6226,7962,6239,7958,6252,7952,6265,7943,6277,7932,6290,7859,6364,7606,6111,7673,6044,7686,6032,7700,6021,7713,6014,7726,6008,7739,6005,7751,6003,7765,6003,7777,6005,7791,6008,7805,6014,7818,6020,7832,6028,7846,6038,7860,6049,7874,6061,7888,6075,7900,6087,7912,6101,7923,6114,7933,6128,7941,6143,7949,6157,7955,6171,7959,6185,7962,6199,7964,6212,7964,6018,7958,6012,7950,6003,7945,5998,7921,5976,7898,5956,7875,5939,7852,5924,7829,5912,7806,5902,7784,5895,7762,5890,7740,5888,7719,5889,7698,5892,7677,5898,7656,5907,7635,5920,7614,5936,7592,5956,7481,6067,7476,6072,7473,6081,7474,6092,7477,6101,7482,6111,7489,6122,7500,6133,8195,6829,8206,6839,8217,6847,8227,6851,8236,6853,8247,6855,8256,6853,8387,6721,8389,6720,8402,6706,8413,6692,8423,6678,8431,6664,8438,6650,8444,6636,8449,6621,8452,6606,8454,6590,8456,6574xm9020,6089l9019,6084,9017,6079,9014,6073,9009,6068,9003,6063,8995,6058,8984,6050,8889,5990,8609,5813,8609,5924,8440,6093,8179,5688,8135,5621,8135,5620,8135,5620,8609,5924,8609,5813,8304,5620,8097,5489,8091,5486,8086,5483,8081,5482,8076,5481,8072,5481,8062,5484,8056,5487,8050,5492,8044,5496,8038,5503,8030,5511,8022,5519,8016,5525,8012,5530,8008,5536,8005,5541,8004,5546,8002,5551,8001,5555,8003,5560,8004,5564,8007,5569,8010,5575,8053,5643,8370,6145,8571,6462,8578,6473,8584,6481,8589,6487,8594,6492,8600,6495,8604,6497,8609,6498,8614,6497,8620,6493,8625,6489,8632,6484,8646,6469,8651,6463,8655,6458,8659,6453,8661,6449,8661,6444,8662,6440,8662,6436,8660,6432,8659,6428,8657,6424,8654,6420,8617,6363,8506,6192,8605,6093,8709,5990,8940,6138,8945,6140,8949,6142,8953,6144,8956,6145,8960,6145,8963,6144,8968,6143,8972,6141,8978,6137,8983,6133,9005,6111,9010,6104,9014,6099,9018,6094,9020,6089xm9323,5673l9321,5635,9314,5595,9302,5554,9285,5512,9263,5468,9236,5423,9213,5389,9213,5637,9212,5664,9207,5690,9198,5716,9186,5740,9168,5764,9147,5788,9080,5854,8473,5247,8539,5181,8565,5159,8590,5141,8617,5128,8644,5121,8672,5118,8700,5119,8729,5123,8759,5130,8790,5142,8821,5156,8852,5173,8884,5194,8916,5218,8948,5244,8980,5272,9012,5302,9049,5341,9083,5379,9113,5415,9138,5450,9160,5484,9178,5517,9193,5549,9203,5580,9210,5609,9213,5637,9213,5389,9204,5376,9166,5329,9124,5280,9076,5230,9032,5188,8988,5150,8947,5118,8945,5117,8902,5087,8860,5062,8819,5041,8778,5025,8738,5012,8700,5005,8662,5002,8625,5004,8590,5011,8555,5022,8522,5039,8489,5063,8457,5091,8341,5207,8338,5216,8339,5227,8342,5236,8347,5246,8354,5257,8365,5268,9060,5964,9072,5974,9082,5981,9092,5986,9101,5988,9112,5990,9121,5987,9230,5879,9252,5854,9258,5847,9282,5814,9300,5781,9313,5746,9320,5711,9323,5673xm9940,5169l9939,5164,9937,5159,9934,5153,9929,5148,9923,5143,9916,5137,9905,5130,9810,5070,9529,4893,9529,5004,9360,5173,9099,4768,9055,4701,9055,4700,9529,5004,9529,4893,9224,4700,9017,4569,9011,4566,9006,4563,8996,4560,8992,4561,8987,4563,8982,4564,8976,4567,8971,4572,8965,4576,8958,4583,8950,4591,8936,4605,8928,4616,8925,4621,8924,4626,8922,4631,8922,4635,8923,4639,8924,4644,8927,4649,8930,4654,9017,4791,9289,5224,9318,5269,9491,5542,9498,5553,9504,5561,9509,5566,9514,5572,9520,5575,9529,5578,9534,5576,9540,5573,9545,5569,9552,5563,9566,5549,9571,5543,9575,5538,9579,5533,9581,5528,9581,5523,9582,5519,9582,5516,9580,5511,9579,5508,9577,5504,9574,5499,9426,5272,9525,5173,9629,5070,9860,5218,9865,5220,9869,5222,9873,5223,9876,5225,9880,5225,9883,5224,9888,5223,9892,5221,9898,5217,9903,5213,9925,5191,9930,5184,9934,5179,9938,5174,9940,5169xm10374,4725l10372,4712,10369,4705,10362,4691,10356,4683,10348,4675,9625,3952,9622,3950,9615,3947,9611,3947,9602,3948,9598,3950,9593,3954,9582,3962,9570,3974,9559,3990,9556,3994,9555,4003,9556,4007,9557,4010,9558,4014,9560,4017,10011,4467,10186,4640,10186,4641,10037,4563,9959,4523,9898,4493,9801,4444,9573,4330,9421,4254,9397,4243,9378,4234,9366,4230,9356,4228,9347,4227,9338,4227,9330,4228,9316,4234,9309,4239,9263,4285,9260,4295,9261,4307,9264,4317,9269,4327,9277,4338,9287,4350,10010,5073,10013,5075,10016,5076,10020,5078,10024,5079,10028,5077,10032,5077,10042,5072,10052,5064,10065,5051,10073,5040,10076,5035,10078,5031,10078,5026,10080,5022,10080,5019,10078,5015,10077,5011,10075,5008,9533,4467,9421,4358,9422,4357,9468,4382,9565,4433,9686,4494,10057,4678,10204,4752,10233,4766,10272,4782,10285,4785,10295,4786,10305,4787,10314,4787,10321,4784,10329,4781,10336,4776,10367,4745,10370,4741,10373,4730,10374,4725xe" filled="true" fillcolor="#ffc000" stroked="false">
              <v:path arrowok="t"/>
              <v:fill opacity="32896f" type="solid"/>
            </v:shape>
            <v:rect style="position:absolute;left:2814;top:6445;width:3692;height:2371" filled="true" fillcolor="#ffffff" stroked="false">
              <v:fill type="solid"/>
            </v:rect>
            <v:shape style="position:absolute;left:3068;top:6574;width:3210;height:1798" coordorigin="3068,6575" coordsize="3210,1798" path="m3068,8328l3115,8328m3068,8036l3115,8036m3068,7744l3115,7744m3068,7451l3115,7451m3068,7159l3115,7159m3068,6867l3115,6867m3068,6575l3115,6575m3121,7451l6278,7451m3193,8337l3193,8355m3290,8337l3290,8355m3388,8337l3388,8355m3485,8337l3485,8355m3582,8337l3582,8355m3679,8337l3679,8355m3776,8337l3776,8355m3873,8337l3873,8355m3971,8337l3971,8355m4068,8337l4068,8355m4165,8337l4165,8355m4262,8337l4262,8355m4359,8337l4359,8355m4457,8337l4457,8355m4554,8337l4554,8355m4651,8337l4651,8355m4747,8337l4747,8355m4844,8337l4844,8355m4941,8337l4941,8355m5038,8337l5038,8355m5136,8337l5136,8355m5233,8337l5233,8355m5330,8337l5330,8355m5427,8337l5427,8355m5524,8337l5524,8355m5622,8337l5622,8355m5719,8337l5719,8355m5816,8337l5816,8355m5913,8337l5913,8355m6010,8337l6010,8355m6108,8337l6108,8355m6205,8337l6205,8355m3290,8337l3290,8373m3776,8337l3776,8373m4262,8337l4262,8373m4747,8337l4747,8373m5233,8337l5233,8373m5719,8337l5719,8373m6205,8337l6205,8373e" filled="false" stroked="true" strokeweight=".321917pt" strokecolor="#000000">
              <v:path arrowok="t"/>
              <v:stroke dashstyle="solid"/>
            </v:shape>
            <v:shape style="position:absolute;left:3120;top:6650;width:3158;height:1394" coordorigin="3121,6651" coordsize="3158,1394" path="m3121,7442l3144,7507,3169,7431,3193,7408,3217,7398,3241,7448,3266,7448,3290,7455,3314,7391,3338,7392,3363,7466,3388,7409,3411,7528,3436,7438,3460,7539,3485,7450,3508,7538,3533,7501,3557,7500,3582,7599,3605,7345,3630,7508,3655,7530,3679,7424,3703,7382,3727,7360,3752,7439,3776,7425,3800,7322,3824,7372,3849,7495,3873,7423,3897,7557,3922,7473,3946,7458,3971,7529,3994,7393,4019,7470,4043,7417,4068,7536,4091,7454,4116,7385,4141,7429,4165,7420,4189,7431,4213,7365,4238,7431,4262,7442,4286,7401,4310,7461,4335,7443,4359,7307,4383,7489,4408,7427,4432,7425,4457,7467,4480,7463,4505,7477,4529,7431,4554,7506,4577,7442,4602,7409,4626,7475,4651,7451,4674,7455,4699,7444,4724,7426,4747,7525,4772,7489,4796,7405,4821,7396,4844,7432,4869,7333,4893,7355,4918,7406,4941,7481,4966,7496,4990,8045,5015,8033,5038,6651,5063,7814,5088,7454,5112,7492,5136,7856,5160,7224,5185,7421,5209,7440,5233,7372,5257,7477,5282,7436,5306,7390,5330,7501,5355,7311,5379,7451,5404,7397,5427,7452,5452,7488,5476,7433,5501,7398,5524,7412,5549,7514,5573,7436,5598,7518,5622,7545,5646,7381,5671,7516,5695,7498,5719,7445,5743,7474,5768,7482,5792,7415,5816,7467,5841,7414,5865,7424,5890,7493,5913,7418,5938,7440,5962,7556,5987,7450,6010,7520,6035,7379,6059,7416,6084,7387,6108,7408,6132,7466,6157,7450,6181,7436,6205,7504,6229,7454,6254,7452,6278,7450e" filled="false" stroked="true" strokeweight=".336234pt" strokecolor="#0000ff">
              <v:path arrowok="t"/>
              <v:stroke dashstyle="solid"/>
            </v:shape>
            <v:shape style="position:absolute;left:3120;top:7150;width:3158;height:602" coordorigin="3121,7151" coordsize="3158,602" path="m3121,7470l3128,7492m3133,7505l3142,7527m3155,7527l3169,7521,3184,7523m3201,7527l3217,7533,3229,7529m3246,7524l3266,7520,3276,7518m3294,7516l3314,7524,3321,7526m3338,7530l3338,7530,3363,7527,3368,7527m3386,7527l3388,7528,3411,7536,3414,7535m3433,7534l3436,7534,3460,7542m3477,7541l3485,7540,3507,7546m3525,7547l3533,7547,3556,7547m3569,7557l3582,7566,3595,7569m3612,7572l3630,7572,3643,7572m3661,7573l3679,7572,3692,7572m3710,7573l3727,7576,3741,7574m3759,7572l3776,7572,3789,7575m3806,7579l3824,7579,3837,7579m3855,7578l3873,7577,3886,7579m3904,7579l3922,7579,3936,7577m3954,7577l3971,7578,3985,7578m4003,7577l4019,7576,4034,7575m4052,7575l4068,7576,4083,7575m4101,7575l4116,7575,4132,7574m4150,7573l4165,7572,4181,7572m4199,7572l4213,7573,4230,7572m4248,7571l4262,7571,4279,7570m4297,7569l4310,7569,4328,7568m4347,7570l4359,7573,4376,7573m4395,7572l4408,7572,4426,7571m4444,7570l4457,7570,4475,7569m4493,7568l4505,7568,4524,7568m4542,7567l4554,7567,4573,7566m4591,7566l4602,7566,4622,7565m4640,7564l4651,7564,4671,7564m4689,7562l4699,7562,4720,7562m4738,7562l4747,7562,4769,7562m4788,7562l4796,7562,4818,7562m4837,7561l4844,7561,4868,7563m4886,7564l4893,7565,4917,7565m4935,7564l4941,7564,4966,7564m4970,7578l4980,7600m4985,7614l4990,7626,4995,7635m5002,7647l5014,7669m5019,7681l5027,7703m5032,7716l5038,7732,5045,7735m5061,7740l5063,7742,5088,7740,5091,7739m5109,7738l5112,7738,5136,7750m5153,7751l5160,7752,5184,7750m5202,7749l5209,7749,5233,7748m5251,7746l5257,7746,5282,7745m5300,7743l5306,7743,5330,7742,5331,7742m5349,7742l5355,7742,5379,7740,5380,7739m5398,7738l5404,7738,5427,7737,5428,7736m5446,7736l5452,7736,5476,7735,5477,7734m5496,7733l5501,7733,5524,7732,5525,7731m5544,7731l5549,7731,5573,7730,5575,7729m5593,7728l5598,7728,5622,7727,5623,7727m5641,7727l5646,7727,5671,7726,5672,7725m5690,7724l5695,7724,5719,7723,5720,7723m5738,7722l5743,7722,5768,7721,5769,7720m5787,7719l5792,7719,5816,7719,5817,7718m5835,7717l5841,7717,5865,7716,5866,7716m5884,7716l5890,7716,5913,7714,5914,7713m5932,7713l5938,7713,5962,7712,5963,7712m5981,7712l5987,7712,6010,7711,6011,7710m6029,7710l6035,7710,6059,7709,6061,7708m6079,7708l6084,7708,6108,7708,6109,7707m6127,7706l6132,7706,6157,7705,6158,7704m6176,7704l6181,7704,6205,7704,6206,7703m6224,7703l6229,7703,6254,7701,6255,7701m6273,7701l6278,7701m3121,7432l3128,7410m3133,7398l3142,7375m3155,7375l3169,7382,3183,7379m3200,7375l3217,7370,3229,7373m3246,7378l3266,7382,3276,7384m3293,7386l3314,7379,3320,7376m3337,7372l3338,7372,3363,7375,3367,7375m3385,7375l3388,7375,3411,7367,3414,7367m3433,7368l3436,7369,3460,7360m3478,7361l3485,7363,3507,7356m3525,7356l3533,7356,3556,7356m3569,7346l3582,7337,3594,7333m3611,7330l3630,7331,3642,7330m3660,7329l3679,7331,3691,7330m3709,7330l3727,7327,3740,7328m3758,7330l3776,7331,3788,7327m3805,7323l3824,7323,3836,7323m3854,7324l3873,7326,3885,7324m3904,7322l3922,7324,3934,7325m3953,7325l3971,7325,3984,7325m4002,7325l4019,7326,4033,7327m4051,7327l4068,7326,4082,7327m4100,7328l4116,7328,4131,7328m4149,7329l4165,7330,4180,7330m4198,7330l4213,7330,4229,7330m4247,7331l4262,7332,4278,7332m4296,7333l4310,7333,4327,7334m4345,7333l4359,7330,4376,7330m4394,7330l4408,7331,4425,7331m4443,7332l4457,7333,4474,7333m4492,7333l4505,7334,4523,7334m4541,7335l4554,7336,4572,7336m4590,7337l4602,7337,4621,7337m4639,7337l4651,7338,4670,7338m4688,7340l4699,7341,4719,7341m4737,7341l4747,7341,4768,7341m4786,7341l4796,7341,4817,7341m4836,7341l4844,7341,4867,7339m4885,7337l4893,7337,4916,7337m4934,7337l4941,7338,4965,7338m4970,7326l4979,7304m4984,7291l4990,7277,4994,7270m5001,7258l5013,7236m5018,7223l5027,7201m5031,7188l5038,7171,5044,7168m5060,7163l5063,7161,5088,7163,5090,7163m5108,7163l5112,7164,5134,7153m5152,7151l5160,7151,5183,7152m5201,7153l5209,7154,5232,7154m5250,7155l5257,7156,5281,7157m5299,7159l5306,7159,5330,7160m5347,7161l5355,7161,5378,7162m5396,7163l5404,7164,5427,7165m5444,7166l5452,7167,5475,7167m5493,7169l5501,7170,5524,7170m5541,7171l5549,7172,5573,7172m5591,7174l5598,7174,5622,7174m5639,7175l5646,7176,5670,7176m5688,7178l5695,7178,5719,7178m5736,7180l5743,7181,5767,7181m5785,7182l5792,7183,5816,7183m5833,7185l5841,7186,5864,7186m5882,7186l5890,7187,5913,7188m5930,7189l5938,7190,5961,7190m5979,7190l5987,7191,6010,7191m6027,7192l6035,7193,6058,7193m6076,7194l6084,7194,6108,7194m6125,7196l6132,7197,6156,7197m6174,7197l6181,7198,6205,7198m6222,7199l6229,7200,6253,7201m6271,7201l6278,7202e" filled="false" stroked="true" strokeweight=".374131pt" strokecolor="#ff0000">
              <v:path arrowok="t"/>
              <v:stroke dashstyle="solid"/>
            </v:shape>
            <v:rect style="position:absolute;left:3115;top:6571;width:3170;height:1763" filled="false" stroked="true" strokeweight=".424548pt" strokecolor="#000000">
              <v:stroke dashstyle="solid"/>
            </v:rect>
            <v:rect style="position:absolute;left:3484;top:8582;width:2423;height:154" filled="false" stroked="true" strokeweight=".273916pt" strokecolor="#000000">
              <v:stroke dashstyle="solid"/>
            </v:rect>
            <v:line style="position:absolute" from="3544,8664" to="3773,8664" stroked="true" strokeweight=".317895pt" strokecolor="#0000ff">
              <v:stroke dashstyle="solid"/>
            </v:line>
            <v:shape style="position:absolute;left:5122;top:8664;width:228;height:2" coordorigin="5123,8664" coordsize="228,0" path="m5123,8664l5154,8664m5172,8664l5203,8664m5221,8664l5252,8664m5270,8664l5301,8664m5319,8664l5350,8664e" filled="false" stroked="true" strokeweight=".374131pt" strokecolor="#ff0000">
              <v:path arrowok="t"/>
              <v:stroke dashstyle="solid"/>
            </v:shape>
            <v:rect style="position:absolute;left:6800;top:6445;width:3976;height:2371" filled="true" fillcolor="#ffffff" stroked="false">
              <v:fill type="solid"/>
            </v:rect>
            <v:shape style="position:absolute;left:7073;top:6574;width:3457;height:1798" coordorigin="7074,6575" coordsize="3457,1798" path="m7074,8328l7124,8328m7074,8109l7124,8109m7074,7890l7124,7890m7074,7670l7124,7670m7074,7451l7124,7451m7074,7232l7124,7232m7074,7013l7124,7013m7074,6794l7124,6794m7074,6575l7124,6575m7130,7451l10531,7451m7208,8337l7208,8355m7313,8337l7313,8355m7418,8337l7418,8355m7522,8337l7522,8355m7627,8337l7627,8355m7732,8337l7732,8355m7836,8337l7836,8355m7941,8337l7941,8355m8046,8337l8046,8355m8150,8337l8150,8355m8255,8337l8255,8355m8360,8337l8360,8355m8464,8337l8464,8355m8569,8337l8569,8355m8673,8337l8673,8355m8778,8337l8778,8355m8882,8337l8882,8355m8986,8337l8986,8355m9091,8337l9091,8355m9196,8337l9196,8355m9300,8337l9300,8355m9405,8337l9405,8355m9510,8337l9510,8355m9614,8337l9614,8355m9719,8337l9719,8355m9824,8337l9824,8355m9928,8337l9928,8355m10033,8337l10033,8355m10138,8337l10138,8355m10242,8337l10242,8355m10347,8337l10347,8355m10451,8337l10451,8355m7313,8337l7313,8373m7836,8337l7836,8373m8360,8337l8360,8373m8882,8337l8882,8373m9405,8337l9405,8373m9928,8337l9928,8373m10451,8337l10451,8373e" filled="false" stroked="true" strokeweight=".336162pt" strokecolor="#000000">
              <v:path arrowok="t"/>
              <v:stroke dashstyle="solid"/>
            </v:shape>
            <v:shape style="position:absolute;left:7130;top:7344;width:3401;height:221" coordorigin="7130,7345" coordsize="3401,221" path="m7130,7450l7155,7459,7182,7456,7208,7448,7234,7439,7260,7439,7287,7438,7313,7439,7338,7428,7365,7417,7391,7420,7418,7413,7443,7426,7470,7424,7496,7439,7522,7439,7548,7454,7574,7462,7601,7471,7627,7496,7652,7478,7679,7489,7705,7502,7732,7497,7757,7485,7783,7469,7810,7467,7836,7462,7862,7440,7888,7426,7914,7433,7941,7428,7966,7447,7993,7451,8019,7451,8046,7466,8071,7455,8097,7459,8124,7452,8150,7467,8175,7467,8202,7456,8229,7452,8255,7447,8280,7443,8307,7428,8333,7424,8360,7422,8385,7413,8411,7415,8438,7414,8464,7388,8490,7395,8516,7391,8542,7386,8569,7389,8594,7391,8621,7395,8647,7391,8673,7401,8699,7399,8725,7392,8752,7396,8778,7396,8803,7397,8830,7395,8856,7391,8882,7404,8908,7411,8935,7403,8961,7393,8986,7390,9013,7369,9039,7352,9066,7345,9091,7349,9118,7357,9144,7461,9170,7563,9196,7423,9222,7487,9249,7487,9275,7494,9300,7565,9327,7525,9353,7520,9380,7518,9405,7504,9431,7508,9458,7506,9484,7495,9510,7504,9536,7479,9562,7479,9589,7469,9614,7469,9641,7476,9667,7473,9693,7463,9719,7457,9745,7468,9772,7465,9798,7477,9824,7492,9850,7481,9877,7492,9903,7500,9928,7499,9955,7503,9981,7508,10008,7502,10033,7505,10059,7498,10086,7493,10112,7501,10138,7495,10164,7493,10190,7511,10217,7511,10242,7523,10269,7511,10295,7504,10321,7493,10347,7485,10373,7489,10400,7488,10426,7485,10451,7494,10478,7495,10504,7495,10531,7495e" filled="false" stroked="true" strokeweight=".318506pt" strokecolor="#0000ff">
              <v:path arrowok="t"/>
              <v:stroke dashstyle="solid"/>
            </v:shape>
            <v:shape style="position:absolute;left:7130;top:6739;width:3401;height:1426" coordorigin="7130,6740" coordsize="3401,1426" path="m7130,7689l7155,7693,7164,7693m7182,7696l7208,7701,7215,7701m7235,7704l7260,7708,7268,7708m7288,7711l7313,7715,7320,7716m7338,7719l7365,7722,7371,7723m7390,7725l7391,7726,7418,7730,7422,7730m7442,7732l7443,7733,7470,7737,7474,7737m7494,7739l7496,7740,7522,7744,7526,7744m7545,7747l7548,7748,7574,7751,7578,7751m7597,7754l7601,7755,7627,7759,7629,7759m7649,7761l7652,7762,7679,7766,7681,7766m7701,7769l7705,7769,7732,7773,7733,7773m7752,7776l7757,7777,7783,7780,7785,7780m7804,7783l7810,7784,7836,7788m7855,7790l7862,7791,7887,7795m7906,7797l7914,7799,7939,7802m7957,7805l7966,7806,7991,7809m8010,7812l8019,7814,8042,7817m8062,7819l8071,7821,8094,7824m8113,7826l8124,7828,8147,7831m8166,7834l8175,7836,8200,7838m8219,7841l8229,7843,8252,7846m8271,7848l8280,7850,8303,7853m8323,7856l8333,7857,8356,7860m8376,7863l8385,7865,8409,7867m8429,7871l8438,7872,8461,7875m8480,7878l8490,7879,8513,7882m8532,7885l8542,7886,8565,7890m8585,7893l8594,7894,8618,7897m8638,7900l8647,7901,8670,7905m8690,7907l8699,7909,8722,7912m8741,7914l8752,7916,8774,7919m8793,7921l8803,7924,8825,7926m8845,7928l8856,7931,8877,7933m8897,7936l8908,7938,8930,7940m8948,7943l8961,7946,8981,7947m8999,7950l9013,7953,9032,7955m9052,7958l9066,7960,9084,7962m9104,7965l9118,7967,9136,7969m9156,7973l9170,7975,9189,7977m9208,7980l9222,7982,9242,7984m9261,7987l9275,7989,9293,7992m9313,7994l9327,7996,9345,7999m9365,8002l9380,8004,9398,8006m9418,8009l9431,8011,9451,8013m9470,8016l9484,8018,9503,8021m9522,8023l9536,8026,9554,8028m9574,8031l9589,8033,9607,8035m9627,8038l9641,8041,9660,8042m9680,8045l9693,8048,9712,8050m9731,8052l9745,8055,9764,8057m9783,8060l9798,8063,9817,8064m9836,8068l9850,8070,9870,8072m9889,8075l9903,8077,9921,8079m9941,8082l9955,8084,9973,8087m9992,8090l10008,8092,10026,8094m10046,8097l10059,8099,10079,8101m10098,8104l10112,8106,10131,8109m10150,8111l10164,8113,10182,8116m10202,8119l10217,8121,10235,8123m10255,8126l10269,8128,10288,8130m10308,8133l10321,8136,10340,8138m10359,8140l10373,8143,10392,8145m10411,8148l10426,8151,10445,8152m10464,8155l10478,8158,10497,8159m10517,8162l10531,8165m7130,7213l7155,7210,7162,7209m7182,7206l7208,7202,7214,7201m7234,7199l7260,7195,7266,7194m7285,7192l7287,7192,7313,7188,7318,7187m7337,7184l7338,7184,7365,7181,7370,7180m7389,7177l7391,7177,7418,7173,7421,7172m7441,7170l7443,7170,7470,7166,7473,7165m7493,7163l7496,7163,7522,7159,7525,7158m7544,7155l7548,7155,7574,7152,7576,7151m7596,7148l7601,7148,7627,7144,7628,7143m7648,7140l7652,7140,7679,7137,7680,7136m7700,7133l7705,7133,7732,7129m7751,7126l7757,7126,7783,7122,7783,7122m7803,7119l7810,7118,7835,7114m7855,7112l7862,7111,7887,7107m7906,7105l7914,7104,7939,7100m7957,7097l7966,7096,7989,7093m8009,7091l8019,7089,8041,7086m8061,7083l8071,7082,8093,7079m8112,7076l8124,7075,8144,7072m8164,7069l8175,7067,8196,7064m8216,7061l8229,7060,8248,7057m8268,7054l8280,7053,8300,7050m8319,7047l8333,7045,8352,7042m8371,7039l8385,7038,8404,7035m8423,7032l8438,7031,8455,7027m8475,7025l8490,7023,8507,7020m8526,7018l8542,7016,8559,7014m8577,7011l8594,7008,8609,7006m8629,7004l8647,7001,8661,6999m8680,6996l8699,6994,8713,6992m8732,6989l8752,6987,8764,6985m8784,6982l8803,6979,8817,6977m8836,6974l8856,6972,8868,6970m8888,6967l8908,6965,8920,6963m8939,6960l8961,6957,8971,6955m8991,6953l9013,6950,9023,6948m9043,6946l9066,6943,9075,6941m9093,6938l9118,6936,9125,6934m9145,6931l9170,6928,9177,6926m9197,6924l9222,6921,9229,6919m9249,6917l9275,6913,9281,6912m9300,6909l9327,6906,9332,6905m9352,6902l9353,6902,9380,6899,9384,6898m9404,6895l9405,6895,9431,6891,9436,6890m9456,6888l9458,6888,9484,6884,9488,6883m9507,6880l9510,6880,9536,6877,9540,6876m9559,6873l9562,6873,9589,6869,9591,6868m9611,6866l9614,6866,9641,6862,9643,6861m9663,6859l9667,6859,9693,6855,9695,6854m9714,6852l9719,6851,9745,6848,9747,6847m9766,6845l9772,6844,9798,6840m9818,6838l9824,6837,9850,6833m9870,6830l9877,6830,9902,6826m9920,6822l9928,6822,9953,6818m9972,6815l9981,6815,10004,6811m10024,6808l10033,6808,10056,6804m10075,6801l10086,6800,10108,6797m10127,6794l10138,6792,10159,6789m10179,6787l10190,6785,10211,6782m10231,6779l10242,6778,10263,6775m10282,6773l10295,6771,10315,6768m10333,6765l10347,6763,10366,6761m10385,6758l10400,6756,10417,6753m10437,6750l10451,6749,10469,6746m10488,6743l10504,6742,10520,6740e" filled="false" stroked="true" strokeweight=".390686pt" strokecolor="#ff0000">
              <v:path arrowok="t"/>
              <v:stroke dashstyle="solid"/>
            </v:shape>
            <v:rect style="position:absolute;left:7124;top:6571;width:3414;height:1763" filled="false" stroked="true" strokeweight=".429576pt" strokecolor="#000000">
              <v:stroke dashstyle="solid"/>
            </v:rect>
            <v:rect style="position:absolute;left:7655;top:8582;width:2343;height:154" filled="false" stroked="true" strokeweight=".274064pt" strokecolor="#000000">
              <v:stroke dashstyle="solid"/>
            </v:rect>
            <v:line style="position:absolute" from="7719,8664" to="7966,8664" stroked="true" strokeweight=".317895pt" strokecolor="#0000ff">
              <v:stroke dashstyle="solid"/>
            </v:line>
            <v:shape style="position:absolute;left:8651;top:8664;width:245;height:2" coordorigin="8652,8664" coordsize="245,0" path="m8652,8664l8685,8664m8705,8664l8738,8664m8758,8664l8791,8664m8810,8664l8844,8664m8863,8664l8897,8664e" filled="false" stroked="true" strokeweight=".390686pt" strokecolor="#ff0000">
              <v:path arrowok="t"/>
              <v:stroke dashstyle="solid"/>
            </v:shape>
            <v:shape style="position:absolute;left:2851;top:5417;width:2858;height:78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B2: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Recursive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Estimates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1"/>
                      <w:ind w:left="77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Recursive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Residuals</w:t>
                    </w:r>
                  </w:p>
                </w:txbxContent>
              </v:textbox>
              <w10:wrap type="none"/>
            </v:shape>
            <v:shape style="position:absolute;left:8099;top:5935;width:13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CUSUM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2969;top:6505;width:94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46"/>
                        <w:sz w:val="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889;top:6505;width:177;height:3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5"/>
                        <w:sz w:val="9"/>
                      </w:rPr>
                      <w:t>40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5"/>
                        <w:sz w:val="9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969;top:6797;width:94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46"/>
                        <w:sz w:val="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89;top:6943;width:177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5"/>
                        <w:sz w:val="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969;top:7089;width:94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46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889;top:7162;width:177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5"/>
                        <w:sz w:val="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969;top:7381;width:94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46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29;top:7381;width:7700;height:1103" type="#_x0000_t202" filled="false" stroked="false">
              <v:textbox inset="0,0,0,0">
                <w:txbxContent>
                  <w:p>
                    <w:pPr>
                      <w:spacing w:before="3"/>
                      <w:ind w:left="454" w:right="0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7"/>
                        <w:sz w:val="9"/>
                      </w:rPr>
                      <w:t>0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0"/>
                      </w:rPr>
                    </w:pPr>
                  </w:p>
                  <w:p>
                    <w:pPr>
                      <w:spacing w:line="88" w:lineRule="exact" w:before="0"/>
                      <w:ind w:left="3895" w:right="3562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5"/>
                        <w:sz w:val="9"/>
                      </w:rPr>
                      <w:t>-10</w:t>
                    </w:r>
                  </w:p>
                  <w:p>
                    <w:pPr>
                      <w:spacing w:line="88" w:lineRule="exact" w:before="0"/>
                      <w:ind w:left="0" w:right="7586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2"/>
                        <w:w w:val="145"/>
                        <w:sz w:val="9"/>
                      </w:rPr>
                      <w:t>-1</w:t>
                    </w:r>
                  </w:p>
                  <w:p>
                    <w:pPr>
                      <w:spacing w:before="42"/>
                      <w:ind w:left="3895" w:right="3562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5"/>
                        <w:sz w:val="9"/>
                      </w:rPr>
                      <w:t>-20</w:t>
                    </w:r>
                  </w:p>
                  <w:p>
                    <w:pPr>
                      <w:spacing w:line="88" w:lineRule="exact" w:before="43"/>
                      <w:ind w:left="0" w:right="7586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2"/>
                        <w:w w:val="145"/>
                        <w:sz w:val="9"/>
                      </w:rPr>
                      <w:t>-2</w:t>
                    </w:r>
                  </w:p>
                  <w:p>
                    <w:pPr>
                      <w:spacing w:line="88" w:lineRule="exact" w:before="0"/>
                      <w:ind w:left="3895" w:right="3562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5"/>
                        <w:sz w:val="9"/>
                      </w:rPr>
                      <w:t>-30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0"/>
                      </w:rPr>
                    </w:pPr>
                  </w:p>
                  <w:p>
                    <w:pPr>
                      <w:tabs>
                        <w:tab w:pos="391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55"/>
                        <w:sz w:val="9"/>
                      </w:rPr>
                      <w:t>-3</w:t>
                      <w:tab/>
                      <w:t>-40</w:t>
                    </w:r>
                  </w:p>
                  <w:p>
                    <w:pPr>
                      <w:tabs>
                        <w:tab w:pos="4228" w:val="left" w:leader="none"/>
                        <w:tab w:pos="4751" w:val="left" w:leader="none"/>
                        <w:tab w:pos="5274" w:val="left" w:leader="none"/>
                        <w:tab w:pos="5796" w:val="left" w:leader="none"/>
                        <w:tab w:pos="6320" w:val="left" w:leader="none"/>
                        <w:tab w:pos="6843" w:val="left" w:leader="none"/>
                        <w:tab w:pos="7366" w:val="left" w:leader="none"/>
                      </w:tabs>
                      <w:spacing w:before="13"/>
                      <w:ind w:left="216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1"/>
                        <w:w w:val="145"/>
                        <w:sz w:val="9"/>
                      </w:rPr>
                      <w:t>1980</w:t>
                    </w:r>
                    <w:r>
                      <w:rPr>
                        <w:rFonts w:ascii="Arial MT"/>
                        <w:spacing w:val="62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62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5"/>
                        <w:sz w:val="9"/>
                      </w:rPr>
                      <w:t>1985</w:t>
                    </w:r>
                    <w:r>
                      <w:rPr>
                        <w:rFonts w:ascii="Arial MT"/>
                        <w:spacing w:val="62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63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5"/>
                        <w:sz w:val="9"/>
                      </w:rPr>
                      <w:t>1990</w:t>
                    </w:r>
                    <w:r>
                      <w:rPr>
                        <w:rFonts w:ascii="Arial MT"/>
                        <w:spacing w:val="61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62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5"/>
                        <w:sz w:val="9"/>
                      </w:rPr>
                      <w:t>1995</w:t>
                    </w:r>
                    <w:r>
                      <w:rPr>
                        <w:rFonts w:ascii="Arial MT"/>
                        <w:spacing w:val="62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62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5"/>
                        <w:sz w:val="9"/>
                      </w:rPr>
                      <w:t>2000</w:t>
                    </w:r>
                    <w:r>
                      <w:rPr>
                        <w:rFonts w:ascii="Arial MT"/>
                        <w:spacing w:val="62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63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5"/>
                        <w:sz w:val="9"/>
                      </w:rPr>
                      <w:t>2005</w:t>
                    </w:r>
                    <w:r>
                      <w:rPr>
                        <w:rFonts w:ascii="Arial MT"/>
                        <w:spacing w:val="62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62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9"/>
                      </w:rPr>
                      <w:t>2010</w:t>
                      <w:tab/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</w:r>
                  </w:p>
                </w:txbxContent>
              </v:textbox>
              <w10:wrap type="none"/>
            </v:shape>
            <v:shape style="position:absolute;left:3824;top:8609;width:6128;height:109" type="#_x0000_t202" filled="false" stroked="false">
              <v:textbox inset="0,0,0,0">
                <w:txbxContent>
                  <w:p>
                    <w:pPr>
                      <w:tabs>
                        <w:tab w:pos="1579" w:val="left" w:leader="none"/>
                        <w:tab w:pos="4197" w:val="left" w:leader="none"/>
                        <w:tab w:pos="512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3"/>
                        <w:w w:val="145"/>
                        <w:sz w:val="9"/>
                      </w:rPr>
                      <w:t>Recursive</w:t>
                    </w:r>
                    <w:r>
                      <w:rPr>
                        <w:rFonts w:ascii="Arial MT" w:hAnsi="Arial MT"/>
                        <w:spacing w:val="-4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 w:hAnsi="Arial MT"/>
                        <w:spacing w:val="-3"/>
                        <w:w w:val="145"/>
                        <w:sz w:val="9"/>
                      </w:rPr>
                      <w:t>Residuals</w:t>
                      <w:tab/>
                    </w:r>
                    <w:r>
                      <w:rPr>
                        <w:rFonts w:ascii="Arial MT" w:hAnsi="Arial MT"/>
                        <w:w w:val="145"/>
                        <w:sz w:val="9"/>
                      </w:rPr>
                      <w:t>±</w:t>
                    </w:r>
                    <w:r>
                      <w:rPr>
                        <w:rFonts w:ascii="Arial MT" w:hAnsi="Arial MT"/>
                        <w:spacing w:val="-9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 w:hAnsi="Arial MT"/>
                        <w:w w:val="145"/>
                        <w:sz w:val="9"/>
                      </w:rPr>
                      <w:t>2</w:t>
                    </w:r>
                    <w:r>
                      <w:rPr>
                        <w:rFonts w:ascii="Arial MT" w:hAnsi="Arial MT"/>
                        <w:spacing w:val="-4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 MT" w:hAnsi="Arial MT"/>
                        <w:w w:val="145"/>
                        <w:sz w:val="9"/>
                      </w:rPr>
                      <w:t>S.E.</w:t>
                      <w:tab/>
                    </w:r>
                    <w:r>
                      <w:rPr>
                        <w:rFonts w:ascii="Arial MT" w:hAnsi="Arial MT"/>
                        <w:w w:val="155"/>
                        <w:sz w:val="9"/>
                      </w:rPr>
                      <w:t>CUSUM</w:t>
                      <w:tab/>
                    </w:r>
                    <w:r>
                      <w:rPr>
                        <w:rFonts w:ascii="Arial MT" w:hAnsi="Arial MT"/>
                        <w:spacing w:val="-1"/>
                        <w:w w:val="155"/>
                        <w:sz w:val="9"/>
                      </w:rPr>
                      <w:t>5%</w:t>
                    </w:r>
                    <w:r>
                      <w:rPr>
                        <w:rFonts w:ascii="Arial MT" w:hAnsi="Arial MT"/>
                        <w:spacing w:val="-8"/>
                        <w:w w:val="155"/>
                        <w:sz w:val="9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55"/>
                        <w:sz w:val="9"/>
                      </w:rPr>
                      <w:t>Significance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2.139999pt;margin-top:90.860001pt;width:108.26pt;height:.72pt;mso-position-horizontal-relative:page;mso-position-vertical-relative:page;z-index:-25233920" filled="true" fillcolor="#000000" stroked="false">
            <v:fill type="solid"/>
            <w10:wrap type="none"/>
          </v:rect>
        </w:pict>
      </w:r>
      <w:r>
        <w:rPr/>
        <w:pict>
          <v:rect style="position:absolute;margin-left:162.139999pt;margin-top:199.220001pt;width:108.26pt;height:.72pt;mso-position-horizontal-relative:page;mso-position-vertical-relative:page;z-index:-25233408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pict>
          <v:group style="position:absolute;margin-left:106.610001pt;margin-top:16.673779pt;width:438.4pt;height:165.85pt;mso-position-horizontal-relative:page;mso-position-vertical-relative:paragraph;z-index:-15532544;mso-wrap-distance-left:0;mso-wrap-distance-right:0" coordorigin="2132,333" coordsize="8768,3317">
            <v:rect style="position:absolute;left:2132;top:333;width:8768;height:3317" filled="true" fillcolor="#ffffff" stroked="false">
              <v:fill type="solid"/>
            </v:rect>
            <v:shape style="position:absolute;left:2577;top:569;width:4359;height:2376" coordorigin="2577,569" coordsize="4359,2376" path="m2577,2885l2641,2885m2577,955l2641,955m2577,569l2641,569m2679,2897l2679,2921m2804,2897l2804,2921m2929,2897l2929,2921m3054,2897l3054,2921m3181,2897l3181,2921m3306,2897l3306,2921m3431,2897l3431,2921m3556,2897l3556,2921m3681,2897l3681,2921m3806,2897l3806,2921m3930,2897l3930,2921m4057,2897l4057,2921m4182,2897l4182,2921m4307,2897l4307,2921m4432,2897l4432,2921m4557,2897l4557,2921m4682,2897l4682,2921m4807,2897l4807,2921m4933,2897l4933,2921m5058,2897l5058,2921m5183,2897l5183,2921m5308,2897l5308,2921m5433,2897l5433,2921m5558,2897l5558,2921m5683,2897l5683,2921m5810,2897l5810,2921m5935,2897l5935,2921m6060,2897l6060,2921m6185,2897l6185,2921m6310,2897l6310,2921m6434,2897l6434,2921m6559,2897l6559,2921m6686,2897l6686,2921m6811,2897l6811,2921m6936,2897l6936,2921m3181,2897l3181,2944m3806,2897l3806,2944m4432,2897l4432,2944m5058,2897l5058,2944m5683,2897l5683,2944m6310,2897l6310,2944m6936,2897l6936,2944e" filled="false" stroked="true" strokeweight=".388964pt" strokecolor="#000000">
              <v:path arrowok="t"/>
              <v:stroke dashstyle="solid"/>
            </v:shape>
            <v:shape style="position:absolute;left:2577;top:1022;width:4458;height:1638" type="#_x0000_t75" stroked="false">
              <v:imagedata r:id="rId53" o:title=""/>
            </v:shape>
            <v:line style="position:absolute" from="5417,1008" to="5417,1048" stroked="true" strokeweight=".613376pt" strokecolor="#ff0000">
              <v:stroke dashstyle="solid"/>
            </v:line>
            <v:line style="position:absolute" from="5419,961" to="5419,1001" stroked="true" strokeweight=".596333pt" strokecolor="#ff0000">
              <v:stroke dashstyle="solid"/>
            </v:line>
            <v:line style="position:absolute" from="5420,913" to="5420,954" stroked="true" strokeweight=".602016pt" strokecolor="#ff0000">
              <v:stroke dashstyle="solid"/>
            </v:line>
            <v:line style="position:absolute" from="5422,866" to="5422,907" stroked="true" strokeweight=".607701pt" strokecolor="#ff0000">
              <v:stroke dashstyle="solid"/>
            </v:line>
            <v:line style="position:absolute" from="5425,819" to="5425,859" stroked="true" strokeweight=".596334pt" strokecolor="#ff0000">
              <v:stroke dashstyle="solid"/>
            </v:line>
            <v:line style="position:absolute" from="5426,771" to="5426,812" stroked="true" strokeweight=".61338pt" strokecolor="#ff0000">
              <v:stroke dashstyle="solid"/>
            </v:line>
            <v:line style="position:absolute" from="5428,724" to="5428,765" stroked="true" strokeweight=".602018pt" strokecolor="#ff0000">
              <v:stroke dashstyle="solid"/>
            </v:line>
            <v:line style="position:absolute" from="5429,677" to="5429,717" stroked="true" strokeweight=".596335pt" strokecolor="#ff0000">
              <v:stroke dashstyle="solid"/>
            </v:line>
            <v:line style="position:absolute" from="5432,665" to="5432,635" stroked="true" strokeweight=".527956pt" strokecolor="#ff0000">
              <v:stroke dashstyle="solid"/>
            </v:line>
            <v:line style="position:absolute" from="5434,644" to="5434,685" stroked="true" strokeweight=".596333pt" strokecolor="#ff0000">
              <v:stroke dashstyle="solid"/>
            </v:line>
            <v:line style="position:absolute" from="5437,692" to="5437,732" stroked="true" strokeweight=".602016pt" strokecolor="#ff0000">
              <v:stroke dashstyle="solid"/>
            </v:line>
            <v:line style="position:absolute" from="5440,739" to="5440,780" stroked="true" strokeweight=".613379pt" strokecolor="#ff0000">
              <v:stroke dashstyle="solid"/>
            </v:line>
            <v:line style="position:absolute" from="5443,786" to="5443,827" stroked="true" strokeweight=".596335pt" strokecolor="#ff0000">
              <v:stroke dashstyle="solid"/>
            </v:line>
            <v:line style="position:absolute" from="5446,834" to="5446,874" stroked="true" strokeweight=".602018pt" strokecolor="#ff0000">
              <v:stroke dashstyle="solid"/>
            </v:line>
            <v:line style="position:absolute" from="5448,881" to="5448,922" stroked="true" strokeweight=".681365pt" strokecolor="#ff0000">
              <v:stroke dashstyle="solid"/>
            </v:line>
            <v:line style="position:absolute" from="5451,928" to="5451,969" stroked="true" strokeweight=".602019pt" strokecolor="#ff0000">
              <v:stroke dashstyle="solid"/>
            </v:line>
            <v:line style="position:absolute" from="5454,976" to="5454,1016" stroked="true" strokeweight=".613379pt" strokecolor="#ff0000">
              <v:stroke dashstyle="solid"/>
            </v:line>
            <v:rect style="position:absolute;left:2641;top:563;width:4399;height:2330" filled="false" stroked="true" strokeweight=".581259pt" strokecolor="#000000">
              <v:stroke dashstyle="solid"/>
            </v:rect>
            <v:line style="position:absolute" from="4379,3333" to="4697,3333" stroked="true" strokeweight=".371518pt" strokecolor="#0000ff">
              <v:stroke dashstyle="solid"/>
            </v:line>
            <v:rect style="position:absolute;left:7306;top:569;width:3399;height:2138" filled="false" stroked="true" strokeweight=".359676pt" strokecolor="#000000">
              <v:stroke dashstyle="solid"/>
            </v:rect>
            <v:shape style="position:absolute;left:7397;top:617;width:2810;height:780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449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Forecast: DLIMF</w:t>
                    </w:r>
                    <w:r>
                      <w:rPr>
                        <w:rFonts w:ascii="Arial MT"/>
                        <w:spacing w:val="-49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140"/>
                        <w:sz w:val="13"/>
                      </w:rPr>
                      <w:t>Actual:</w:t>
                    </w:r>
                    <w:r>
                      <w:rPr>
                        <w:rFonts w:ascii="Arial MT"/>
                        <w:spacing w:val="-10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40"/>
                        <w:sz w:val="13"/>
                      </w:rPr>
                      <w:t>DLIM</w:t>
                    </w:r>
                  </w:p>
                  <w:p>
                    <w:pPr>
                      <w:spacing w:line="254" w:lineRule="auto" w:before="0"/>
                      <w:ind w:left="0" w:right="18" w:firstLine="0"/>
                      <w:jc w:val="both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Forecast</w:t>
                    </w:r>
                    <w:r>
                      <w:rPr>
                        <w:rFonts w:ascii="Arial MT"/>
                        <w:spacing w:val="-10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3"/>
                      </w:rPr>
                      <w:t>sample:</w:t>
                    </w:r>
                    <w:r>
                      <w:rPr>
                        <w:rFonts w:ascii="Arial MT"/>
                        <w:spacing w:val="-9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3"/>
                      </w:rPr>
                      <w:t>1975Q1</w:t>
                    </w: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3"/>
                      </w:rPr>
                      <w:t>2010Q4</w:t>
                    </w:r>
                    <w:r>
                      <w:rPr>
                        <w:rFonts w:ascii="Arial MT"/>
                        <w:spacing w:val="-49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Adjusted </w:t>
                    </w:r>
                    <w:r>
                      <w:rPr>
                        <w:rFonts w:ascii="Arial MT"/>
                        <w:w w:val="140"/>
                        <w:sz w:val="13"/>
                      </w:rPr>
                      <w:t>sample: 1975Q4 2010Q4</w:t>
                    </w:r>
                    <w:r>
                      <w:rPr>
                        <w:rFonts w:ascii="Arial MT"/>
                        <w:spacing w:val="-48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40"/>
                        <w:sz w:val="13"/>
                      </w:rPr>
                      <w:t>Included</w:t>
                    </w:r>
                    <w:r>
                      <w:rPr>
                        <w:rFonts w:ascii="Arial MT"/>
                        <w:spacing w:val="-5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observations:</w:t>
                    </w:r>
                    <w:r>
                      <w:rPr>
                        <w:rFonts w:ascii="Arial MT"/>
                        <w:spacing w:val="-12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141</w:t>
                    </w:r>
                  </w:p>
                </w:txbxContent>
              </v:textbox>
              <w10:wrap type="none"/>
            </v:shape>
            <v:shape style="position:absolute;left:7397;top:1569;width:2081;height:1098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3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Root</w:t>
                    </w:r>
                    <w:r>
                      <w:rPr>
                        <w:rFonts w:ascii="Arial MT"/>
                        <w:spacing w:val="-10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Mean</w:t>
                    </w:r>
                    <w:r>
                      <w:rPr>
                        <w:rFonts w:ascii="Arial MT"/>
                        <w:spacing w:val="-14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Squared</w:t>
                    </w:r>
                    <w:r>
                      <w:rPr>
                        <w:rFonts w:ascii="Arial MT"/>
                        <w:spacing w:val="-5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3"/>
                      </w:rPr>
                      <w:t>Error</w:t>
                    </w:r>
                    <w:r>
                      <w:rPr>
                        <w:rFonts w:ascii="Arial MT"/>
                        <w:spacing w:val="-47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40"/>
                        <w:sz w:val="13"/>
                      </w:rPr>
                      <w:t>Mean </w:t>
                    </w: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Absolute Error</w:t>
                    </w:r>
                    <w:r>
                      <w:rPr>
                        <w:rFonts w:ascii="Arial MT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Mean Abs. </w:t>
                    </w:r>
                    <w:r>
                      <w:rPr>
                        <w:rFonts w:ascii="Arial MT"/>
                        <w:w w:val="140"/>
                        <w:sz w:val="13"/>
                      </w:rPr>
                      <w:t>Percent Error</w:t>
                    </w:r>
                    <w:r>
                      <w:rPr>
                        <w:rFonts w:ascii="Arial MT"/>
                        <w:spacing w:val="1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140"/>
                        <w:sz w:val="13"/>
                      </w:rPr>
                      <w:t>Theil</w:t>
                    </w:r>
                    <w:r>
                      <w:rPr>
                        <w:rFonts w:ascii="Arial MT"/>
                        <w:spacing w:val="-7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140"/>
                        <w:sz w:val="13"/>
                      </w:rPr>
                      <w:t>Inequality</w:t>
                    </w:r>
                    <w:r>
                      <w:rPr>
                        <w:rFonts w:ascii="Arial MT"/>
                        <w:spacing w:val="-13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40"/>
                        <w:sz w:val="13"/>
                      </w:rPr>
                      <w:t>Coefficient</w:t>
                    </w:r>
                  </w:p>
                  <w:p>
                    <w:pPr>
                      <w:spacing w:line="254" w:lineRule="auto" w:before="0"/>
                      <w:ind w:left="228" w:right="41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Bias Proportion</w:t>
                    </w:r>
                    <w:r>
                      <w:rPr>
                        <w:rFonts w:ascii="Arial MT"/>
                        <w:spacing w:val="1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3"/>
                      </w:rPr>
                      <w:t>Variance Proportion</w:t>
                    </w:r>
                    <w:r>
                      <w:rPr>
                        <w:rFonts w:ascii="Arial MT"/>
                        <w:spacing w:val="1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40"/>
                        <w:sz w:val="13"/>
                      </w:rPr>
                      <w:t>Covariance</w:t>
                    </w:r>
                    <w:r>
                      <w:rPr>
                        <w:rFonts w:ascii="Arial MT"/>
                        <w:spacing w:val="-9"/>
                        <w:w w:val="14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40"/>
                        <w:sz w:val="13"/>
                      </w:rPr>
                      <w:t>Proportion</w:t>
                    </w:r>
                  </w:p>
                </w:txbxContent>
              </v:textbox>
              <w10:wrap type="none"/>
            </v:shape>
            <v:shape style="position:absolute;left:9862;top:1569;width:785;height:1098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0.415966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0.216822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915069.1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0.450693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0.000000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0.175477</w:t>
                    </w:r>
                  </w:p>
                  <w:p>
                    <w:pPr>
                      <w:spacing w:line="149" w:lineRule="exact" w:before="1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0.824523</w:t>
                    </w:r>
                  </w:p>
                </w:txbxContent>
              </v:textbox>
              <w10:wrap type="none"/>
            </v:shape>
            <v:shape style="position:absolute;left:2379;top:474;width:179;height:2461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56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4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56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3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56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56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1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56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0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-1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2974;top:2947;width:4186;height:144" type="#_x0000_t202" filled="false" stroked="false">
              <v:textbox inset="0,0,0,0">
                <w:txbxContent>
                  <w:p>
                    <w:pPr>
                      <w:tabs>
                        <w:tab w:pos="624" w:val="left" w:leader="none"/>
                        <w:tab w:pos="1251" w:val="left" w:leader="none"/>
                        <w:tab w:pos="1877" w:val="left" w:leader="none"/>
                        <w:tab w:pos="2502" w:val="left" w:leader="none"/>
                        <w:tab w:pos="3128" w:val="left" w:leader="none"/>
                        <w:tab w:pos="3754" w:val="left" w:leader="none"/>
                      </w:tabs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</w:r>
                  </w:p>
                </w:txbxContent>
              </v:textbox>
              <w10:wrap type="none"/>
            </v:shape>
            <v:shape style="position:absolute;left:4297;top:3222;width:1072;height:207" type="#_x0000_t202" filled="false" stroked="true" strokeweight=".330753pt" strokecolor="#000000">
              <v:textbox inset="0,0,0,0">
                <w:txbxContent>
                  <w:p>
                    <w:pPr>
                      <w:spacing w:before="26"/>
                      <w:ind w:left="467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0"/>
                        <w:sz w:val="13"/>
                      </w:rPr>
                      <w:t>DLIMF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240" w:h="15840"/>
          <w:pgMar w:header="0" w:footer="1015" w:top="1440" w:bottom="1200" w:left="1320" w:right="440"/>
        </w:sectPr>
      </w:pPr>
    </w:p>
    <w:p>
      <w:pPr>
        <w:pStyle w:val="Heading2"/>
        <w:spacing w:line="276" w:lineRule="auto"/>
        <w:ind w:right="1249"/>
      </w:pPr>
      <w:r>
        <w:rPr/>
        <w:pict>
          <v:shape style="position:absolute;margin-left:116.940002pt;margin-top:430.349976pt;width:168pt;height:164.2pt;mso-position-horizontal-relative:page;mso-position-vertical-relative:page;z-index:-25232896" coordorigin="2339,8607" coordsize="3360,3284" path="m3369,11673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3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55.630005pt;margin-top:397.679993pt;width:55.75pt;height:63.15pt;mso-position-horizontal-relative:page;mso-position-vertical-relative:page;z-index:-25232384" coordorigin="5113,7954" coordsize="1115,1263" path="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129.333130pt;width:237.4pt;height:230.5pt;mso-position-horizontal-relative:page;mso-position-vertical-relative:paragraph;z-index:-25231872" coordorigin="5626,2587" coordsize="4748,4610" path="m6603,7139l6602,7136,6600,7129,6597,7126,6306,6835,6268,6763,6080,6402,6004,6257,5993,6237,5983,6225,5979,6222,5969,6220,5964,6222,5957,6226,5944,6237,5928,6252,5923,6259,5916,6268,5914,6273,5912,6281,5912,6284,5917,6297,5921,6302,6079,6595,6115,6659,6178,6767,6177,6768,6002,6668,5929,6629,5783,6551,5705,6508,5696,6505,5692,6504,5684,6505,5680,6507,5675,6509,5670,6513,5658,6523,5642,6539,5632,6551,5628,6557,5626,6562,5628,6572,5631,6576,5637,6581,5643,6586,5664,6598,5736,6636,6098,6824,6242,6900,6532,7190,6536,7193,6542,7196,6546,7196,6550,7195,6554,7194,6564,7189,6569,7185,6575,7181,6587,7168,6592,7163,6595,7158,6600,7148,6601,7143,6603,7139xm7274,6407l7274,6370,7268,6332,7258,6292,7242,6251,7223,6209,7199,6165,7170,6121,7161,6109,7161,6380,7157,6406,7148,6431,7133,6455,7115,6477,7093,6496,7070,6510,7045,6520,7020,6524,6994,6525,6967,6523,6939,6516,6909,6505,6880,6491,6849,6473,6818,6453,6786,6429,6753,6403,6720,6374,6687,6343,6652,6309,6622,6278,6594,6247,6567,6215,6541,6183,6518,6152,6499,6121,6482,6090,6469,6059,6458,6030,6451,6001,6447,5973,6447,5946,6451,5919,6460,5895,6474,5871,6493,5850,6515,5831,6537,5817,6562,5807,6587,5802,6614,5802,6641,5805,6669,5811,6698,5822,6728,5836,6759,5853,6790,5873,6821,5896,6854,5922,6886,5950,6919,5980,6952,6012,6983,6044,7012,6076,7039,6108,7064,6140,7088,6172,7108,6203,7125,6234,7139,6264,7150,6295,7157,6324,7161,6352,7161,6380,7161,6109,7137,6076,7100,6030,7059,5984,7013,5937,6966,5891,6921,5850,6876,5814,6860,5802,6832,5781,6790,5753,6749,5730,6709,5712,6670,5698,6633,5689,6596,5684,6562,5685,6528,5689,6496,5698,6465,5713,6436,5732,6408,5757,6383,5786,6363,5816,6348,5849,6339,5883,6335,5919,6336,5956,6341,5994,6351,6034,6366,6075,6386,6117,6409,6160,6438,6204,6470,6249,6507,6294,6547,6339,6591,6385,6639,6431,6685,6473,6731,6510,6775,6543,6817,6572,6859,6595,6899,6614,6938,6628,6975,6638,7011,6643,7046,6642,7080,6638,7113,6629,7144,6614,7173,6595,7201,6570,7227,6541,7237,6525,7247,6510,7261,6478,7270,6443,7274,6407xm7572,6170l7572,6166,7569,6159,7567,6156,7239,5828,7409,5658,7410,5655,7410,5648,7409,5644,7404,5635,7400,5629,7385,5611,7369,5595,7361,5588,7355,5583,7349,5578,7344,5575,7336,5571,7332,5570,7328,5570,7325,5570,7323,5571,7153,5742,6887,5477,7068,5296,7069,5294,7069,5291,7068,5283,7063,5274,7059,5268,7043,5250,7035,5242,7027,5234,7008,5217,6993,5208,6989,5208,6982,5207,6980,5208,6753,5435,6750,5444,6752,5454,6754,5464,6759,5474,6767,5484,6777,5495,7502,6221,7505,6223,7513,6226,7516,6226,7520,6225,7524,6224,7534,6219,7539,6215,7545,6211,7557,6198,7565,6188,7570,6178,7571,6174,7572,6170xm8101,5641l8100,5638,8098,5631,8095,5628,8092,5625,7340,4873,7337,4870,7330,4868,7327,4867,7322,4868,7318,4869,7309,4874,7298,4882,7286,4895,7278,4905,7273,4915,7272,4919,7271,4923,7271,4927,7274,4934,7276,4938,8031,5692,8034,5695,8041,5698,8044,5698,8048,5696,8053,5696,8063,5690,8073,5682,8086,5670,8090,5664,8094,5659,8099,5650,8099,5645,8101,5641xm8456,5214l8456,5197,8454,5181,8451,5164,8448,5147,8442,5129,8436,5112,8428,5094,8419,5076,8409,5058,8397,5039,8383,5021,8369,5003,8352,4985,8346,4977,8346,5180,8345,5194,8343,5207,8340,5220,8335,5232,8328,5244,8320,5256,8310,5267,8216,5361,7941,5086,8018,5009,8024,5003,8034,4995,8049,4983,8063,4974,8078,4967,8093,4963,8108,4961,8124,4960,8139,4961,8155,4965,8171,4970,8188,4977,8204,4986,8221,4996,8238,5009,8255,5024,8273,5040,8288,5057,8301,5073,8313,5089,8323,5105,8331,5120,8337,5136,8341,5151,8344,5165,8346,5180,8346,4977,8335,4966,8328,4960,8315,4947,8295,4930,8275,4915,8254,4901,8234,4889,8214,4878,8195,4870,8190,4868,8176,4863,8158,4858,8139,4855,8122,4853,8105,4853,8089,4854,8073,4858,8059,4862,8046,4868,8048,4855,8048,4841,8048,4827,8046,4812,8043,4798,8039,4783,8034,4768,8028,4753,8021,4739,8013,4724,8004,4710,7993,4695,7982,4680,7971,4666,7964,4658,7964,4852,7964,4866,7962,4879,7958,4892,7952,4905,7943,4917,7932,4930,7859,5003,7606,4751,7673,4684,7686,4671,7700,4661,7713,4653,7726,4648,7739,4645,7751,4643,7765,4643,7777,4644,7791,4648,7805,4653,7818,4660,7832,4668,7846,4678,7860,4689,7874,4701,7888,4714,7900,4727,7912,4741,7923,4754,7933,4768,7941,4783,7949,4797,7955,4811,7959,4824,7962,4838,7964,4852,7964,4658,7958,4652,7950,4643,7945,4638,7921,4616,7898,4596,7875,4579,7852,4564,7829,4552,7806,4542,7784,4534,7762,4530,7740,4528,7719,4529,7698,4532,7677,4538,7656,4547,7635,4560,7614,4576,7592,4596,7481,4707,7476,4712,7473,4721,7474,4732,7477,4741,7482,4751,7489,4762,7500,4773,8195,5469,8206,5479,8217,5487,8227,5491,8236,5493,8247,5495,8256,5492,8387,5361,8389,5360,8402,5346,8413,5332,8423,5318,8431,5304,8438,5290,8444,5276,8449,5261,8452,5245,8454,5230,8456,5214xm9020,4728l9019,4724,9017,4719,9014,4713,9009,4708,9003,4703,8995,4697,8984,4690,8889,4629,8609,4453,8609,4564,8440,4733,8179,4328,8135,4261,8135,4260,8135,4260,8609,4564,8609,4453,8304,4260,8097,4129,8091,4126,8086,4123,8081,4121,8076,4120,8072,4121,8062,4124,8056,4127,8050,4132,8044,4136,8038,4143,8030,4151,8022,4158,8016,4164,8012,4170,8008,4175,8005,4181,8004,4186,8002,4191,8001,4195,8003,4199,8004,4204,8007,4209,8010,4214,8053,4283,8370,4785,8571,5102,8578,5113,8584,5121,8589,5126,8594,5132,8600,5135,8604,5137,8609,5138,8614,5136,8620,5133,8625,5129,8632,5123,8646,5109,8651,5103,8655,5098,8659,5093,8661,5088,8661,5083,8662,5079,8662,5076,8660,5071,8659,5068,8657,5064,8654,5059,8617,5003,8506,4832,8605,4733,8709,4629,8940,4778,8945,4780,8949,4782,8953,4783,8956,4785,8960,4785,8963,4783,8968,4783,8972,4781,8978,4777,8983,4773,9005,4751,9010,4744,9014,4739,9018,4734,9020,4728xm9323,4313l9321,4275,9314,4235,9302,4194,9285,4152,9263,4108,9236,4062,9213,4029,9213,4277,9212,4304,9207,4330,9198,4355,9186,4380,9168,4404,9147,4427,9080,4494,8473,3887,8539,3821,8565,3798,8590,3781,8617,3768,8644,3761,8672,3758,8700,3759,8729,3763,8759,3770,8790,3781,8821,3796,8852,3813,8884,3834,8916,3858,8948,3884,8980,3912,9012,3942,9049,3981,9083,4019,9113,4055,9138,4090,9160,4124,9178,4157,9193,4189,9203,4219,9210,4249,9213,4277,9213,4029,9204,4016,9166,3969,9124,3920,9076,3870,9032,3828,8988,3790,8947,3758,8945,3756,8902,3727,8860,3702,8819,3681,8778,3665,8738,3652,8700,3645,8662,3642,8625,3644,8590,3650,8555,3662,8522,3679,8489,3702,8457,3731,8341,3847,8338,3856,8339,3867,8342,3876,8347,3886,8354,3896,8365,3908,9060,4603,9072,4614,9082,4621,9092,4626,9101,4628,9112,4630,9121,4627,9230,4518,9252,4494,9258,4487,9282,4454,9300,4420,9313,4386,9320,4350,9323,4313xm9940,3808l9939,3803,9937,3798,9934,3793,9929,3788,9923,3783,9916,3777,9905,3770,9810,3709,9529,3533,9529,3644,9360,3813,9099,3408,9055,3340,9055,3340,9529,3644,9529,3533,9224,3340,9017,3209,9011,3206,9006,3203,8996,3200,8992,3201,8987,3202,8982,3204,8976,3207,8971,3212,8965,3216,8958,3223,8950,3231,8936,3244,8928,3255,8925,3261,8924,3266,8922,3271,8922,3275,8923,3279,8924,3284,8927,3289,8930,3294,9017,3431,9289,3863,9318,3909,9491,4182,9498,4193,9504,4201,9509,4206,9514,4212,9520,4215,9529,4218,9534,4216,9540,4213,9545,4209,9552,4203,9566,4189,9571,4183,9575,4178,9579,4173,9581,4168,9581,4163,9582,4159,9582,4155,9580,4151,9579,4148,9577,4144,9574,4139,9426,3912,9525,3813,9629,3709,9860,3857,9865,3860,9869,3862,9873,3863,9876,3864,9880,3865,9883,3863,9888,3863,9892,3861,9898,3856,9903,3853,9925,3831,9930,3824,9934,3819,9938,3814,9940,3808xm10374,3365l10372,3352,10369,3345,10362,3330,10356,3322,10348,3315,9625,2592,9622,2590,9615,2587,9611,2587,9602,2588,9598,2590,9593,2594,9582,2602,9570,2614,9559,2629,9556,2634,9555,2643,9556,2647,9557,2650,9558,2654,9560,2657,10011,3107,10186,3280,10186,3280,10037,3203,9959,3162,9898,3133,9801,3084,9573,2970,9421,2894,9397,2883,9378,2874,9366,2870,9356,2867,9347,2867,9338,2867,9330,2867,9316,2874,9309,2879,9263,2925,9260,2935,9261,2947,9264,2957,9269,2967,9277,2978,9287,2990,10010,3713,10013,3715,10016,3716,10020,3718,10024,3718,10028,3717,10032,3717,10042,3711,10052,3704,10065,3691,10073,3680,10076,3675,10078,3671,10078,3666,10080,3662,10080,3659,10078,3654,10077,3651,10075,3648,9533,3107,9421,2997,9422,2997,9468,3022,9565,3073,9686,3134,10057,3318,10204,3392,10233,3406,10272,3422,10285,3425,10295,3426,10305,3427,10314,3426,10321,3423,10329,3421,10336,3416,10367,3384,10370,3380,10373,3370,10374,3365xe" filled="true" fillcolor="#ffc000" stroked="false">
            <v:path arrowok="t"/>
            <v:fill opacity="32896f" type="solid"/>
            <w10:wrap type="none"/>
          </v:shape>
        </w:pict>
      </w:r>
      <w:r>
        <w:rPr/>
        <w:t>Appendix</w:t>
      </w:r>
      <w:r>
        <w:rPr>
          <w:spacing w:val="-1"/>
        </w:rPr>
        <w:t> </w:t>
      </w:r>
      <w:r>
        <w:rPr/>
        <w:t>17:</w:t>
      </w:r>
      <w:r>
        <w:rPr>
          <w:spacing w:val="-3"/>
        </w:rPr>
        <w:t> </w:t>
      </w:r>
      <w:r>
        <w:rPr/>
        <w:t>Unrestricted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/>
        <w:t>Correction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Foreign</w:t>
      </w:r>
      <w:r>
        <w:rPr>
          <w:spacing w:val="-1"/>
        </w:rPr>
        <w:t> </w:t>
      </w:r>
      <w:r>
        <w:rPr/>
        <w:t>Direct</w:t>
      </w:r>
      <w:r>
        <w:rPr>
          <w:spacing w:val="-1"/>
        </w:rPr>
        <w:t> </w:t>
      </w:r>
      <w:r>
        <w:rPr/>
        <w:t>Investment</w:t>
      </w:r>
      <w:r>
        <w:rPr>
          <w:spacing w:val="-57"/>
        </w:rPr>
        <w:t> </w:t>
      </w:r>
      <w:r>
        <w:rPr/>
        <w:t>Equation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9"/>
        <w:gridCol w:w="1535"/>
        <w:gridCol w:w="1262"/>
        <w:gridCol w:w="1342"/>
        <w:gridCol w:w="1153"/>
      </w:tblGrid>
      <w:tr>
        <w:trPr>
          <w:trHeight w:val="270" w:hRule="atLeast"/>
        </w:trPr>
        <w:tc>
          <w:tcPr>
            <w:tcW w:w="7531" w:type="dxa"/>
            <w:gridSpan w:val="5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DLFDI</w:t>
            </w:r>
          </w:p>
        </w:tc>
      </w:tr>
      <w:tr>
        <w:trPr>
          <w:trHeight w:val="275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531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(adjusted):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378" w:hRule="atLeast"/>
        </w:trPr>
        <w:tc>
          <w:tcPr>
            <w:tcW w:w="7531" w:type="dxa"/>
            <w:gridSpan w:val="5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 adjustments</w:t>
            </w:r>
          </w:p>
        </w:tc>
      </w:tr>
      <w:tr>
        <w:trPr>
          <w:trHeight w:val="487" w:hRule="atLeast"/>
        </w:trPr>
        <w:tc>
          <w:tcPr>
            <w:tcW w:w="223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66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53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6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35" w:right="112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4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115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479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>
        <w:trPr>
          <w:trHeight w:val="380" w:hRule="atLeast"/>
        </w:trPr>
        <w:tc>
          <w:tcPr>
            <w:tcW w:w="223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2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3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-133.9727</w:t>
            </w:r>
          </w:p>
        </w:tc>
        <w:tc>
          <w:tcPr>
            <w:tcW w:w="126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296.3174</w:t>
            </w:r>
          </w:p>
        </w:tc>
        <w:tc>
          <w:tcPr>
            <w:tcW w:w="13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-0.452126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0.6649</w:t>
            </w:r>
          </w:p>
        </w:tc>
      </w:tr>
      <w:tr>
        <w:trPr>
          <w:trHeight w:val="275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DLFDI(-1)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-0.878867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0.216683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-4.056008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0.0048</w:t>
            </w:r>
          </w:p>
        </w:tc>
      </w:tr>
      <w:tr>
        <w:trPr>
          <w:trHeight w:val="276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DLREER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71.08220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25.94615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2.739605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0.0289</w:t>
            </w:r>
          </w:p>
        </w:tc>
      </w:tr>
      <w:tr>
        <w:trPr>
          <w:trHeight w:val="276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LGGDP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58.43941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15.94244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3.665650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0.0080</w:t>
            </w:r>
          </w:p>
        </w:tc>
      </w:tr>
      <w:tr>
        <w:trPr>
          <w:trHeight w:val="275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LGGDP(-1)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-15.86568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4.230619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-3.750203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0.0072</w:t>
            </w:r>
          </w:p>
        </w:tc>
      </w:tr>
      <w:tr>
        <w:trPr>
          <w:trHeight w:val="276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LOPEN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112.4008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28.59384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3.930944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0.0057</w:t>
            </w:r>
          </w:p>
        </w:tc>
      </w:tr>
      <w:tr>
        <w:trPr>
          <w:trHeight w:val="275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LOPEN(-1)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35.92566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23.20858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1.547947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0.1656</w:t>
            </w:r>
          </w:p>
        </w:tc>
      </w:tr>
      <w:tr>
        <w:trPr>
          <w:trHeight w:val="275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DTBR(-1)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4.801689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1.273898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3.769288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0.0070</w:t>
            </w:r>
          </w:p>
        </w:tc>
      </w:tr>
      <w:tr>
        <w:trPr>
          <w:trHeight w:val="276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LFDI(-1)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53.52748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37.12741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1.441724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0.1926</w:t>
            </w:r>
          </w:p>
        </w:tc>
      </w:tr>
      <w:tr>
        <w:trPr>
          <w:trHeight w:val="275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LREER(-1)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-30.91103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20.46321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-1.510566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0.1746</w:t>
            </w:r>
          </w:p>
        </w:tc>
      </w:tr>
      <w:tr>
        <w:trPr>
          <w:trHeight w:val="381" w:hRule="atLeast"/>
        </w:trPr>
        <w:tc>
          <w:tcPr>
            <w:tcW w:w="223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TBR(-1)</w:t>
            </w:r>
          </w:p>
        </w:tc>
        <w:tc>
          <w:tcPr>
            <w:tcW w:w="153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-3.029355</w:t>
            </w:r>
          </w:p>
        </w:tc>
        <w:tc>
          <w:tcPr>
            <w:tcW w:w="126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35" w:right="67"/>
              <w:jc w:val="center"/>
              <w:rPr>
                <w:sz w:val="24"/>
              </w:rPr>
            </w:pPr>
            <w:r>
              <w:rPr>
                <w:sz w:val="24"/>
              </w:rPr>
              <w:t>0.799399</w:t>
            </w:r>
          </w:p>
        </w:tc>
        <w:tc>
          <w:tcPr>
            <w:tcW w:w="13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-3.789541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0.0068</w:t>
            </w:r>
          </w:p>
        </w:tc>
      </w:tr>
      <w:tr>
        <w:trPr>
          <w:trHeight w:val="380" w:hRule="atLeast"/>
        </w:trPr>
        <w:tc>
          <w:tcPr>
            <w:tcW w:w="223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28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53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0.976066</w:t>
            </w:r>
          </w:p>
        </w:tc>
        <w:tc>
          <w:tcPr>
            <w:tcW w:w="260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left="1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99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11.78230</w:t>
            </w:r>
          </w:p>
        </w:tc>
      </w:tr>
      <w:tr>
        <w:trPr>
          <w:trHeight w:val="275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0.941875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49.06898</w:t>
            </w:r>
          </w:p>
        </w:tc>
      </w:tr>
      <w:tr>
        <w:trPr>
          <w:trHeight w:val="276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11.83013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8.056936</w:t>
            </w:r>
          </w:p>
        </w:tc>
      </w:tr>
      <w:tr>
        <w:trPr>
          <w:trHeight w:val="276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979.6633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8.601052</w:t>
            </w:r>
          </w:p>
        </w:tc>
      </w:tr>
      <w:tr>
        <w:trPr>
          <w:trHeight w:val="276" w:hRule="atLeast"/>
        </w:trPr>
        <w:tc>
          <w:tcPr>
            <w:tcW w:w="2239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-61.51243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123" w:right="126"/>
              <w:jc w:val="center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3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28.54720</w:t>
            </w:r>
          </w:p>
        </w:tc>
      </w:tr>
      <w:tr>
        <w:trPr>
          <w:trHeight w:val="381" w:hRule="atLeast"/>
        </w:trPr>
        <w:tc>
          <w:tcPr>
            <w:tcW w:w="223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53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2.394553</w:t>
            </w:r>
          </w:p>
        </w:tc>
        <w:tc>
          <w:tcPr>
            <w:tcW w:w="260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0.000099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before="79"/>
        <w:ind w:left="811" w:right="0" w:firstLine="0"/>
        <w:jc w:val="left"/>
        <w:rPr>
          <w:b/>
          <w:sz w:val="24"/>
        </w:rPr>
      </w:pPr>
      <w:r>
        <w:rPr>
          <w:b/>
          <w:sz w:val="24"/>
        </w:rPr>
        <w:t>Appendix 18: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Diagnostic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Foreign Direct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Investment Equation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spacing w:before="0"/>
      </w:pPr>
      <w:r>
        <w:rPr/>
        <w:t>A:</w:t>
      </w:r>
      <w:r>
        <w:rPr>
          <w:spacing w:val="-3"/>
        </w:rPr>
        <w:t> </w:t>
      </w:r>
      <w:r>
        <w:rPr/>
        <w:t>Residual</w:t>
      </w:r>
      <w:r>
        <w:rPr>
          <w:spacing w:val="-1"/>
        </w:rPr>
        <w:t> </w:t>
      </w:r>
      <w:r>
        <w:rPr/>
        <w:t>Tests</w:t>
      </w:r>
    </w:p>
    <w:p>
      <w:pPr>
        <w:spacing w:line="274" w:lineRule="exact" w:before="0"/>
        <w:ind w:left="811" w:right="0" w:firstLine="0"/>
        <w:jc w:val="left"/>
        <w:rPr>
          <w:b/>
          <w:sz w:val="24"/>
        </w:rPr>
      </w:pPr>
      <w:r>
        <w:rPr>
          <w:b/>
          <w:sz w:val="24"/>
        </w:rPr>
        <w:t>A1: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Correlogram-Q-Statistics</w:t>
      </w:r>
    </w:p>
    <w:p>
      <w:pPr>
        <w:pStyle w:val="BodyText"/>
        <w:spacing w:line="274" w:lineRule="exact"/>
        <w:ind w:left="871"/>
      </w:pPr>
      <w:r>
        <w:rPr/>
        <w:t>Sample:</w:t>
      </w:r>
      <w:r>
        <w:rPr>
          <w:spacing w:val="-1"/>
        </w:rPr>
        <w:t> </w:t>
      </w:r>
      <w:r>
        <w:rPr/>
        <w:t>1978</w:t>
      </w:r>
      <w:r>
        <w:rPr>
          <w:spacing w:val="-1"/>
        </w:rPr>
        <w:t> </w:t>
      </w:r>
      <w:r>
        <w:rPr/>
        <w:t>2010</w:t>
      </w:r>
    </w:p>
    <w:p>
      <w:pPr>
        <w:pStyle w:val="BodyText"/>
        <w:ind w:left="871"/>
      </w:pPr>
      <w:r>
        <w:rPr/>
        <w:pict>
          <v:shape style="position:absolute;margin-left:108.140007pt;margin-top:19.24308pt;width:408.1pt;height:2.2pt;mso-position-horizontal-relative:page;mso-position-vertical-relative:paragraph;z-index:-15528448;mso-wrap-distance-left:0;mso-wrap-distance-right:0" coordorigin="2163,385" coordsize="8162,44" path="m4095,414l2163,414,2163,428,4095,428,4095,414xm4095,385l2163,385,2163,399,4095,399,4095,385xm6488,414l6407,414,6140,414,6059,414,4177,414,4095,414,4095,428,4177,428,6059,428,6140,428,6407,428,6488,428,6488,414xm6488,385l6407,385,6140,385,6059,385,4177,385,4095,385,4095,399,4177,399,6059,399,6140,399,6407,399,6488,399,6488,385xm9333,414l8334,414,8253,414,7434,414,7353,414,7353,414,6488,414,6488,428,7353,428,7353,428,7434,428,8253,428,8334,428,9333,428,9333,414xm9333,385l8334,385,8253,385,7434,385,7353,385,7353,385,6488,385,6488,399,7353,399,7353,399,7434,399,8253,399,8334,399,9333,399,9333,385xm10324,414l9415,414,9333,414,9333,428,9415,428,10324,428,10324,414xm10324,385l9415,385,9333,385,9333,399,9415,399,10324,399,10324,385xe" filled="true" fillcolor="#000000" stroked="false">
            <v:path arrowok="t"/>
            <v:fill type="solid"/>
            <w10:wrap type="topAndBottom"/>
          </v:shape>
        </w:pict>
      </w:r>
      <w:r>
        <w:rPr/>
        <w:t>Included</w:t>
      </w:r>
      <w:r>
        <w:rPr>
          <w:spacing w:val="-2"/>
        </w:rPr>
        <w:t> </w:t>
      </w:r>
      <w:r>
        <w:rPr/>
        <w:t>observations:</w:t>
      </w:r>
      <w:r>
        <w:rPr>
          <w:spacing w:val="-2"/>
        </w:rPr>
        <w:t> </w:t>
      </w:r>
      <w:r>
        <w:rPr/>
        <w:t>18</w:t>
      </w:r>
    </w:p>
    <w:p>
      <w:pPr>
        <w:pStyle w:val="BodyText"/>
        <w:tabs>
          <w:tab w:pos="2866" w:val="left" w:leader="none"/>
          <w:tab w:pos="5360" w:val="left" w:leader="none"/>
          <w:tab w:pos="6277" w:val="left" w:leader="none"/>
          <w:tab w:pos="7186" w:val="left" w:leader="none"/>
          <w:tab w:pos="8310" w:val="left" w:leader="none"/>
        </w:tabs>
        <w:spacing w:before="73" w:after="109"/>
        <w:ind w:left="1049"/>
      </w:pPr>
      <w:r>
        <w:rPr/>
        <w:t>Autocorrelation</w:t>
        <w:tab/>
        <w:t>Partial</w:t>
      </w:r>
      <w:r>
        <w:rPr>
          <w:spacing w:val="-1"/>
        </w:rPr>
        <w:t> </w:t>
      </w:r>
      <w:r>
        <w:rPr/>
        <w:t>Correlation</w:t>
        <w:tab/>
        <w:t>AC</w:t>
        <w:tab/>
        <w:t>PAC</w:t>
        <w:tab/>
        <w:t>Q-Stat</w:t>
        <w:tab/>
        <w:t>Prob</w:t>
      </w:r>
    </w:p>
    <w:p>
      <w:pPr>
        <w:pStyle w:val="BodyText"/>
        <w:spacing w:line="43" w:lineRule="exact"/>
        <w:ind w:left="842"/>
        <w:rPr>
          <w:sz w:val="4"/>
        </w:rPr>
      </w:pPr>
      <w:r>
        <w:rPr>
          <w:position w:val="0"/>
          <w:sz w:val="4"/>
        </w:rPr>
        <w:pict>
          <v:group style="width:408.1pt;height:2.2pt;mso-position-horizontal-relative:char;mso-position-vertical-relative:line" coordorigin="0,0" coordsize="8162,44">
            <v:shape style="position:absolute;left:0;top:0;width:8162;height:44" coordorigin="0,0" coordsize="8162,44" path="m1932,29l0,29,0,43,1932,43,1932,29xm1932,0l0,0,0,14,1932,14,1932,0xm4325,29l4244,29,3977,29,3896,29,2014,29,1933,29,1933,43,2014,43,3896,43,3977,43,4244,43,4325,43,4325,29xm4325,0l4244,0,3977,0,3896,0,2014,0,1933,0,1933,14,2014,14,3896,14,3977,14,4244,14,4325,14,4325,0xm7170,29l6171,29,6090,29,5271,29,5190,29,5190,29,4325,29,4325,43,5190,43,5190,43,5271,43,6090,43,6171,43,7170,43,7170,29xm7170,0l6171,0,6090,0,5271,0,5190,0,5190,0,4325,0,4325,14,5190,14,5190,14,5271,14,6090,14,6171,14,7170,14,7170,0xm8162,29l7252,29,7170,29,7170,43,7252,43,8162,43,8162,29xm8162,0l7252,0,7170,0,7170,14,7252,14,8162,14,816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4"/>
        </w:rPr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842"/>
        <w:rPr>
          <w:sz w:val="20"/>
        </w:rPr>
      </w:pPr>
      <w:r>
        <w:rPr>
          <w:sz w:val="20"/>
        </w:rPr>
        <w:pict>
          <v:group style="width:410.55pt;height:239.7pt;mso-position-horizontal-relative:char;mso-position-vertical-relative:line" coordorigin="0,0" coordsize="8211,4794">
            <v:shape style="position:absolute;left:3463;top:97;width:4748;height:4610" coordorigin="3463,97" coordsize="4748,4610" path="m4440,4650l4439,4647,4437,4639,4434,4636,4144,4346,4106,4274,3917,3912,3841,3768,3830,3748,3821,3736,3816,3733,3806,3730,3801,3732,3795,3736,3781,3747,3766,3763,3761,3769,3754,3779,3751,3783,3750,3791,3749,3795,3755,3808,3758,3812,3916,4106,3952,4170,4015,4278,4014,4279,3839,4179,3766,4139,3620,4061,3542,4019,3534,4015,3530,4014,3521,4016,3517,4017,3512,4020,3507,4024,3495,4033,3479,4049,3469,4062,3465,4067,3463,4072,3466,4082,3468,4087,3475,4091,3480,4096,3501,4108,3573,4146,3935,4334,4079,4410,4370,4701,4373,4703,4380,4706,4383,4706,4387,4705,4392,4704,4401,4699,4406,4696,4412,4691,4424,4679,4429,4673,4432,4668,4438,4658,4438,4654,4440,4650xm5111,3918l5111,3881,5105,3842,5095,3802,5080,3761,5060,3719,5036,3676,5007,3631,4998,3619,4998,3890,4994,3917,4985,3942,4971,3965,4952,3987,4930,4006,4907,4021,4883,4030,4857,4035,4831,4036,4804,4033,4776,4026,4747,4015,4717,4001,4687,3984,4655,3963,4623,3939,4591,3913,4557,3884,4524,3853,4490,3820,4459,3789,4431,3757,4404,3726,4378,3694,4356,3662,4336,3631,4320,3600,4306,3570,4295,3540,4288,3512,4285,3484,4285,3456,4289,3430,4297,3405,4311,3382,4330,3360,4352,3341,4375,3327,4399,3318,4424,3313,4451,3312,4478,3315,4506,3322,4535,3332,4565,3346,4596,3363,4627,3383,4659,3406,4691,3432,4724,3461,4756,3491,4789,3523,4820,3554,4849,3586,4876,3618,4902,3650,4925,3682,4945,3714,4962,3745,4976,3775,4987,3805,4994,3834,4998,3863,4998,3890,4998,3619,4974,3586,4937,3540,4896,3494,4851,3447,4804,3402,4758,3361,4713,3324,4697,3312,4670,3292,4627,3264,4586,3241,4546,3222,4507,3208,4470,3199,4434,3195,4399,3195,4365,3199,4333,3209,4302,3223,4273,3243,4246,3267,4220,3296,4200,3327,4186,3359,4176,3393,4172,3429,4173,3466,4178,3505,4188,3544,4203,3585,4223,3627,4247,3670,4275,3714,4307,3759,4344,3804,4384,3850,4428,3896,4476,3942,4523,3983,4568,4021,4612,4054,4655,4082,4696,4105,4736,4124,4775,4139,4812,4148,4848,4153,4883,4153,4917,4148,4950,4139,4981,4125,5011,4105,5039,4080,5064,4051,5074,4036,5084,4021,5098,3988,5107,3953,5111,3918xm5409,3680l5409,3677,5406,3669,5404,3666,5076,3338,5247,3168,5247,3165,5247,3158,5246,3154,5241,3145,5238,3139,5222,3121,5206,3105,5198,3098,5192,3093,5186,3088,5181,3085,5173,3081,5169,3080,5166,3080,5163,3081,5160,3082,4990,3252,4725,2987,4905,2807,4906,2805,4906,2801,4905,2794,4900,2785,4897,2779,4880,2760,4872,2752,4865,2745,4845,2728,4830,2719,4826,2718,4819,2718,4817,2719,4590,2945,4588,2954,4589,2965,4591,2974,4596,2984,4604,2995,4614,3006,5339,3731,5342,3733,5350,3736,5353,3737,5357,3735,5361,3734,5371,3729,5376,3726,5382,3721,5394,3709,5403,3698,5407,3688,5408,3684,5409,3680xm5938,3152l5938,3148,5935,3141,5932,3138,5929,3135,5178,2383,5174,2381,5167,2378,5164,2378,5159,2379,5156,2380,5146,2385,5135,2393,5123,2405,5116,2415,5110,2425,5109,2429,5108,2433,5108,2437,5111,2444,5113,2448,5868,3203,5871,3205,5878,3208,5882,3208,5885,3207,5890,3206,5900,3201,5910,3193,5923,3180,5928,3174,5931,3170,5936,3160,5937,3156,5938,3152xm6293,2724l6293,2708,6291,2691,6289,2674,6285,2657,6280,2640,6273,2622,6266,2605,6256,2587,6246,2568,6234,2550,6221,2532,6206,2513,6190,2495,6183,2488,6183,2690,6182,2705,6181,2718,6177,2730,6172,2743,6166,2755,6157,2766,6147,2777,6053,2871,5778,2596,5856,2519,5861,2514,5871,2505,5886,2494,5901,2484,5915,2477,5930,2473,5946,2471,5961,2470,5977,2472,5992,2475,6008,2480,6025,2487,6041,2496,6058,2507,6075,2519,6092,2534,6110,2551,6125,2567,6139,2583,6150,2599,6160,2615,6168,2631,6174,2646,6178,2661,6181,2676,6183,2690,6183,2488,6172,2476,6165,2470,6152,2458,6132,2440,6112,2425,6091,2411,6071,2399,6051,2389,6032,2380,6027,2379,6013,2374,5995,2369,5977,2365,5959,2363,5942,2363,5926,2365,5911,2368,5896,2373,5883,2379,5885,2365,5886,2351,5885,2337,5883,2323,5880,2308,5876,2294,5871,2279,5865,2264,5858,2249,5850,2235,5841,2220,5831,2205,5820,2191,5808,2176,5801,2169,5801,2363,5801,2376,5799,2389,5796,2402,5789,2415,5781,2428,5769,2441,5696,2514,5443,2261,5510,2194,5524,2182,5537,2172,5550,2164,5563,2158,5576,2155,5589,2153,5602,2153,5615,2155,5628,2159,5642,2164,5655,2171,5669,2179,5683,2188,5697,2199,5711,2211,5725,2225,5738,2238,5749,2251,5760,2264,5770,2278,5779,2293,5786,2307,5792,2321,5796,2335,5799,2349,5801,2363,5801,2169,5795,2162,5787,2153,5782,2148,5759,2126,5735,2106,5712,2089,5689,2074,5666,2062,5644,2052,5621,2045,5599,2040,5577,2038,5556,2039,5535,2042,5514,2048,5493,2057,5472,2070,5451,2086,5429,2107,5319,2217,5313,2223,5310,2231,5311,2242,5314,2252,5319,2261,5326,2272,5337,2283,6032,2979,6044,2989,6054,2997,6064,3002,6073,3004,6084,3005,6093,3003,6225,2871,6226,2870,6239,2856,6250,2842,6260,2828,6268,2814,6275,2801,6281,2786,6286,2771,6289,2756,6292,2740,6293,2724xm6857,2239l6856,2234,6855,2229,6852,2224,6846,2218,6840,2213,6833,2208,6822,2200,6726,2140,6446,1963,6446,2074,6277,2244,6016,1838,5972,1771,5972,1771,5973,1771,6446,2074,6446,1963,6141,1771,5934,1639,5928,1636,5923,1633,5918,1632,5913,1631,5909,1631,5899,1634,5893,1637,5888,1642,5882,1647,5875,1653,5867,1661,5859,1669,5853,1675,5849,1680,5845,1686,5842,1691,5841,1696,5839,1701,5839,1705,5840,1710,5841,1715,5844,1719,5847,1725,5890,1793,6207,2295,6408,2613,6415,2624,6421,2631,6426,2637,6431,2643,6437,2646,6442,2647,6447,2648,6451,2647,6457,2643,6463,2639,6469,2634,6484,2619,6489,2613,6492,2608,6496,2603,6498,2599,6498,2594,6499,2590,6499,2586,6497,2582,6496,2578,6494,2574,6491,2570,6454,2513,6343,2342,6442,2244,6546,2140,6777,2288,6782,2291,6786,2292,6790,2294,6793,2295,6797,2295,6801,2294,6805,2293,6809,2291,6815,2287,6820,2283,6842,2261,6847,2255,6851,2249,6855,2244,6857,2239xm7161,1824l7159,1785,7152,1745,7139,1704,7123,1662,7100,1618,7073,1573,7050,1540,7050,1788,7049,1815,7044,1840,7036,1866,7023,1890,7006,1914,6984,1938,6918,2004,6311,1397,6376,1331,6402,1309,6428,1291,6454,1279,6481,1271,6509,1269,6537,1269,6567,1273,6596,1281,6627,1292,6658,1306,6689,1323,6721,1344,6753,1368,6785,1394,6817,1422,6849,1452,6887,1492,6920,1529,6950,1566,6976,1600,6998,1635,7016,1667,7030,1699,7040,1730,7047,1759,7050,1788,7050,1540,7041,1527,7003,1479,6961,1430,6913,1380,6869,1338,6825,1301,6785,1269,6782,1267,6740,1237,6698,1212,6656,1192,6615,1175,6576,1163,6537,1155,6499,1153,6462,1155,6427,1161,6392,1172,6359,1190,6326,1213,6294,1242,6178,1357,6175,1366,6177,1377,6179,1386,6184,1396,6192,1407,6202,1418,6897,2114,6909,2124,6919,2132,6929,2136,6938,2138,6950,2140,6958,2138,7067,2029,7089,2004,7096,1997,7119,1964,7137,1931,7150,1896,7158,1861,7161,1824xm7777,1319l7776,1314,7775,1309,7772,1304,7766,1298,7760,1293,7753,1288,7742,1280,7647,1220,7367,1043,7367,1154,7197,1324,6936,918,6892,851,6893,850,7367,1154,7367,1043,7061,850,6854,719,6849,716,6843,713,6833,711,6829,711,6824,713,6819,714,6814,717,6808,722,6802,726,6795,733,6787,741,6774,755,6765,766,6762,771,6761,776,6759,781,6759,785,6760,790,6761,795,6764,799,6767,805,6854,941,7127,1374,7155,1420,7328,1693,7336,1703,7341,1711,7347,1717,7351,1723,7357,1726,7367,1728,7371,1727,7377,1723,7383,1719,7389,1714,7404,1699,7409,1693,7413,1688,7416,1683,7418,1679,7419,1674,7419,1670,7419,1666,7417,1662,7416,1658,7414,1654,7411,1650,7263,1422,7362,1324,7466,1220,7698,1368,7702,1370,7707,1372,7710,1374,7714,1375,7717,1375,7721,1374,7725,1373,7729,1371,7735,1367,7740,1363,7762,1341,7767,1335,7772,1329,7775,1324,7777,1319xm8211,875l8209,863,8207,856,8199,841,8193,833,8185,825,7462,102,7459,100,7452,98,7448,97,7440,98,7435,101,7430,104,7420,112,7408,124,7396,140,7394,144,7392,153,7393,157,7394,161,7396,164,7398,167,7848,617,8023,790,8023,791,7874,713,7796,673,7735,643,7638,595,7410,481,7258,404,7235,393,7215,385,7203,381,7193,378,7184,377,7176,377,7167,378,7154,384,7146,389,7100,435,7098,445,7099,457,7101,467,7106,477,7114,489,7124,500,7847,1223,7850,1225,7853,1226,7858,1228,7861,1229,7865,1227,7869,1227,7879,1222,7889,1214,7902,1201,7910,1190,7913,1185,7915,1181,7916,1177,7917,1173,7917,1169,7915,1165,7914,1161,7912,1159,7371,618,7258,508,7259,507,7305,533,7402,584,7523,644,7894,828,8042,902,8071,916,8110,932,8122,935,8132,936,8142,938,8152,937,8158,934,8166,931,8173,926,8205,895,8207,891,8210,880,8211,875xe" filled="true" fillcolor="#ffc000" stroked="false">
              <v:path arrowok="t"/>
              <v:fill opacity="32896f" type="solid"/>
            </v:shape>
            <v:shape style="position:absolute;left:0;top:4220;width:8162;height:574" coordorigin="0,4220" coordsize="8162,574" path="m2165,4779l0,4779,0,4794,2165,4794,2165,4779xm2165,4750l0,4750,0,4765,2165,4765,2165,4750xm2165,4249l0,4249,0,4263,2165,4263,2165,4249xm2165,4220l0,4220,0,4234,2165,4234,2165,4220xm5744,4779l4518,4779,4475,4779,4475,4779,3248,4779,3205,4779,2209,4779,2165,4779,2165,4794,2209,4794,3205,4794,3248,4794,4475,4794,4475,4794,4518,4794,5744,4794,5744,4779xm5744,4750l4518,4750,4475,4750,4475,4750,3248,4750,3205,4750,2209,4750,2165,4750,2165,4765,2209,4765,3205,4765,3248,4765,4475,4765,4475,4765,4518,4765,5744,4765,5744,4750xm5744,4249l4556,4249,4475,4249,4475,4249,3286,4249,3205,4249,2247,4249,2165,4249,2165,4263,2247,4263,3205,4263,3286,4263,4475,4263,4475,4263,4556,4263,5744,4263,5744,4249xm5744,4220l4556,4220,4475,4220,4475,4220,3286,4220,3205,4220,2247,4220,2165,4220,2165,4234,2247,4234,3205,4234,3286,4234,4475,4234,4475,4234,4556,4234,5744,4234,5744,4220xm8161,4779l5787,4779,5744,4779,5744,4794,5787,4794,8161,4794,8161,4779xm8161,4750l5787,4750,5744,4750,5744,4765,5787,4765,8161,4765,8161,4750xm8161,4249l5826,4249,5744,4249,5744,4263,5826,4263,8161,4263,8161,4249xm8161,4220l5826,4220,5744,4220,5744,4234,5826,4234,8161,4234,8161,4220xe" filled="true" fillcolor="#000000" stroked="false">
              <v:path arrowok="t"/>
              <v:fill type="solid"/>
            </v:shape>
            <v:shape style="position:absolute;left:268;top:0;width:896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*|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**|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1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|** .</w:t>
                    </w:r>
                    <w:r>
                      <w:rPr>
                        <w:spacing w:val="1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2203;top:0;width:896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*|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**|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1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|** .</w:t>
                    </w:r>
                    <w:r>
                      <w:rPr>
                        <w:spacing w:val="1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268;top:828;width:3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*|</w:t>
                    </w:r>
                  </w:p>
                </w:txbxContent>
              </v:textbox>
              <w10:wrap type="none"/>
            </v:shape>
            <v:shape style="position:absolute;left:268;top:1104;width:311;height:219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734;top:828;width:371;height:247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2203;top:828;width:836;height:247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*|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|*</w:t>
                    </w:r>
                    <w:r>
                      <w:rPr>
                        <w:spacing w:val="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*|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|*</w:t>
                    </w:r>
                    <w:r>
                      <w:rPr>
                        <w:spacing w:val="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*|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|*</w:t>
                    </w:r>
                    <w:r>
                      <w:rPr>
                        <w:spacing w:val="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*|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  <w:r>
                      <w:rPr>
                        <w:spacing w:val="1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*|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  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3963;top:0;width:2106;height:3303" type="#_x0000_t202" filled="false" stroked="false">
              <v:textbox inset="0,0,0,0">
                <w:txbxContent>
                  <w:p>
                    <w:pPr>
                      <w:tabs>
                        <w:tab w:pos="566" w:val="left" w:leader="none"/>
                        <w:tab w:pos="1466" w:val="left" w:leader="none"/>
                      </w:tabs>
                      <w:spacing w:line="266" w:lineRule="exact"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  <w:tab/>
                      <w:t>-0.074</w:t>
                      <w:tab/>
                      <w:t>-0.074</w:t>
                    </w:r>
                  </w:p>
                  <w:p>
                    <w:pPr>
                      <w:tabs>
                        <w:tab w:pos="566" w:val="left" w:leader="none"/>
                        <w:tab w:pos="1466" w:val="left" w:leader="none"/>
                      </w:tabs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  <w:tab/>
                      <w:t>-0.209</w:t>
                      <w:tab/>
                      <w:t>-0.215</w:t>
                    </w:r>
                  </w:p>
                  <w:p>
                    <w:pPr>
                      <w:tabs>
                        <w:tab w:pos="645" w:val="left" w:leader="none"/>
                        <w:tab w:pos="1545" w:val="left" w:leader="none"/>
                      </w:tabs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  <w:tab/>
                      <w:t>0.260</w:t>
                      <w:tab/>
                      <w:t>0.238</w:t>
                    </w:r>
                  </w:p>
                  <w:p>
                    <w:pPr>
                      <w:tabs>
                        <w:tab w:pos="566" w:val="left" w:leader="none"/>
                        <w:tab w:pos="1466" w:val="left" w:leader="none"/>
                      </w:tabs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  <w:tab/>
                      <w:t>-0.086</w:t>
                      <w:tab/>
                      <w:t>-0.110</w:t>
                    </w:r>
                  </w:p>
                  <w:p>
                    <w:pPr>
                      <w:tabs>
                        <w:tab w:pos="566" w:val="left" w:leader="none"/>
                        <w:tab w:pos="1545" w:val="left" w:leader="none"/>
                      </w:tabs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  <w:tab/>
                      <w:t>-0.001</w:t>
                      <w:tab/>
                      <w:t>0.107</w:t>
                    </w:r>
                  </w:p>
                  <w:p>
                    <w:pPr>
                      <w:tabs>
                        <w:tab w:pos="645" w:val="left" w:leader="none"/>
                        <w:tab w:pos="1466" w:val="left" w:leader="none"/>
                      </w:tabs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  <w:tab/>
                      <w:t>0.002</w:t>
                      <w:tab/>
                      <w:t>-0.114</w:t>
                    </w:r>
                  </w:p>
                  <w:p>
                    <w:pPr>
                      <w:tabs>
                        <w:tab w:pos="566" w:val="left" w:leader="none"/>
                        <w:tab w:pos="1545" w:val="left" w:leader="none"/>
                      </w:tabs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  <w:tab/>
                      <w:t>-0.001</w:t>
                      <w:tab/>
                      <w:t>0.085</w:t>
                    </w:r>
                  </w:p>
                  <w:p>
                    <w:pPr>
                      <w:tabs>
                        <w:tab w:pos="566" w:val="left" w:leader="none"/>
                        <w:tab w:pos="1466" w:val="left" w:leader="none"/>
                      </w:tabs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  <w:tab/>
                      <w:t>-0.011</w:t>
                      <w:tab/>
                      <w:t>-0.088</w:t>
                    </w:r>
                  </w:p>
                  <w:p>
                    <w:pPr>
                      <w:tabs>
                        <w:tab w:pos="645" w:val="left" w:leader="none"/>
                        <w:tab w:pos="1545" w:val="left" w:leader="none"/>
                      </w:tabs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  <w:tab/>
                      <w:t>0.013</w:t>
                      <w:tab/>
                      <w:t>0.086</w:t>
                    </w:r>
                  </w:p>
                  <w:p>
                    <w:pPr>
                      <w:tabs>
                        <w:tab w:pos="645" w:val="left" w:leader="none"/>
                        <w:tab w:pos="146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  <w:tab/>
                      <w:t>0.003</w:t>
                      <w:tab/>
                      <w:t>-0.065</w:t>
                    </w:r>
                  </w:p>
                  <w:p>
                    <w:pPr>
                      <w:tabs>
                        <w:tab w:pos="566" w:val="left" w:leader="none"/>
                        <w:tab w:pos="154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  <w:tab/>
                      <w:t>-0.019</w:t>
                      <w:tab/>
                      <w:t>0.048</w:t>
                    </w:r>
                  </w:p>
                  <w:p>
                    <w:pPr>
                      <w:tabs>
                        <w:tab w:pos="566" w:val="left" w:leader="none"/>
                        <w:tab w:pos="146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  <w:tab/>
                      <w:t>-0.007</w:t>
                      <w:tab/>
                      <w:t>-0.071</w:t>
                    </w:r>
                  </w:p>
                </w:txbxContent>
              </v:textbox>
              <w10:wrap type="none"/>
            </v:shape>
            <v:shape style="position:absolute;left:6469;top:0;width:680;height:330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0.1157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1.0951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2.7230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2.9132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2.9133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2.9134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2.9134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2.9179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2.9249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2.9253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2.9445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2.9476</w:t>
                    </w:r>
                  </w:p>
                </w:txbxContent>
              </v:textbox>
              <w10:wrap type="none"/>
            </v:shape>
            <v:shape style="position:absolute;left:7578;top:0;width:560;height:330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0.734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0.578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0.436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0.572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0.713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0.820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0.893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0.939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0.967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0.983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0.991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0.996</w:t>
                    </w:r>
                  </w:p>
                </w:txbxContent>
              </v:textbox>
              <w10:wrap type="none"/>
            </v:shape>
            <v:shape style="position:absolute;left:28;top:3847;width:50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A2: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Normality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Jarque-Bera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Statistics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Test:</w:t>
                    </w:r>
                  </w:p>
                </w:txbxContent>
              </v:textbox>
              <w10:wrap type="none"/>
            </v:shape>
            <v:shape style="position:absolute;left:28;top:4373;width:9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F-statistic</w:t>
                    </w:r>
                  </w:p>
                </w:txbxContent>
              </v:textbox>
              <w10:wrap type="none"/>
            </v:shape>
            <v:shape style="position:absolute;left:2263;top:4373;width:2300;height:266" type="#_x0000_t202" filled="false" stroked="false">
              <v:textbox inset="0,0,0,0">
                <w:txbxContent>
                  <w:p>
                    <w:pPr>
                      <w:tabs>
                        <w:tab w:pos="120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0.444991</w:t>
                      <w:tab/>
                      <w:t>Probability</w:t>
                    </w:r>
                  </w:p>
                </w:txbxContent>
              </v:textbox>
              <w10:wrap type="none"/>
            </v:shape>
            <v:shape style="position:absolute;left:7220;top:4373;width: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0.800518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spacing w:before="76"/>
        <w:ind w:left="871"/>
      </w:pPr>
      <w:r>
        <w:rPr/>
        <w:pict>
          <v:rect style="position:absolute;margin-left:108.139999pt;margin-top:22.803125pt;width:108.26pt;height:.72pt;mso-position-horizontal-relative:page;mso-position-vertical-relative:paragraph;z-index:-1552691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116.940002pt;margin-top:-36.066895pt;width:194.45pt;height:196.9pt;mso-position-horizontal-relative:page;mso-position-vertical-relative:paragraph;z-index:-25229312" coordorigin="2339,-721" coordsize="3889,3938" path="m3369,2999l3367,2969,3362,2938,3353,2906,3340,2873,3324,2840,3304,2806,3281,2772,3255,2737,3224,2702,3191,2666,2711,2187,2708,2185,2701,2182,2697,2182,2693,2183,2689,2184,2680,2189,2669,2197,2657,2209,2649,2220,2644,2230,2642,2233,2641,2238,2642,2241,2644,2248,2647,2252,3127,2732,3152,2758,3174,2783,3194,2807,3210,2831,3225,2854,3236,2877,3246,2899,3253,2920,3257,2940,3259,2960,3258,2979,3255,2997,3250,3015,3242,3031,3231,3046,3218,3061,3204,3073,3189,3083,3172,3091,3155,3096,3137,3099,3118,3100,3098,3098,3077,3093,3056,3087,3033,3078,3010,3065,2986,3051,2961,3033,2936,3013,2910,2990,2883,2964,2409,2490,2405,2487,2398,2485,2395,2484,2391,2485,2387,2486,2377,2491,2366,2499,2354,2512,2346,2523,2343,2528,2340,2536,2339,2540,2339,2544,2342,2551,2344,2554,2831,3041,2867,3075,2902,3105,2937,3132,2971,3155,3004,3174,3037,3190,3068,3202,3098,3210,3128,3215,3157,3216,3184,3214,3211,3208,3236,3200,3260,3187,3282,3172,3303,3153,3323,3131,3340,3107,3352,3082,3361,3055,3367,3027,3369,2999xm3958,2465l3956,2453,3954,2446,3946,2431,3940,2423,3932,2415,3209,1693,3207,1691,3200,1688,3195,1688,3187,1689,3182,1691,3167,1703,3155,1715,3143,1730,3141,1735,3139,1744,3140,1747,3143,1755,3145,1757,3571,2184,3770,2381,3770,2381,3696,2342,3543,2263,3482,2234,3385,2185,3081,2033,2993,1989,2972,1979,2951,1971,2940,1968,2931,1967,2923,1967,2914,1968,2901,1975,2893,1980,2847,2026,2845,2036,2846,2048,2848,2058,2853,2068,2861,2079,2872,2091,3591,2811,3597,2816,3605,2819,3608,2819,3612,2818,3616,2817,3626,2812,3631,2809,3636,2804,3649,2792,3654,2786,3657,2781,3662,2771,3663,2767,3664,2763,3664,2759,3662,2755,3661,2752,3659,2749,3141,2230,3005,2098,3006,2097,3076,2136,3150,2174,3344,2272,3567,2382,3804,2500,3818,2506,3842,2517,3857,2522,3869,2525,3879,2526,3890,2528,3899,2527,3906,2524,3913,2522,3920,2517,3952,2485,3954,2481,3958,2471,3958,2465xm4162,2265l4162,2262,4159,2255,4157,2251,4154,2248,3402,1497,3399,1494,3391,1491,3388,1491,3384,1492,3376,1495,3370,1498,3360,1506,3348,1518,3340,1529,3335,1539,3333,1542,3332,1547,3332,1551,3335,1558,3337,1561,4092,2316,4095,2319,4102,2321,4106,2322,4109,2320,4114,2319,4124,2314,4135,2306,4147,2294,4155,2283,4160,2273,4161,2269,4162,2265xm4485,1940l4483,1930,4481,1925,4477,1920,4434,1852,3899,1017,3889,1005,3884,1002,3880,1001,3875,1000,3870,1001,3864,1004,3853,1013,3831,1035,3823,1045,3821,1050,3820,1059,3820,1062,3824,1070,3873,1145,4349,1871,4349,1871,4283,1828,3553,1354,3544,1349,3540,1347,3536,1346,3524,1347,3520,1348,3511,1355,3489,1377,3474,1395,3472,1401,3474,1411,3476,1416,3482,1421,3488,1427,3507,1440,3575,1484,4391,2005,4398,2010,4401,2010,4404,2012,4407,2013,4414,2013,4417,2013,4420,2011,4427,2009,4430,2007,4443,1997,4471,1970,4480,1959,4482,1954,4485,1944,4485,1940xm4997,1431l4996,1424,4991,1415,4987,1409,4971,1391,4964,1384,4956,1376,4937,1359,4923,1351,4916,1350,4912,1350,4909,1352,4715,1546,4435,1267,4601,1102,4602,1100,4602,1093,4601,1089,4598,1081,4594,1076,4578,1058,4563,1043,4545,1027,4539,1023,4531,1019,4526,1017,4519,1017,4517,1018,4352,1183,4107,939,4299,746,4300,744,4300,737,4299,733,4295,725,4291,719,4286,713,4275,701,4260,685,4247,674,4236,665,4226,660,4223,659,4215,659,4213,660,3974,899,3972,908,3973,918,3975,928,3980,938,3988,948,3998,960,4694,1655,4705,1666,4716,1673,4725,1678,4734,1680,4746,1682,4754,1679,4996,1438,4997,1435,4997,1431xm5431,997l5430,993,5429,990,5427,987,5424,984,5421,981,5418,977,5413,973,5406,968,5369,945,5185,835,5167,825,5135,806,5118,796,5085,779,5070,771,5056,764,5042,758,5028,753,5015,749,5002,745,4990,742,4981,741,4978,740,4967,739,4956,739,4946,739,4935,741,4940,724,4942,707,4944,690,4945,672,4944,655,4942,637,4938,619,4933,601,4926,583,4918,565,4909,546,4897,527,4884,508,4869,489,4852,470,4848,466,4848,678,4846,692,4843,707,4837,721,4830,735,4820,749,4809,761,4745,825,4483,562,4537,507,4546,498,4555,490,4563,484,4570,478,4579,471,4588,466,4597,463,4619,457,4641,455,4663,458,4685,465,4708,476,4730,491,4753,509,4776,530,4789,544,4802,559,4813,573,4823,588,4831,603,4838,618,4843,633,4846,648,4848,663,4848,678,4848,466,4838,455,4834,451,4813,431,4793,414,4773,398,4752,384,4732,372,4712,362,4691,354,4671,347,4651,342,4631,340,4611,339,4592,340,4573,344,4554,349,4536,356,4517,366,4510,371,4501,377,4492,384,4485,390,4477,397,4469,405,4460,414,4408,465,4356,517,4351,522,4348,531,4349,542,4352,551,4357,561,4364,572,4375,583,5100,1308,5103,1311,5107,1312,5110,1314,5113,1314,5117,1312,5122,1312,5126,1309,5132,1307,5136,1303,5142,1299,5155,1286,5159,1280,5163,1275,5166,1270,5168,1266,5168,1261,5169,1258,5170,1254,5168,1251,5167,1247,5164,1244,4931,1010,4829,908,4851,887,4872,865,4884,855,4896,847,4908,841,4921,837,4934,836,4948,835,4963,837,4978,839,4993,844,5010,849,5026,856,5043,864,5061,874,5079,884,5098,895,5117,906,5289,1010,5346,1045,5352,1049,5357,1052,5362,1053,5366,1055,5370,1056,5375,1055,5380,1055,5384,1053,5389,1049,5394,1046,5400,1041,5414,1027,5419,1020,5423,1015,5427,1010,5429,1006,5431,997xm5698,665l5696,640,5691,614,5683,587,5672,560,5659,532,5642,505,5622,477,5600,450,5574,422,5551,400,5528,381,5505,365,5483,351,5462,340,5441,331,5420,323,5399,317,5379,313,5359,311,5339,310,5320,309,5301,310,5282,312,5246,316,5192,324,5157,329,5140,330,5123,330,5106,329,5089,327,5073,324,5056,319,5039,313,5023,304,5007,294,4990,281,4974,266,4963,254,4953,243,4945,231,4937,219,4930,206,4924,194,4920,182,4917,170,4915,158,4915,146,4916,134,4918,121,4922,110,4928,99,4936,88,4945,78,4957,67,4968,59,4980,52,4993,46,5006,43,5019,40,5031,37,5043,36,5065,34,5095,33,5102,31,5107,27,5107,21,5105,14,5094,0,5084,-12,5057,-40,5046,-49,5034,-58,5027,-62,5014,-67,5008,-68,4998,-68,4984,-67,4973,-65,4963,-63,4941,-58,4930,-54,4919,-50,4909,-45,4898,-39,4888,-33,4878,-26,4870,-19,4861,-11,4846,5,4834,23,4824,41,4816,61,4810,82,4807,103,4806,125,4808,148,4813,171,4820,195,4829,219,4842,243,4857,268,4874,292,4895,317,4918,341,4941,364,4964,383,4987,400,5009,413,5031,424,5052,434,5073,442,5093,448,5113,452,5133,455,5153,457,5172,457,5191,456,5210,455,5246,450,5317,440,5335,438,5352,437,5368,437,5385,437,5401,440,5418,443,5435,448,5451,454,5468,462,5484,473,5501,486,5517,501,5532,517,5545,532,5556,547,5565,563,5573,578,5579,593,5584,608,5587,623,5588,637,5588,652,5586,665,5582,679,5577,692,5571,704,5562,716,5553,726,5538,739,5524,750,5509,758,5493,764,5477,770,5462,774,5448,777,5434,779,5421,780,5409,781,5397,781,5374,780,5365,782,5360,787,5359,790,5359,796,5360,800,5365,809,5369,815,5387,834,5405,852,5413,860,5421,866,5428,871,5436,878,5445,881,5453,883,5460,885,5471,886,5496,884,5508,883,5520,880,5533,877,5546,874,5559,869,5573,863,5586,857,5600,849,5613,840,5626,830,5638,818,5654,800,5668,781,5680,760,5689,738,5695,714,5698,690,5698,665xm5942,485l5942,481,5940,474,5937,471,5934,468,5182,-284,5179,-286,5172,-289,5168,-289,5164,-288,5156,-285,5151,-282,5140,-274,5128,-262,5124,-256,5120,-252,5115,-242,5114,-238,5113,-234,5113,-230,5115,-223,5117,-219,5872,536,5876,538,5883,541,5886,541,5890,540,5894,539,5904,534,5915,526,5927,513,5935,503,5938,497,5940,493,5942,485xm6227,200l6227,197,6224,190,6222,186,5542,-493,5681,-632,5683,-635,5683,-638,5682,-646,5679,-650,5677,-654,5673,-660,5657,-679,5649,-686,5641,-694,5622,-711,5616,-715,5607,-720,5603,-721,5596,-721,5593,-720,5251,-378,5250,-375,5250,-372,5250,-368,5251,-365,5256,-355,5260,-349,5265,-344,5271,-337,5277,-330,5292,-314,5299,-308,5306,-303,5311,-298,5317,-294,5326,-290,5329,-289,5336,-288,5339,-290,5478,-429,6157,251,6161,253,6168,256,6171,256,6175,255,6179,254,6189,249,6200,241,6212,228,6217,223,6220,218,6225,208,6226,204,6227,20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08.139999pt;margin-top:89.763153pt;width:108.26pt;height:.71997pt;mso-position-horizontal-relative:page;mso-position-vertical-relative:paragraph;z-index:-25228800" filled="true" fillcolor="#000000" stroked="false">
            <v:fill type="solid"/>
            <w10:wrap type="none"/>
          </v:rect>
        </w:pict>
      </w:r>
      <w:r>
        <w:rPr/>
        <w:t>A3:</w:t>
      </w:r>
      <w:r>
        <w:rPr>
          <w:spacing w:val="-4"/>
        </w:rPr>
        <w:t> </w:t>
      </w:r>
      <w:r>
        <w:rPr/>
        <w:t>Breusch-Godfrey</w:t>
      </w:r>
      <w:r>
        <w:rPr>
          <w:spacing w:val="-1"/>
        </w:rPr>
        <w:t> </w:t>
      </w:r>
      <w:r>
        <w:rPr/>
        <w:t>Serial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LM</w:t>
      </w:r>
      <w:r>
        <w:rPr>
          <w:spacing w:val="-3"/>
        </w:rPr>
        <w:t> </w:t>
      </w:r>
      <w:r>
        <w:rPr/>
        <w:t>Test:</w:t>
      </w: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2563"/>
        <w:gridCol w:w="2279"/>
      </w:tblGrid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0.460253</w:t>
            </w:r>
          </w:p>
        </w:tc>
        <w:tc>
          <w:tcPr>
            <w:tcW w:w="256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27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0.655432</w:t>
            </w:r>
          </w:p>
        </w:tc>
      </w:tr>
      <w:tr>
        <w:trPr>
          <w:trHeight w:val="378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2.798599</w:t>
            </w:r>
          </w:p>
        </w:tc>
        <w:tc>
          <w:tcPr>
            <w:tcW w:w="256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27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0.246770</w:t>
            </w:r>
          </w:p>
        </w:tc>
      </w:tr>
      <w:tr>
        <w:trPr>
          <w:trHeight w:val="502" w:hRule="atLeast"/>
        </w:trPr>
        <w:tc>
          <w:tcPr>
            <w:tcW w:w="2165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A4: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ARCH Test:</w:t>
            </w:r>
          </w:p>
        </w:tc>
        <w:tc>
          <w:tcPr>
            <w:tcW w:w="115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7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5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98"/>
              <w:rPr>
                <w:sz w:val="24"/>
              </w:rPr>
            </w:pPr>
            <w:r>
              <w:rPr>
                <w:sz w:val="24"/>
              </w:rPr>
              <w:t>0.294533</w:t>
            </w:r>
          </w:p>
        </w:tc>
        <w:tc>
          <w:tcPr>
            <w:tcW w:w="256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27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0.597266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0.335390</w:t>
            </w:r>
          </w:p>
        </w:tc>
        <w:tc>
          <w:tcPr>
            <w:tcW w:w="256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27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0.562502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before="76"/>
        <w:ind w:left="811" w:right="0" w:firstLine="0"/>
        <w:jc w:val="left"/>
        <w:rPr>
          <w:b/>
          <w:sz w:val="24"/>
        </w:rPr>
      </w:pPr>
      <w:r>
        <w:rPr/>
        <w:pict>
          <v:rect style="position:absolute;margin-left:108.139999pt;margin-top:50.423157pt;width:108.26pt;height:.71999pt;mso-position-horizontal-relative:page;mso-position-vertical-relative:paragraph;z-index:-25227264" filled="true" fillcolor="#000000" stroked="false">
            <v:fill type="solid"/>
            <w10:wrap type="none"/>
          </v:rect>
        </w:pict>
      </w:r>
      <w:r>
        <w:rPr/>
        <w:pict>
          <v:group style="position:absolute;margin-left:146.926880pt;margin-top:383.255951pt;width:146.65pt;height:9.75pt;mso-position-horizontal-relative:page;mso-position-vertical-relative:page;z-index:-25225728" coordorigin="2939,7665" coordsize="2933,195">
            <v:rect style="position:absolute;left:2941;top:7668;width:2926;height:189" filled="false" stroked="true" strokeweight=".336054pt" strokecolor="#000000">
              <v:stroke dashstyle="solid"/>
            </v:rect>
            <v:line style="position:absolute" from="3013,7768" to="3290,7768" stroked="true" strokeweight=".390027pt" strokecolor="#0000ff">
              <v:stroke dashstyle="solid"/>
            </v:line>
            <v:shape style="position:absolute;left:4919;top:7768;width:275;height:2" coordorigin="4920,7768" coordsize="275,0" path="m4920,7768l4957,7768m4979,7768l5017,7768m5039,7768l5076,7768m5098,7768l5135,7768m5157,7768l5195,7768e" filled="false" stroked="true" strokeweight=".454851pt" strokecolor="#ff0000">
              <v:path arrowok="t"/>
              <v:stroke dashstyle="solid"/>
            </v:shape>
            <w10:wrap type="none"/>
          </v:group>
        </w:pict>
      </w:r>
      <w:r>
        <w:rPr>
          <w:b/>
          <w:sz w:val="24"/>
        </w:rPr>
        <w:t>B: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Tests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2383"/>
        <w:gridCol w:w="2100"/>
      </w:tblGrid>
      <w:tr>
        <w:trPr>
          <w:trHeight w:val="383" w:hRule="atLeast"/>
        </w:trPr>
        <w:tc>
          <w:tcPr>
            <w:tcW w:w="7801" w:type="dxa"/>
            <w:gridSpan w:val="4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B1: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0.001080</w:t>
            </w:r>
          </w:p>
        </w:tc>
        <w:tc>
          <w:tcPr>
            <w:tcW w:w="238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0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0.974850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0.003240</w:t>
            </w:r>
          </w:p>
        </w:tc>
        <w:tc>
          <w:tcPr>
            <w:tcW w:w="238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210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0.954611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Heading2"/>
        <w:spacing w:before="0"/>
      </w:pPr>
      <w:r>
        <w:rPr/>
        <w:drawing>
          <wp:anchor distT="0" distB="0" distL="0" distR="0" allowOverlap="1" layoutInCell="1" locked="0" behindDoc="1" simplePos="0" relativeHeight="478088704">
            <wp:simplePos x="0" y="0"/>
            <wp:positionH relativeFrom="page">
              <wp:posOffset>1485138</wp:posOffset>
            </wp:positionH>
            <wp:positionV relativeFrom="paragraph">
              <wp:posOffset>295187</wp:posOffset>
            </wp:positionV>
            <wp:extent cx="5102225" cy="5044439"/>
            <wp:effectExtent l="0" t="0" r="0" b="0"/>
            <wp:wrapNone/>
            <wp:docPr id="3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610001pt;margin-top:78.213493pt;width:222.9pt;height:145.450pt;mso-position-horizontal-relative:page;mso-position-vertical-relative:paragraph;z-index:-25226752" coordorigin="2132,1564" coordsize="4458,2909">
            <v:rect style="position:absolute;left:2132;top:1564;width:4458;height:2909" filled="true" fillcolor="#ffffff" stroked="false">
              <v:fill type="solid"/>
            </v:rect>
            <v:shape style="position:absolute;left:2439;top:2081;width:57;height:1793" coordorigin="2439,2082" coordsize="57,1793" path="m2439,3874l2496,3874m2439,3516l2496,3516m2439,3158l2496,3158m2439,2799l2496,2799m2439,2441l2496,2441m2439,2082l2496,2082e" filled="false" stroked="true" strokeweight=".39137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1.958366pt;margin-top:85.662704pt;width:194.5pt;height:110.85pt;mso-position-horizontal-relative:page;mso-position-vertical-relative:paragraph;z-index:-25226240" coordorigin="2439,1713" coordsize="3890,2217">
            <v:shape style="position:absolute;left:2439;top:1723;width:3876;height:1076" coordorigin="2439,1723" coordsize="3876,1076" path="m2439,1723l2496,1723m2502,2799l6315,2799e" filled="false" stroked="true" strokeweight=".391372pt" strokecolor="#000000">
              <v:path arrowok="t"/>
              <v:stroke dashstyle="solid"/>
            </v:shape>
            <v:shape style="position:absolute;left:2502;top:2335;width:3813;height:1223" coordorigin="2502,2336" coordsize="3813,1223" path="m2502,2425l3137,3089,3772,2892,4408,2336,5044,3559,5679,3187,6315,3088e" filled="false" stroked="true" strokeweight=".402116pt" strokecolor="#0000ff">
              <v:path arrowok="t"/>
              <v:stroke dashstyle="solid"/>
            </v:shape>
            <v:shape style="position:absolute;left:2502;top:3534;width:97;height:13" coordorigin="2502,3534" coordsize="97,13" path="m2502,3547l2540,3542m2561,3539l2599,3534e" filled="false" stroked="true" strokeweight=".454851pt" strokecolor="#ff0000">
              <v:path arrowok="t"/>
              <v:stroke dashstyle="solid"/>
            </v:shape>
            <v:line style="position:absolute" from="2617,3530" to="2662,3530" stroked="true" strokeweight=".592270pt" strokecolor="#ff0000">
              <v:stroke dashstyle="solid"/>
            </v:line>
            <v:line style="position:absolute" from="2680,3525" to="2718,3520" stroked="true" strokeweight=".392053pt" strokecolor="#ff0000">
              <v:stroke dashstyle="solid"/>
            </v:line>
            <v:line style="position:absolute" from="2736,3515" to="2781,3515" stroked="true" strokeweight=".592302pt" strokecolor="#ff0000">
              <v:stroke dashstyle="solid"/>
            </v:line>
            <v:shape style="position:absolute;left:2798;top:3482;width:216;height:28" coordorigin="2799,3483" coordsize="216,28" path="m2799,3510l2836,3505m2858,3502l2896,3497m2917,3495l2955,3491m2977,3488l3014,3483e" filled="false" stroked="true" strokeweight=".454851pt" strokecolor="#ff0000">
              <v:path arrowok="t"/>
              <v:stroke dashstyle="solid"/>
            </v:shape>
            <v:line style="position:absolute" from="3032,3478" to="3077,3478" stroked="true" strokeweight=".592303pt" strokecolor="#ff0000">
              <v:stroke dashstyle="solid"/>
            </v:line>
            <v:shape style="position:absolute;left:3095;top:3355;width:1948;height:347" coordorigin="3095,3356" coordsize="1948,347" path="m3095,3473l3133,3468m3153,3464l3190,3459m3211,3455l3248,3448m3269,3444l3306,3438m3327,3434l3364,3428m3385,3424l3422,3418m3444,3414l3480,3407m3502,3403l3538,3397m3560,3393l3596,3387m3618,3383l3654,3376m3676,3372l3712,3366m3734,3363l3770,3356m3792,3359l3828,3366m3850,3368l3886,3375m3908,3379l3944,3385m3966,3389l4002,3396m4024,3399l4060,3405m4082,3409l4118,3416m4140,3420l4176,3426m4198,3429l4234,3436m4256,3440l4292,3446m4314,3450l4350,3457m4372,3461l4408,3466m4427,3474l4461,3487m4480,3494l4514,3506m4533,3513l4567,3526m4586,3533l4620,3545m4639,3553l4672,3565m4692,3572l4725,3585m4745,3592l4778,3604m4797,3612l4831,3624m4850,3631l4884,3644m4903,3651l4937,3663m4956,3670l4990,3683m5009,3691l5043,3702e" filled="false" stroked="true" strokeweight=".454851pt" strokecolor="#ff0000">
              <v:path arrowok="t"/>
              <v:stroke dashstyle="solid"/>
            </v:shape>
            <v:line style="position:absolute" from="5059,3703" to="5104,3703" stroked="true" strokeweight=".444678pt" strokecolor="#ff0000">
              <v:stroke dashstyle="solid"/>
            </v:line>
            <v:line style="position:absolute" from="5118,3701" to="5164,3701" stroked="true" strokeweight=".433718pt" strokecolor="#ff0000">
              <v:stroke dashstyle="solid"/>
            </v:line>
            <v:line style="position:absolute" from="5178,3699" to="5223,3699" stroked="true" strokeweight=".43737pt" strokecolor="#ff0000">
              <v:stroke dashstyle="solid"/>
            </v:line>
            <v:line style="position:absolute" from="5237,3697" to="5282,3697" stroked="true" strokeweight=".433718pt" strokecolor="#ff0000">
              <v:stroke dashstyle="solid"/>
            </v:line>
            <v:line style="position:absolute" from="5297,3695" to="5342,3695" stroked="true" strokeweight=".444682pt" strokecolor="#ff0000">
              <v:stroke dashstyle="solid"/>
            </v:line>
            <v:line style="position:absolute" from="5356,3693" to="5401,3693" stroked="true" strokeweight=".43737pt" strokecolor="#ff0000">
              <v:stroke dashstyle="solid"/>
            </v:line>
            <v:line style="position:absolute" from="5415,3691" to="5460,3691" stroked="true" strokeweight=".433718pt" strokecolor="#ff0000">
              <v:stroke dashstyle="solid"/>
            </v:line>
            <v:line style="position:absolute" from="5474,3689" to="5520,3689" stroked="true" strokeweight=".444679pt" strokecolor="#ff0000">
              <v:stroke dashstyle="solid"/>
            </v:line>
            <v:line style="position:absolute" from="5534,3687" to="5579,3687" stroked="true" strokeweight=".433718pt" strokecolor="#ff0000">
              <v:stroke dashstyle="solid"/>
            </v:line>
            <v:line style="position:absolute" from="5593,3685" to="5638,3685" stroked="true" strokeweight=".437372pt" strokecolor="#ff0000">
              <v:stroke dashstyle="solid"/>
            </v:line>
            <v:line style="position:absolute" from="5652,3665" to="6315,3665" stroked="true" strokeweight=".488676pt" strokecolor="#ff0000">
              <v:stroke dashstyle="shortdash"/>
            </v:line>
            <v:shape style="position:absolute;left:2502;top:3884;width:3813;height:45" coordorigin="2502,3885" coordsize="3813,45" path="m2502,3885l2502,3929m2502,3885l2502,3929m3137,3885l3137,3929m3137,3885l3137,3929m3772,3885l3772,3929m3772,3885l3772,3929m4408,3885l4408,3929m4408,3885l4408,3929m5044,3885l5044,3929m5044,3885l5044,3929m5679,3885l5679,3929m5679,3885l5679,3929m6315,3885l6315,3929m6315,3885l6315,3929e" filled="false" stroked="true" strokeweight=".391372pt" strokecolor="#000000">
              <v:path arrowok="t"/>
              <v:stroke dashstyle="solid"/>
            </v:shape>
            <v:line style="position:absolute" from="2498,2052" to="2544,2052" stroked="true" strokeweight=".592270pt" strokecolor="#ff0000">
              <v:stroke dashstyle="solid"/>
            </v:line>
            <v:line style="position:absolute" from="2561,2057" to="2599,2062" stroked="true" strokeweight=".392053pt" strokecolor="#ff0000">
              <v:stroke dashstyle="solid"/>
            </v:line>
            <v:line style="position:absolute" from="2617,2067" to="2662,2067" stroked="true" strokeweight=".592270pt" strokecolor="#ff0000">
              <v:stroke dashstyle="solid"/>
            </v:line>
            <v:line style="position:absolute" from="2680,2072" to="2718,2077" stroked="true" strokeweight=".392053pt" strokecolor="#ff0000">
              <v:stroke dashstyle="solid"/>
            </v:line>
            <v:line style="position:absolute" from="2736,2082" to="2781,2082" stroked="true" strokeweight=".592302pt" strokecolor="#ff0000">
              <v:stroke dashstyle="solid"/>
            </v:line>
            <v:shape style="position:absolute;left:2798;top:2086;width:216;height:28" coordorigin="2799,2086" coordsize="216,28" path="m2799,2086l2836,2091m2858,2094l2896,2099m2917,2101l2955,2106m2977,2109l3014,2113e" filled="false" stroked="true" strokeweight=".454851pt" strokecolor="#ff0000">
              <v:path arrowok="t"/>
              <v:stroke dashstyle="solid"/>
            </v:shape>
            <v:line style="position:absolute" from="3032,2118" to="3077,2118" stroked="true" strokeweight=".596027pt" strokecolor="#ff0000">
              <v:stroke dashstyle="solid"/>
            </v:line>
            <v:shape style="position:absolute;left:3095;top:1893;width:1948;height:348" coordorigin="3095,1893" coordsize="1948,348" path="m3095,2123l3133,2128m3155,2132l3191,2138m3213,2142l3249,2148m3271,2152l3307,2158m3329,2162l3365,2169m3387,2173l3423,2179m3445,2183l3481,2189m3503,2193l3539,2200m3561,2204l3597,2210m3619,2214l3655,2220m3677,2224l3713,2230m3735,2234l3771,2241m3792,2238l3828,2231m3850,2228l3886,2221m3908,2217l3944,2212m3966,2208l4002,2201m4024,2197l4060,2191m4082,2187l4118,2181m4140,2177l4176,2171m4198,2167l4234,2160m4256,2156l4292,2150m4314,2147l4350,2140m4372,2136l4408,2130m4427,2122l4461,2110m4480,2103l4514,2090m4533,2084l4567,2071m4586,2063l4620,2050m4639,2044l4672,2031m4692,2024l4725,2012m4745,2005l4778,1992m4797,1984l4831,1972m4850,1965l4884,1952m4903,1946l4937,1933m4956,1926l4990,1914m5009,1906l5043,1893e" filled="false" stroked="true" strokeweight=".454851pt" strokecolor="#ff0000">
              <v:path arrowok="t"/>
              <v:stroke dashstyle="solid"/>
            </v:shape>
            <v:line style="position:absolute" from="5060,1894" to="5106,1894" stroked="true" strokeweight=".43737pt" strokecolor="#ff0000">
              <v:stroke dashstyle="solid"/>
            </v:line>
            <v:line style="position:absolute" from="5120,1896" to="5165,1896" stroked="true" strokeweight=".444679pt" strokecolor="#ff0000">
              <v:stroke dashstyle="solid"/>
            </v:line>
            <v:line style="position:absolute" from="5179,1898" to="5224,1898" stroked="true" strokeweight=".433718pt" strokecolor="#ff0000">
              <v:stroke dashstyle="solid"/>
            </v:line>
            <v:line style="position:absolute" from="5239,1900" to="5284,1900" stroked="true" strokeweight=".437372pt" strokecolor="#ff0000">
              <v:stroke dashstyle="solid"/>
            </v:line>
            <v:line style="position:absolute" from="5298,1902" to="5343,1902" stroked="true" strokeweight=".444678pt" strokecolor="#ff0000">
              <v:stroke dashstyle="solid"/>
            </v:line>
            <v:line style="position:absolute" from="5357,1903" to="5402,1903" stroked="true" strokeweight=".433717pt" strokecolor="#ff0000">
              <v:stroke dashstyle="solid"/>
            </v:line>
            <v:line style="position:absolute" from="5416,1905" to="5462,1905" stroked="true" strokeweight=".43737pt" strokecolor="#ff0000">
              <v:stroke dashstyle="solid"/>
            </v:line>
            <v:line style="position:absolute" from="5476,1907" to="5521,1907" stroked="true" strokeweight=".444679pt" strokecolor="#ff0000">
              <v:stroke dashstyle="solid"/>
            </v:line>
            <v:line style="position:absolute" from="5535,1909" to="5580,1909" stroked="true" strokeweight=".43372pt" strokecolor="#ff0000">
              <v:stroke dashstyle="solid"/>
            </v:line>
            <v:line style="position:absolute" from="5594,1911" to="5640,1911" stroked="true" strokeweight=".433718pt" strokecolor="#ff0000">
              <v:stroke dashstyle="solid"/>
            </v:line>
            <v:shape style="position:absolute;left:5657;top:1912;width:38;height:2" coordorigin="5657,1913" coordsize="38,2" path="m5657,1913l5679,1914,5695,1914e" filled="false" stroked="true" strokeweight=".390137pt" strokecolor="#ff0000">
              <v:path arrowok="t"/>
              <v:stroke dashstyle="solid"/>
            </v:shape>
            <v:line style="position:absolute" from="5713,1917" to="5758,1917" stroked="true" strokeweight=".488676pt" strokecolor="#ff0000">
              <v:stroke dashstyle="solid"/>
            </v:line>
            <v:line style="position:absolute" from="5772,1920" to="5818,1920" stroked="true" strokeweight=".536619pt" strokecolor="#ff0000">
              <v:stroke dashstyle="solid"/>
            </v:line>
            <v:line style="position:absolute" from="5832,1923" to="5877,1923" stroked="true" strokeweight=".481335pt" strokecolor="#ff0000">
              <v:stroke dashstyle="solid"/>
            </v:line>
            <v:line style="position:absolute" from="5891,1927" to="5936,1927" stroked="true" strokeweight=".536619pt" strokecolor="#ff0000">
              <v:stroke dashstyle="solid"/>
            </v:line>
            <v:line style="position:absolute" from="5950,1930" to="5995,1930" stroked="true" strokeweight=".492357pt" strokecolor="#ff0000">
              <v:stroke dashstyle="solid"/>
            </v:line>
            <v:line style="position:absolute" from="6010,1934" to="6055,1934" stroked="true" strokeweight=".540318pt" strokecolor="#ff0000">
              <v:stroke dashstyle="solid"/>
            </v:line>
            <v:line style="position:absolute" from="6069,1937" to="6114,1937" stroked="true" strokeweight=".492357pt" strokecolor="#ff0000">
              <v:stroke dashstyle="solid"/>
            </v:line>
            <v:line style="position:absolute" from="6128,1941" to="6173,1941" stroked="true" strokeweight=".481337pt" strokecolor="#ff0000">
              <v:stroke dashstyle="solid"/>
            </v:line>
            <v:line style="position:absolute" from="6187,1944" to="6233,1944" stroked="true" strokeweight=".481329pt" strokecolor="#ff0000">
              <v:stroke dashstyle="solid"/>
            </v:line>
            <v:line style="position:absolute" from="6247,1948" to="6292,1948" stroked="true" strokeweight=".488679pt" strokecolor="#ff0000">
              <v:stroke dashstyle="solid"/>
            </v:line>
            <v:line style="position:absolute" from="6310,1950" to="6315,1950" stroked="true" strokeweight=".393666pt" strokecolor="#ff0000">
              <v:stroke dashstyle="solid"/>
            </v:line>
            <v:rect style="position:absolute;left:2495;top:1718;width:3828;height:2163" filled="false" stroked="true" strokeweight=".51937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40.26001pt;margin-top:78.213638pt;width:237.75pt;height:136.450pt;mso-position-horizontal-relative:page;mso-position-vertical-relative:paragraph;z-index:-25225216" coordorigin="6805,1564" coordsize="4755,2729">
            <v:rect style="position:absolute;left:6805;top:1564;width:4755;height:2729" filled="true" fillcolor="#ffffff" stroked="false">
              <v:fill type="solid"/>
            </v:rect>
            <v:shape style="position:absolute;left:7132;top:1713;width:4135;height:2070" coordorigin="7133,1714" coordsize="4135,2070" path="m7133,3731l7193,3731m7133,3227l7193,3227m7133,2722l7193,2722m7133,2218l7193,2218m7133,1714l7193,1714m7200,2722l11267,2722m7200,3741l7200,3783m7877,3741l7877,3783m8555,3741l8555,3783m9233,3741l9233,3783m9911,3741l9911,3783m10589,3741l10589,3783m11267,3741l11267,3783m7200,3741l7200,3783m7877,3741l7877,3783m8555,3741l8555,3783m9233,3741l9233,3783m9911,3741l9911,3783m10589,3741l10589,3783m11267,3741l11267,3783e" filled="false" stroked="true" strokeweight=".395891pt" strokecolor="#000000">
              <v:path arrowok="t"/>
              <v:stroke dashstyle="solid"/>
            </v:shape>
            <v:shape style="position:absolute;left:7199;top:2589;width:4068;height:420" coordorigin="7200,2589" coordsize="4068,420" path="m7200,2613l7877,2698,8555,2725,9233,2589,9911,2812,10589,2925,11267,3009e" filled="false" stroked="true" strokeweight=".367879pt" strokecolor="#0000ff">
              <v:path arrowok="t"/>
              <v:stroke dashstyle="solid"/>
            </v:shape>
            <v:shape style="position:absolute;left:7199;top:1774;width:4061;height:1896" coordorigin="7200,1775" coordsize="4061,1896" path="m7200,3039l7238,3045m7262,3048l7300,3055m7324,3057l7362,3064m7386,3067l7424,3074m7447,3076l7486,3083m7509,3087l7548,3093m7571,3096l7610,3102m7633,3106l7672,3112m7695,3115l7734,3121m7757,3125l7795,3131m7819,3134l7857,3140m7881,3144l7919,3150m7943,3154l7981,3159m8005,3163l8043,3169m8066,3173l8105,3178m8128,3182l8167,3189m8190,3192l8229,3198m8252,3202l8291,3208m8314,3211l8353,3218m8376,3221l8414,3227m8438,3230l8476,3237m8500,3240l8538,3246m8562,3250l8600,3256m8624,3260l8662,3266m8685,3270l8724,3275m8747,3279l8786,3285m8809,3289l8848,3295m8871,3299l8909,3304m8933,3308l8971,3314m8995,3318l9033,3323m9057,3327l9095,3333m9119,3337l9157,3342m9180,3346l9219,3352m9242,3356l9281,3362m9304,3366l9343,3372m9366,3375l9405,3381m9428,3385l9467,3391m9490,3394l9529,3401m9552,3404l9590,3411m9614,3414l9652,3420m9676,3423l9714,3430m9738,3433l9776,3439m9799,3442l9838,3449m9861,3453l9900,3458m9922,3462l9960,3468m9984,3472l10022,3478m10046,3482l10084,3487m10108,3491l10146,3497m10169,3501l10208,3506m10231,3510l10270,3516m10293,3520l10332,3525m10355,3529l10394,3535m10417,3539l10456,3545m10479,3548l10517,3554m10541,3558l10579,3564m10603,3568l10641,3574m10665,3577l10703,3584m10727,3587l10765,3594m10788,3597l10827,3603m10850,3606l10889,3613m10912,3616l10951,3622m10974,3626l11012,3632m11036,3636l11074,3641m11098,3645l11136,3651m11160,3655l11198,3661m11222,3665l11260,3670m7200,2405l7238,2399m7262,2395l7300,2389m7324,2386l7362,2380m7386,2376l7424,2370m7447,2367l7486,2361m7509,2357l7548,2351m7571,2348l7610,2342m7633,2338l7672,2332m7695,2329l7734,2323m7757,2319l7795,2313m7819,2310l7857,2303m7879,2300l7918,2294m7941,2290l7980,2284m8003,2281l8042,2274m8065,2271l8103,2265m8127,2262l8165,2255m8189,2252l8227,2246m8251,2243l8289,2236m8313,2233l8351,2226m8374,2224l8413,2217m8436,2213l8475,2207m8498,2203l8537,2198m8559,2194l8597,2188m8621,2184l8659,2179m8683,2175l8721,2169m8744,2165l8783,2160m8806,2156l8845,2150m8868,2146l8907,2140m8930,2136l8969,2131m8992,2127l9031,2120m9054,2117l9093,2111m9116,2108l9154,2101m9178,2098l9216,2092m9238,2089l9277,2082m9300,2079l9339,2072m9362,2069l9401,2063m9424,2060l9462,2053m9486,2050l9524,2044m9548,2040l9586,2034m9610,2030l9648,2025m9672,2021l9710,2015m9733,2011l9772,2005m9795,2001l9834,1996m9857,1992l9896,1986m9918,1982l9956,1977m9980,1973l10018,1967m10042,1963l10080,1958m10103,1954l10142,1948m10165,1944l10204,1937m10227,1934l10266,1928m10289,1925l10328,1918m10351,1915l10390,1909m10413,1906l10451,1899m10475,1896l10513,1890m10537,1887l10575,1880m10597,1877l10636,1871m10659,1867l10698,1861m10721,1857l10760,1851m10783,1847l10821,1842m10845,1838l10883,1832m10906,1828l10945,1823m10969,1819l11007,1813m11031,1809l11069,1804m11092,1800l11131,1794m11154,1790l11193,1784m11216,1780l11255,1775e" filled="false" stroked="true" strokeweight=".460103pt" strokecolor="#ff0000">
              <v:path arrowok="t"/>
              <v:stroke dashstyle="solid"/>
            </v:shape>
            <v:rect style="position:absolute;left:7192;top:1709;width:4083;height:2029" filled="false" stroked="true" strokeweight=".496952pt" strokecolor="#000000">
              <v:stroke dashstyle="solid"/>
            </v:rect>
            <v:rect style="position:absolute;left:7828;top:4024;width:2802;height:177" filled="false" stroked="true" strokeweight=".315470pt" strokecolor="#000000">
              <v:stroke dashstyle="solid"/>
            </v:rect>
            <v:line style="position:absolute" from="7904,4118" to="8200,4118" stroked="true" strokeweight=".365893pt" strokecolor="#0000ff">
              <v:stroke dashstyle="solid"/>
            </v:line>
            <v:shape style="position:absolute;left:9019;top:4118;width:293;height:2" coordorigin="9020,4118" coordsize="293,0" path="m9020,4118l9059,4118m9083,4118l9123,4118m9146,4118l9186,4118m9209,4118l9249,4118m9273,4118l9312,4118e" filled="false" stroked="true" strokeweight=".460103pt" strokecolor="#ff0000">
              <v:path arrowok="t"/>
              <v:stroke dashstyle="solid"/>
            </v:shape>
            <w10:wrap type="none"/>
          </v:group>
        </w:pict>
      </w:r>
      <w:r>
        <w:rPr/>
        <w:t>B2:</w:t>
      </w:r>
      <w:r>
        <w:rPr>
          <w:spacing w:val="-4"/>
        </w:rPr>
        <w:t> </w:t>
      </w:r>
      <w:r>
        <w:rPr/>
        <w:t>Recursive</w:t>
      </w:r>
      <w:r>
        <w:rPr>
          <w:spacing w:val="-3"/>
        </w:rPr>
        <w:t> </w:t>
      </w:r>
      <w:r>
        <w:rPr/>
        <w:t>Estimates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971"/>
      </w:tblGrid>
      <w:tr>
        <w:trPr>
          <w:trHeight w:val="3669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Recursive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Residuals</w:t>
            </w: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208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30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3"/>
              <w:ind w:left="208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20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3"/>
              <w:ind w:left="208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10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ind w:left="295"/>
              <w:rPr>
                <w:rFonts w:ascii="Arial MT"/>
                <w:sz w:val="12"/>
              </w:rPr>
            </w:pPr>
            <w:r>
              <w:rPr>
                <w:rFonts w:ascii="Arial MT"/>
                <w:w w:val="132"/>
                <w:sz w:val="12"/>
              </w:rPr>
              <w:t>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3"/>
              <w:ind w:left="159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-10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ind w:left="159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-20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ind w:left="159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-30</w:t>
            </w:r>
          </w:p>
          <w:p>
            <w:pPr>
              <w:pStyle w:val="TableParagraph"/>
              <w:tabs>
                <w:tab w:pos="938" w:val="left" w:leader="none"/>
                <w:tab w:pos="1574" w:val="left" w:leader="none"/>
                <w:tab w:pos="2210" w:val="left" w:leader="none"/>
                <w:tab w:pos="2845" w:val="left" w:leader="none"/>
                <w:tab w:pos="3481" w:val="left" w:leader="none"/>
                <w:tab w:pos="4117" w:val="left" w:leader="none"/>
              </w:tabs>
              <w:spacing w:before="6"/>
              <w:ind w:left="304"/>
              <w:rPr>
                <w:rFonts w:ascii="Arial MT"/>
                <w:sz w:val="12"/>
              </w:rPr>
            </w:pPr>
            <w:r>
              <w:rPr>
                <w:rFonts w:ascii="Arial MT"/>
                <w:w w:val="130"/>
                <w:sz w:val="12"/>
              </w:rPr>
              <w:t>2004</w:t>
              <w:tab/>
              <w:t>2005</w:t>
              <w:tab/>
              <w:t>2006</w:t>
              <w:tab/>
              <w:t>2007</w:t>
              <w:tab/>
              <w:t>2008</w:t>
              <w:tab/>
              <w:t>2009</w:t>
              <w:tab/>
              <w:t>2010</w:t>
            </w:r>
          </w:p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tabs>
                <w:tab w:pos="3235" w:val="left" w:leader="none"/>
              </w:tabs>
              <w:ind w:left="1328"/>
              <w:rPr>
                <w:rFonts w:ascii="Arial MT" w:hAnsi="Arial MT"/>
                <w:sz w:val="12"/>
              </w:rPr>
            </w:pPr>
            <w:r>
              <w:rPr>
                <w:rFonts w:ascii="Arial MT" w:hAnsi="Arial MT"/>
                <w:spacing w:val="-2"/>
                <w:w w:val="130"/>
                <w:sz w:val="12"/>
              </w:rPr>
              <w:t>Recursive</w:t>
            </w:r>
            <w:r>
              <w:rPr>
                <w:rFonts w:ascii="Arial MT" w:hAnsi="Arial MT"/>
                <w:spacing w:val="-7"/>
                <w:w w:val="130"/>
                <w:sz w:val="12"/>
              </w:rPr>
              <w:t> </w:t>
            </w:r>
            <w:r>
              <w:rPr>
                <w:rFonts w:ascii="Arial MT" w:hAnsi="Arial MT"/>
                <w:spacing w:val="-2"/>
                <w:w w:val="130"/>
                <w:sz w:val="12"/>
              </w:rPr>
              <w:t>Residuals</w:t>
              <w:tab/>
            </w:r>
            <w:r>
              <w:rPr>
                <w:rFonts w:ascii="Arial MT" w:hAnsi="Arial MT"/>
                <w:w w:val="130"/>
                <w:sz w:val="12"/>
              </w:rPr>
              <w:t>±</w:t>
            </w:r>
            <w:r>
              <w:rPr>
                <w:rFonts w:ascii="Arial MT" w:hAnsi="Arial MT"/>
                <w:spacing w:val="-8"/>
                <w:w w:val="130"/>
                <w:sz w:val="12"/>
              </w:rPr>
              <w:t> </w:t>
            </w:r>
            <w:r>
              <w:rPr>
                <w:rFonts w:ascii="Arial MT" w:hAnsi="Arial MT"/>
                <w:w w:val="130"/>
                <w:sz w:val="12"/>
              </w:rPr>
              <w:t>2</w:t>
            </w:r>
            <w:r>
              <w:rPr>
                <w:rFonts w:ascii="Arial MT" w:hAnsi="Arial MT"/>
                <w:spacing w:val="-3"/>
                <w:w w:val="130"/>
                <w:sz w:val="12"/>
              </w:rPr>
              <w:t> </w:t>
            </w:r>
            <w:r>
              <w:rPr>
                <w:rFonts w:ascii="Arial MT" w:hAnsi="Arial MT"/>
                <w:w w:val="130"/>
                <w:sz w:val="12"/>
              </w:rPr>
              <w:t>S.E.</w:t>
            </w:r>
          </w:p>
        </w:tc>
        <w:tc>
          <w:tcPr>
            <w:tcW w:w="4971" w:type="dxa"/>
          </w:tcPr>
          <w:p>
            <w:pPr>
              <w:pStyle w:val="TableParagraph"/>
              <w:spacing w:before="1"/>
              <w:ind w:left="1773" w:right="1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CUSUM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304"/>
              <w:rPr>
                <w:rFonts w:ascii="Arial MT"/>
                <w:sz w:val="11"/>
              </w:rPr>
            </w:pPr>
            <w:r>
              <w:rPr>
                <w:rFonts w:ascii="Arial MT"/>
                <w:w w:val="153"/>
                <w:sz w:val="11"/>
              </w:rPr>
              <w:t>8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2"/>
              <w:ind w:left="304"/>
              <w:rPr>
                <w:rFonts w:ascii="Arial MT"/>
                <w:sz w:val="11"/>
              </w:rPr>
            </w:pPr>
            <w:r>
              <w:rPr>
                <w:rFonts w:ascii="Arial MT"/>
                <w:w w:val="153"/>
                <w:sz w:val="11"/>
              </w:rPr>
              <w:t>4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2"/>
              <w:ind w:left="304"/>
              <w:rPr>
                <w:rFonts w:ascii="Arial MT"/>
                <w:sz w:val="11"/>
              </w:rPr>
            </w:pPr>
            <w:r>
              <w:rPr>
                <w:rFonts w:ascii="Arial MT"/>
                <w:w w:val="153"/>
                <w:sz w:val="11"/>
              </w:rPr>
              <w:t>0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2"/>
              <w:ind w:left="253"/>
              <w:rPr>
                <w:rFonts w:ascii="Arial MT"/>
                <w:sz w:val="11"/>
              </w:rPr>
            </w:pPr>
            <w:r>
              <w:rPr>
                <w:rFonts w:ascii="Arial MT"/>
                <w:w w:val="155"/>
                <w:sz w:val="11"/>
              </w:rPr>
              <w:t>-4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2"/>
              <w:ind w:left="253"/>
              <w:rPr>
                <w:rFonts w:ascii="Arial MT"/>
                <w:sz w:val="11"/>
              </w:rPr>
            </w:pPr>
            <w:r>
              <w:rPr>
                <w:rFonts w:ascii="Arial MT"/>
                <w:w w:val="155"/>
                <w:sz w:val="11"/>
              </w:rPr>
              <w:t>-8</w:t>
            </w:r>
          </w:p>
          <w:p>
            <w:pPr>
              <w:pStyle w:val="TableParagraph"/>
              <w:tabs>
                <w:tab w:pos="991" w:val="left" w:leader="none"/>
                <w:tab w:pos="1669" w:val="left" w:leader="none"/>
                <w:tab w:pos="2347" w:val="left" w:leader="none"/>
                <w:tab w:pos="3025" w:val="left" w:leader="none"/>
                <w:tab w:pos="3703" w:val="left" w:leader="none"/>
                <w:tab w:pos="4381" w:val="left" w:leader="none"/>
              </w:tabs>
              <w:spacing w:before="8"/>
              <w:ind w:left="314"/>
              <w:rPr>
                <w:rFonts w:ascii="Arial MT"/>
                <w:sz w:val="11"/>
              </w:rPr>
            </w:pPr>
            <w:r>
              <w:rPr>
                <w:rFonts w:ascii="Arial MT"/>
                <w:w w:val="155"/>
                <w:sz w:val="11"/>
              </w:rPr>
              <w:t>2004</w:t>
              <w:tab/>
              <w:t>2005</w:t>
              <w:tab/>
              <w:t>2006</w:t>
              <w:tab/>
              <w:t>2007</w:t>
              <w:tab/>
              <w:t>2008</w:t>
              <w:tab/>
              <w:t>2009</w:t>
              <w:tab/>
              <w:t>2010</w:t>
            </w: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tabs>
                <w:tab w:pos="2681" w:val="left" w:leader="none"/>
              </w:tabs>
              <w:ind w:left="1566"/>
              <w:rPr>
                <w:rFonts w:ascii="Arial MT"/>
                <w:sz w:val="11"/>
              </w:rPr>
            </w:pPr>
            <w:r>
              <w:rPr>
                <w:rFonts w:ascii="Arial MT"/>
                <w:w w:val="155"/>
                <w:sz w:val="11"/>
              </w:rPr>
              <w:t>CUSUM</w:t>
              <w:tab/>
            </w:r>
            <w:r>
              <w:rPr>
                <w:rFonts w:ascii="Arial MT"/>
                <w:spacing w:val="-3"/>
                <w:w w:val="155"/>
                <w:sz w:val="11"/>
              </w:rPr>
              <w:t>5%</w:t>
            </w:r>
            <w:r>
              <w:rPr>
                <w:rFonts w:ascii="Arial MT"/>
                <w:spacing w:val="-11"/>
                <w:w w:val="155"/>
                <w:sz w:val="11"/>
              </w:rPr>
              <w:t> </w:t>
            </w:r>
            <w:r>
              <w:rPr>
                <w:rFonts w:ascii="Arial MT"/>
                <w:spacing w:val="-3"/>
                <w:w w:val="155"/>
                <w:sz w:val="11"/>
              </w:rPr>
              <w:t>Significance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group style="position:absolute;margin-left:106.610001pt;margin-top:14.329703pt;width:442.35pt;height:247.95pt;mso-position-horizontal-relative:page;mso-position-vertical-relative:paragraph;z-index:-15525376;mso-wrap-distance-left:0;mso-wrap-distance-right:0" coordorigin="2132,287" coordsize="8847,4959">
            <v:rect style="position:absolute;left:2132;top:286;width:8847;height:4959" filled="true" fillcolor="#ffffff" stroked="false">
              <v:fill type="solid"/>
            </v:rect>
            <v:shape style="position:absolute;left:2673;top:639;width:4446;height:3554" coordorigin="2674,639" coordsize="4446,3554" path="m2674,4103l2738,4103m2674,3609l2738,3609m2674,3113l2738,3113m2674,2619l2738,2619m2674,2123l2738,2123m2674,1629l2738,1629m2674,1133l2738,1133m2674,639l2738,639m2746,4121l2746,4192m3058,4121l3058,4192m3370,4121l3370,4192m3682,4121l3682,4192m3995,4121l3995,4192m4307,4121l4307,4192m4619,4121l4619,4192m4933,4121l4933,4192m5245,4121l5245,4192m5557,4121l5557,4192m5869,4121l5869,4192m6182,4121l6182,4192m6494,4121l6494,4192m6806,4121l6806,4192m7120,4121l7120,4192m2746,4121l2746,4192m3058,4121l3058,4192m3370,4121l3370,4192m3682,4121l3682,4192m3995,4121l3995,4192m4307,4121l4307,4192m4619,4121l4619,4192m4933,4121l4933,4192m5245,4121l5245,4192m5557,4121l5557,4192m5869,4121l5869,4192m6182,4121l6182,4192m6494,4121l6494,4192m6806,4121l6806,4192m7120,4121l7120,4192e" filled="false" stroked="true" strokeweight=".473486pt" strokecolor="#000000">
              <v:path arrowok="t"/>
              <v:stroke dashstyle="solid"/>
            </v:shape>
            <v:shape style="position:absolute;left:2745;top:2793;width:1249;height:678" coordorigin="2746,2793" coordsize="1249,678" path="m2746,2925l3058,3261,3370,3471,3682,2793,3995,3173e" filled="false" stroked="true" strokeweight=".555473pt" strokecolor="#0000ff">
              <v:path arrowok="t"/>
              <v:stroke dashstyle="solid"/>
            </v:shape>
            <v:line style="position:absolute" from="4000,645" to="4000,4111" stroked="true" strokeweight=".08069pt" strokecolor="#808080">
              <v:stroke dashstyle="solid"/>
            </v:line>
            <v:line style="position:absolute" from="3995,2988" to="4307,3350" stroked="true" strokeweight=".545290pt" strokecolor="#0000ff">
              <v:stroke dashstyle="solid"/>
            </v:line>
            <v:line style="position:absolute" from="4313,645" to="4313,4111" stroked="true" strokeweight=".08069pt" strokecolor="#808080">
              <v:stroke dashstyle="solid"/>
            </v:line>
            <v:shape style="position:absolute;left:4306;top:2706;width:2813;height:722" coordorigin="4307,2707" coordsize="2813,722" path="m4307,3416l4619,2996,4933,3139,5245,2707,5557,2882,5869,3428,6182,2910,6494,3368,6806,2884,7120,2926e" filled="false" stroked="true" strokeweight=".560346pt" strokecolor="#0000ff">
              <v:path arrowok="t"/>
              <v:stroke dashstyle="solid"/>
            </v:shape>
            <v:shape style="position:absolute;left:2745;top:2506;width:1249;height:657" coordorigin="2746,2507" coordsize="1249,657" path="m2746,2596l2774,2630m2791,2650l2820,2684m2835,2704l2864,2738m2881,2757l2909,2791m2926,2811l2955,2845m2970,2864l3000,2899m3017,2918l3044,2952m3064,2969l3101,2991m3123,3006l3159,3029m3181,3042l3218,3066m3240,3079l3276,3102m3298,3116l3335,3139m3356,3154l3370,3163,3383,3137m3393,3115l3412,3074m3422,3051l3442,3011m3453,2988l3472,2947m3483,2925l3502,2884m3513,2861l3532,2821m3542,2798l3562,2757m3573,2734l3592,2694m3602,2671l3623,2630m3633,2608l3652,2567m3663,2544l3682,2507,3684,2510m3701,2530l3728,2564m3746,2583l3773,2617m3790,2637l3818,2671m3833,2690l3862,2725m3878,2744l3907,2778m3922,2798l3952,2832m3967,2852l3995,2882e" filled="false" stroked="true" strokeweight=".547464pt" strokecolor="#ff0000">
              <v:path arrowok="t"/>
              <v:stroke dashstyle="solid"/>
            </v:shape>
            <v:line style="position:absolute" from="4000,645" to="4000,4111" stroked="true" strokeweight=".08069pt" strokecolor="#808080">
              <v:stroke dashstyle="solid"/>
            </v:line>
            <v:shape style="position:absolute;left:3989;top:2663;width:317;height:364" type="#_x0000_t75" stroked="false">
              <v:imagedata r:id="rId54" o:title=""/>
            </v:shape>
            <v:line style="position:absolute" from="4313,645" to="4313,4111" stroked="true" strokeweight=".08069pt" strokecolor="#808080">
              <v:stroke dashstyle="solid"/>
            </v:line>
            <v:shape style="position:absolute;left:2745;top:2432;width:4374;height:1343" coordorigin="2746,2432" coordsize="4374,1343" path="m4307,3115l4333,3079m4348,3058l4374,3022m4390,3001l4416,2965m4431,2944l4457,2908m4473,2889l4499,2853m4514,2832l4541,2796m4556,2775l4582,2739m4597,2720l4619,2692,4628,2695m4650,2707l4688,2728m4710,2739l4748,2759m4770,2770l4808,2790m4830,2801l4868,2821m4890,2832l4928,2853m4943,2840l4970,2804m4985,2785l5011,2749m5026,2728l5053,2692m5068,2671l5094,2635m5110,2614l5136,2578m5151,2557l5177,2521m5193,2500l5219,2465m5234,2445l5245,2432,5270,2442m5292,2452l5333,2470m5356,2479l5396,2497m5419,2509l5459,2525m5482,2536l5522,2552m5545,2564l5557,2570,5571,2598m5583,2621l5605,2660m5617,2682l5639,2723m5651,2746l5672,2785m5685,2808l5706,2848m5718,2871l5740,2911m5752,2934l5774,2973m5785,2996l5806,3035m5819,3058l5840,3097m5852,3119l5869,3149,5874,3139m5888,3118l5912,3079m5926,3056l5949,3017m5963,2996l5988,2957m6002,2934l6025,2895m6038,2874l6061,2835m6075,2814l6100,2775m6114,2752l6137,2713m6151,2692l6175,2653m6189,2658l6215,2694m6231,2715l6257,2752m6272,2774l6298,2811m6314,2832l6340,2869m6355,2891l6381,2928m6397,2949l6423,2986m6438,3007l6464,3045m6478,3066l6494,3084,6504,3066m6518,3045l6543,3006m6557,2983l6581,2946m6595,2923l6620,2884m6634,2863l6658,2824m6672,2803l6697,2764m6711,2743l6735,2704m6749,2682l6774,2644m6787,2621l6806,2595,6818,2596m6843,2601l6886,2609m6910,2614l6954,2622m6978,2627l7021,2635m7046,2640l7089,2650m7113,2655l7120,2656m2746,3251l2778,3282m2797,3300l2829,3331m2847,3349l2878,3380m2897,3398l2929,3428m2947,3446l2978,3477m2996,3495l3029,3526m3047,3544l3058,3557,3081,3571m3101,3586l3138,3612m3158,3627l3195,3653m3215,3667l3252,3693m3273,3708l3310,3734m3330,3749l3367,3775m3378,3759l3397,3718m3407,3695l3426,3653m3437,3629l3455,3588m3466,3563l3484,3521m3495,3498l3513,3456m3524,3432l3542,3391m3553,3367l3572,3325m3582,3302l3601,3259m3612,3235l3630,3194m3641,3170l3659,3128m3670,3103l3682,3079,3693,3094m3709,3113l3736,3147m3753,3167l3781,3203m3798,3222l3826,3258m3842,3277l3870,3313m3887,3332l3915,3368m3931,3388l3959,3423m3976,3443l3995,3464e" filled="false" stroked="true" strokeweight=".547464pt" strokecolor="#ff0000">
              <v:path arrowok="t"/>
              <v:stroke dashstyle="solid"/>
            </v:shape>
            <v:line style="position:absolute" from="4000,645" to="4000,4111" stroked="true" strokeweight=".08069pt" strokecolor="#808080">
              <v:stroke dashstyle="solid"/>
            </v:line>
            <v:shape style="position:absolute;left:3989;top:3301;width:311;height:367" type="#_x0000_t75" stroked="false">
              <v:imagedata r:id="rId55" o:title=""/>
            </v:shape>
            <v:line style="position:absolute" from="4313,645" to="4313,4111" stroked="true" strokeweight=".08069pt" strokecolor="#808080">
              <v:stroke dashstyle="solid"/>
            </v:line>
            <v:shape style="position:absolute;left:4306;top:2979;width:2494;height:737" coordorigin="4307,2980" coordsize="2494,737" path="m4307,3716l4333,3681m4348,3659l4376,3624m4391,3602l4418,3567m4433,3547l4459,3511m4474,3492l4501,3456m4516,3435l4543,3399m4559,3378l4585,3342m4601,3323l4619,3300,4633,3305m4656,3313l4696,3329m4719,3338l4759,3354m4782,3362l4822,3378m4845,3386l4885,3403m4908,3411l4933,3422,4942,3407m4957,3386l4984,3349m4999,3328l5025,3290m5039,3269l5065,3233m5079,3212l5105,3177m5119,3155l5145,3119m5159,3099l5185,3063m5199,3042l5225,3006m5240,2985l5245,2980,5276,2999m5296,3014l5333,3038m5352,3053l5390,3078m5409,3092l5446,3116m5466,3131l5503,3155m5523,3170l5557,3194,5559,3198m5572,3220l5596,3259m5609,3281l5632,3320m5646,3342l5670,3381m5683,3403l5706,3441m5720,3464l5745,3503m5759,3526l5782,3565m5795,3588l5819,3627m5833,3648l5856,3687m5869,3705l5892,3666m5906,3643l5929,3604m5942,3581l5965,3542m5978,3519l6002,3480m6014,3458l6037,3419m6051,3396l6074,3357m6088,3334l6111,3295m6123,3272l6146,3233m6160,3211l6182,3177,6185,3181m6199,3203l6223,3242m6237,3263l6262,3300m6275,3321l6300,3359m6314,3380l6338,3417m6352,3438l6377,3476m6391,3497l6415,3536m6429,3557l6454,3594m6468,3615l6492,3653m6506,3632l6531,3594m6544,3573l6569,3536m6583,3515l6608,3476m6621,3455l6646,3417m6660,3396l6684,3357m6698,3336l6723,3298m6737,3276l6761,3238m6775,3217l6800,3178e" filled="false" stroked="true" strokeweight=".547464pt" strokecolor="#ff0000">
              <v:path arrowok="t"/>
              <v:stroke dashstyle="solid"/>
            </v:shape>
            <v:line style="position:absolute" from="7088,3196" to="7125,3196" stroked="true" strokeweight=".731995pt" strokecolor="#ff0000">
              <v:stroke dashstyle="solid"/>
            </v:line>
            <v:rect style="position:absolute;left:2738;top:631;width:4391;height:3484" filled="false" stroked="true" strokeweight=".788994pt" strokecolor="#000000">
              <v:stroke dashstyle="solid"/>
            </v:rect>
            <v:rect style="position:absolute;left:4346;top:4607;width:1163;height:311" filled="false" stroked="true" strokeweight=".484505pt" strokecolor="#000000">
              <v:stroke dashstyle="solid"/>
            </v:rect>
            <v:line style="position:absolute" from="4427,4773" to="4745,4773" stroked="true" strokeweight=".56216pt" strokecolor="#0000ff">
              <v:stroke dashstyle="solid"/>
            </v:line>
            <v:rect style="position:absolute;left:7394;top:639;width:3393;height:3199" filled="false" stroked="true" strokeweight=".474233pt" strokecolor="#000000">
              <v:stroke dashstyle="solid"/>
            </v:rect>
            <v:shape style="position:absolute;left:2322;top:495;width:330;height:120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250</w:t>
                    </w: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200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485;top:708;width:2349;height:1165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887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Forecast:</w:t>
                    </w:r>
                    <w:r>
                      <w:rPr>
                        <w:rFonts w:ascii="Arial MT"/>
                        <w:spacing w:val="7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DLFDIF</w:t>
                    </w:r>
                    <w:r>
                      <w:rPr>
                        <w:rFonts w:ascii="Arial MT"/>
                        <w:spacing w:val="-47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Actual:</w:t>
                    </w:r>
                    <w:r>
                      <w:rPr>
                        <w:rFonts w:ascii="Arial MT"/>
                        <w:spacing w:val="-8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DLFDI</w:t>
                    </w: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Forecast</w:t>
                    </w:r>
                    <w:r>
                      <w:rPr>
                        <w:rFonts w:ascii="Arial MT"/>
                        <w:spacing w:val="4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sample:</w:t>
                    </w:r>
                    <w:r>
                      <w:rPr>
                        <w:rFonts w:ascii="Arial MT"/>
                        <w:spacing w:val="5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1975</w:t>
                    </w:r>
                    <w:r>
                      <w:rPr>
                        <w:rFonts w:ascii="Arial MT"/>
                        <w:spacing w:val="16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2010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Adjusted</w:t>
                    </w:r>
                    <w:r>
                      <w:rPr>
                        <w:rFonts w:ascii="Arial MT"/>
                        <w:spacing w:val="8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sample:</w:t>
                    </w:r>
                    <w:r>
                      <w:rPr>
                        <w:rFonts w:ascii="Arial MT"/>
                        <w:spacing w:val="-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1978</w:t>
                    </w:r>
                    <w:r>
                      <w:rPr>
                        <w:rFonts w:ascii="Arial MT"/>
                        <w:spacing w:val="9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2010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pacing w:val="-1"/>
                        <w:w w:val="95"/>
                        <w:sz w:val="19"/>
                      </w:rPr>
                      <w:t>Included</w:t>
                    </w:r>
                    <w:r>
                      <w:rPr>
                        <w:rFonts w:ascii="Arial MT"/>
                        <w:spacing w:val="-2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19"/>
                      </w:rPr>
                      <w:t>observations:</w:t>
                    </w:r>
                    <w:r>
                      <w:rPr>
                        <w:rFonts w:ascii="Arial MT"/>
                        <w:spacing w:val="-10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2322;top:1979;width:4820;height:1702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100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104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50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3"/>
                      </w:rPr>
                    </w:pPr>
                  </w:p>
                  <w:p>
                    <w:pPr>
                      <w:tabs>
                        <w:tab w:pos="4494" w:val="left" w:leader="none"/>
                        <w:tab w:pos="4799" w:val="left" w:leader="none"/>
                      </w:tabs>
                      <w:spacing w:before="0"/>
                      <w:ind w:left="207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position w:val="-11"/>
                        <w:sz w:val="19"/>
                      </w:rPr>
                      <w:t>0</w:t>
                      <w:tab/>
                    </w:r>
                    <w:r>
                      <w:rPr>
                        <w:rFonts w:ascii="Arial MT"/>
                        <w:w w:val="96"/>
                        <w:sz w:val="19"/>
                        <w:u w:val="thick" w:color="FF0000"/>
                      </w:rPr>
                      <w:t> </w:t>
                    </w:r>
                    <w:r>
                      <w:rPr>
                        <w:rFonts w:ascii="Arial MT"/>
                        <w:sz w:val="19"/>
                        <w:u w:val="thick" w:color="FF0000"/>
                      </w:rPr>
                      <w:tab/>
                    </w:r>
                  </w:p>
                  <w:p>
                    <w:pPr>
                      <w:spacing w:before="280"/>
                      <w:ind w:left="46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-50</w:t>
                    </w:r>
                  </w:p>
                </w:txbxContent>
              </v:textbox>
              <w10:wrap type="none"/>
            </v:shape>
            <v:shape style="position:absolute;left:7485;top:2132;width:2098;height:164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1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Root Mean Squared Error</w:t>
                    </w:r>
                    <w:r>
                      <w:rPr>
                        <w:rFonts w:ascii="Arial MT"/>
                        <w:spacing w:val="-48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Mean Absolute Error</w:t>
                    </w:r>
                    <w:r>
                      <w:rPr>
                        <w:rFonts w:ascii="Arial MT"/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Mean Abs. Percent Error</w:t>
                    </w:r>
                    <w:r>
                      <w:rPr>
                        <w:rFonts w:ascii="Arial MT"/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19"/>
                      </w:rPr>
                      <w:t>Theil</w:t>
                    </w:r>
                    <w:r>
                      <w:rPr>
                        <w:rFonts w:ascii="Arial MT"/>
                        <w:spacing w:val="-10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19"/>
                      </w:rPr>
                      <w:t>Inequality</w:t>
                    </w:r>
                    <w:r>
                      <w:rPr>
                        <w:rFonts w:ascii="Arial MT"/>
                        <w:spacing w:val="-14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19"/>
                      </w:rPr>
                      <w:t>Coefficient</w:t>
                    </w:r>
                  </w:p>
                  <w:p>
                    <w:pPr>
                      <w:spacing w:line="261" w:lineRule="auto" w:before="0"/>
                      <w:ind w:left="230" w:right="38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Bias Proportion</w:t>
                    </w:r>
                    <w:r>
                      <w:rPr>
                        <w:rFonts w:ascii="Arial MT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Variance</w:t>
                    </w:r>
                    <w:r>
                      <w:rPr>
                        <w:rFonts w:ascii="Arial MT"/>
                        <w:spacing w:val="2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Proportion</w:t>
                    </w:r>
                    <w:r>
                      <w:rPr>
                        <w:rFonts w:ascii="Arial MT"/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Covariance</w:t>
                    </w:r>
                    <w:r>
                      <w:rPr>
                        <w:rFonts w:ascii="Arial MT"/>
                        <w:spacing w:val="14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9"/>
                      </w:rPr>
                      <w:t>Proportion</w:t>
                    </w:r>
                  </w:p>
                </w:txbxContent>
              </v:textbox>
              <w10:wrap type="none"/>
            </v:shape>
            <v:shape style="position:absolute;left:9937;top:2132;width:790;height:1641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7.377380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5.482656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138.3731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0.075523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0.000000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0.006056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0.993944</w:t>
                    </w:r>
                  </w:p>
                </w:txbxContent>
              </v:textbox>
              <w10:wrap type="none"/>
            </v:shape>
            <v:shape style="position:absolute;left:2266;top:3959;width:388;height: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-100</w:t>
                    </w:r>
                  </w:p>
                </w:txbxContent>
              </v:textbox>
              <w10:wrap type="none"/>
            </v:shape>
            <v:shape style="position:absolute;left:2642;top:4196;width:4603;height:679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78</w:t>
                    </w:r>
                    <w:r>
                      <w:rPr>
                        <w:rFonts w:ascii="Arial MT"/>
                        <w:spacing w:val="46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79</w:t>
                    </w:r>
                    <w:r>
                      <w:rPr>
                        <w:rFonts w:ascii="Arial MT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80</w:t>
                    </w:r>
                    <w:r>
                      <w:rPr>
                        <w:rFonts w:ascii="Arial MT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81</w:t>
                    </w:r>
                    <w:r>
                      <w:rPr>
                        <w:rFonts w:ascii="Arial MT"/>
                        <w:spacing w:val="46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82</w:t>
                    </w:r>
                    <w:r>
                      <w:rPr>
                        <w:rFonts w:ascii="Arial MT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91</w:t>
                    </w:r>
                    <w:r>
                      <w:rPr>
                        <w:rFonts w:ascii="Arial MT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02</w:t>
                    </w:r>
                    <w:r>
                      <w:rPr>
                        <w:rFonts w:ascii="Arial MT"/>
                        <w:spacing w:val="48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03</w:t>
                    </w:r>
                    <w:r>
                      <w:rPr>
                        <w:rFonts w:ascii="Arial MT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04</w:t>
                    </w:r>
                    <w:r>
                      <w:rPr>
                        <w:rFonts w:ascii="Arial MT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05</w:t>
                    </w:r>
                    <w:r>
                      <w:rPr>
                        <w:rFonts w:ascii="Arial MT"/>
                        <w:spacing w:val="46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06</w:t>
                    </w:r>
                    <w:r>
                      <w:rPr>
                        <w:rFonts w:ascii="Arial MT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07</w:t>
                    </w:r>
                    <w:r>
                      <w:rPr>
                        <w:rFonts w:ascii="Arial MT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08</w:t>
                    </w:r>
                    <w:r>
                      <w:rPr>
                        <w:rFonts w:ascii="Arial MT"/>
                        <w:spacing w:val="46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09</w:t>
                    </w:r>
                    <w:r>
                      <w:rPr>
                        <w:rFonts w:ascii="Arial MT"/>
                        <w:spacing w:val="49"/>
                        <w:sz w:val="19"/>
                      </w:rPr>
                      <w:t> </w:t>
                    </w:r>
                    <w:r>
                      <w:rPr>
                        <w:rFonts w:ascii="Arial MT"/>
                        <w:sz w:val="19"/>
                      </w:rPr>
                      <w:t>10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0"/>
                      <w:ind w:left="2144" w:right="1754" w:firstLine="0"/>
                      <w:jc w:val="center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DLFDIF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0" w:footer="1015" w:top="1360" w:bottom="1200" w:left="1320" w:right="440"/>
        </w:sectPr>
      </w:pPr>
    </w:p>
    <w:p>
      <w:pPr>
        <w:spacing w:before="76"/>
        <w:ind w:left="811" w:right="1648" w:firstLine="0"/>
        <w:jc w:val="left"/>
        <w:rPr>
          <w:b/>
          <w:sz w:val="24"/>
        </w:rPr>
      </w:pPr>
      <w:r>
        <w:rPr/>
        <w:pict>
          <v:shape style="position:absolute;margin-left:116.940002pt;margin-top:450.700989pt;width:154.6pt;height:143.85pt;mso-position-horizontal-relative:page;mso-position-vertical-relative:page;z-index:-25224704" coordorigin="2339,9014" coordsize="3092,2877" path="m3369,11673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3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40.320007pt;margin-top:397.679993pt;width:71.05pt;height:80.4pt;mso-position-horizontal-relative:page;mso-position-vertical-relative:page;z-index:-25224192" coordorigin="4806,7954" coordsize="1421,1608" path="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1.300018pt;margin-top:129.303116pt;width:237.4pt;height:230.5pt;mso-position-horizontal-relative:page;mso-position-vertical-relative:paragraph;z-index:-25223680" coordorigin="5626,2586" coordsize="4748,4610" path="m6603,7139l6602,7136,6600,7128,6597,7125,6306,6835,6268,6763,6080,6401,6004,6257,5993,6237,5983,6225,5979,6222,5969,6219,5964,6221,5957,6225,5944,6236,5928,6252,5923,6258,5916,6268,5914,6272,5912,6280,5912,6284,5917,6297,5921,6301,6079,6595,6115,6659,6178,6767,6177,6768,6002,6668,5929,6628,5783,6550,5705,6508,5696,6504,5692,6503,5684,6505,5680,6506,5675,6509,5670,6513,5658,6522,5642,6538,5632,6551,5628,6556,5626,6561,5628,6571,5631,6576,5637,6580,5643,6585,5664,6597,5736,6635,6098,6823,6242,6899,6532,7190,6536,7192,6542,7195,6546,7195,6550,7194,6554,7193,6564,7188,6569,7185,6575,7180,6587,7168,6592,7162,6595,7157,6600,7147,6601,7143,6603,7139xm7274,6407l7274,6370,7268,6331,7258,6291,7242,6250,7223,6208,7199,6165,7170,6120,7161,6108,7161,6379,7157,6406,7148,6431,7133,6454,7115,6476,7093,6495,7070,6510,7045,6519,7020,6524,6994,6525,6967,6522,6939,6515,6909,6504,6880,6490,6849,6473,6818,6452,6786,6428,6753,6402,6720,6373,6687,6342,6652,6309,6622,6278,6594,6246,6567,6215,6541,6183,6518,6151,6499,6120,6482,6089,6469,6059,6458,6029,6451,6001,6447,5973,6447,5945,6451,5919,6460,5894,6474,5871,6493,5849,6515,5830,6537,5816,6562,5807,6587,5802,6614,5801,6641,5804,6669,5811,6698,5821,6728,5835,6759,5852,6790,5872,6821,5895,6854,5921,6886,5950,6919,5980,6952,6012,6983,6043,7012,6075,7039,6107,7064,6139,7088,6171,7108,6203,7125,6234,7139,6264,7150,6294,7157,6323,7161,6352,7161,6379,7161,6108,7137,6075,7100,6029,7059,5983,7013,5936,6966,5891,6921,5850,6876,5813,6860,5801,6832,5781,6790,5753,6749,5730,6709,5711,6670,5697,6633,5688,6596,5684,6562,5684,6528,5688,6496,5698,6465,5712,6436,5732,6408,5756,6383,5785,6363,5816,6348,5848,6339,5882,6335,5918,6336,5955,6341,5994,6351,6033,6366,6074,6386,6116,6409,6159,6438,6203,6470,6248,6507,6293,6547,6339,6591,6385,6639,6431,6685,6472,6731,6510,6775,6543,6817,6571,6859,6594,6899,6613,6938,6628,6975,6637,7011,6642,7046,6642,7080,6637,7113,6628,7144,6614,7173,6594,7201,6569,7227,6540,7237,6525,7247,6510,7261,6477,7270,6442,7274,6407xm7572,6169l7572,6166,7569,6158,7567,6155,7239,5827,7409,5657,7410,5654,7410,5647,7409,5643,7404,5634,7400,5628,7385,5610,7369,5594,7361,5587,7355,5582,7349,5577,7344,5574,7336,5570,7332,5569,7328,5569,7325,5570,7323,5571,7153,5741,6887,5476,7068,5296,7069,5294,7069,5290,7068,5283,7063,5274,7059,5268,7043,5249,7035,5241,7027,5234,7008,5217,6993,5208,6989,5207,6982,5207,6980,5208,6753,5434,6750,5443,6752,5454,6754,5463,6759,5473,6767,5484,6777,5495,7502,6220,7505,6222,7513,6225,7516,6226,7520,6224,7524,6223,7534,6218,7539,6215,7545,6210,7557,6198,7565,6187,7570,6177,7571,6173,7572,6169xm8101,5641l8100,5637,8098,5630,8095,5627,8092,5624,7340,4872,7337,4870,7330,4867,7327,4867,7322,4868,7318,4869,7309,4874,7298,4882,7286,4894,7278,4904,7273,4914,7272,4918,7271,4922,7271,4926,7274,4933,7276,4937,8031,5692,8034,5694,8041,5697,8044,5697,8048,5696,8053,5695,8063,5690,8073,5682,8086,5669,8090,5663,8094,5659,8099,5649,8099,5645,8101,5641xm8456,5213l8456,5197,8454,5180,8451,5163,8448,5146,8442,5129,8436,5111,8428,5094,8419,5076,8409,5057,8397,5039,8383,5021,8369,5002,8352,4984,8346,4977,8346,5179,8345,5194,8343,5207,8340,5219,8335,5232,8328,5244,8320,5255,8310,5266,8216,5360,7941,5085,8018,5008,8024,5003,8034,4994,8049,4983,8063,4973,8078,4966,8093,4962,8108,4960,8124,4959,8139,4961,8155,4964,8171,4969,8188,4976,8204,4985,8221,4996,8238,5008,8255,5023,8273,5040,8288,5056,8301,5072,8313,5088,8323,5104,8331,5120,8337,5135,8341,5150,8344,5165,8346,5179,8346,4977,8335,4965,8328,4959,8315,4947,8295,4929,8275,4914,8254,4900,8234,4888,8214,4878,8195,4869,8190,4868,8176,4863,8158,4858,8139,4854,8122,4852,8105,4852,8089,4854,8073,4857,8059,4862,8046,4868,8048,4854,8048,4840,8048,4826,8046,4812,8043,4797,8039,4783,8034,4768,8028,4753,8021,4738,8013,4724,8004,4709,7993,4694,7982,4680,7971,4665,7964,4658,7964,4852,7964,4865,7962,4878,7958,4891,7952,4904,7943,4917,7932,4930,7859,5003,7606,4750,7673,4683,7686,4671,7700,4661,7713,4653,7726,4647,7739,4644,7751,4642,7765,4642,7777,4644,7791,4648,7805,4653,7818,4660,7832,4668,7846,4677,7860,4688,7874,4700,7888,4714,7900,4727,7912,4740,7923,4753,7933,4767,7941,4782,7949,4796,7955,4810,7959,4824,7962,4838,7964,4852,7964,4658,7958,4651,7950,4642,7945,4637,7921,4615,7898,4595,7875,4578,7852,4563,7829,4551,7806,4541,7784,4534,7762,4529,7740,4527,7719,4528,7698,4531,7677,4537,7656,4546,7635,4559,7614,4575,7592,4596,7481,4706,7476,4712,7473,4720,7474,4731,7477,4741,7482,4750,7489,4761,7500,4772,8195,5468,8206,5478,8217,5486,8227,5491,8236,5493,8247,5494,8256,5492,8387,5360,8389,5359,8402,5345,8413,5331,8423,5317,8431,5303,8438,5290,8444,5275,8449,5260,8452,5245,8454,5229,8456,5213xm9020,4728l9019,4723,9017,4718,9014,4713,9009,4707,9003,4702,8995,4697,8984,4689,8889,4629,8609,4452,8609,4563,8440,4733,8179,4327,8135,4260,8135,4260,8135,4260,8609,4563,8609,4452,8304,4260,8097,4128,8091,4125,8086,4122,8081,4121,8076,4120,8072,4120,8062,4123,8056,4126,8050,4131,8044,4136,8038,4142,8030,4150,8022,4158,8016,4164,8012,4169,8008,4175,8005,4180,8004,4185,8002,4190,8001,4194,8003,4199,8004,4204,8007,4208,8010,4214,8053,4282,8370,4784,8571,5102,8578,5113,8584,5120,8589,5126,8594,5132,8600,5135,8604,5136,8609,5137,8614,5136,8620,5132,8625,5128,8632,5123,8646,5108,8651,5102,8655,5097,8659,5092,8661,5088,8661,5083,8662,5079,8662,5075,8660,5071,8659,5067,8657,5063,8654,5059,8617,5002,8506,4831,8605,4733,8709,4629,8940,4777,8945,4780,8949,4781,8953,4783,8956,4784,8960,4784,8963,4783,8968,4782,8972,4780,8978,4776,8983,4772,9005,4750,9010,4744,9014,4738,9018,4733,9020,4728xm9323,4313l9321,4274,9314,4234,9302,4193,9285,4151,9263,4107,9236,4062,9213,4029,9213,4277,9212,4304,9207,4329,9198,4355,9186,4379,9168,4403,9147,4427,9080,4493,8473,3886,8539,3820,8565,3798,8590,3780,8617,3768,8644,3760,8672,3758,8700,3758,8729,3762,8759,3770,8790,3781,8821,3795,8852,3812,8884,3833,8916,3857,8948,3883,8980,3911,9012,3941,9049,3981,9083,4018,9113,4055,9138,4089,9160,4124,9178,4156,9193,4188,9203,4219,9210,4248,9213,4277,9213,4029,9204,4016,9166,3968,9124,3919,9076,3869,9032,3827,8988,3790,8947,3758,8945,3756,8902,3726,8860,3701,8819,3681,8778,3664,8738,3652,8700,3644,8662,3642,8625,3644,8590,3650,8555,3661,8522,3679,8489,3702,8457,3731,8341,3846,8338,3855,8339,3866,8342,3875,8347,3885,8354,3896,8365,3907,9060,4603,9072,4613,9082,4621,9092,4625,9101,4627,9112,4629,9121,4627,9230,4518,9252,4493,9258,4486,9282,4453,9300,4420,9313,4385,9320,4350,9323,4313xm9940,3808l9939,3803,9937,3798,9934,3793,9929,3787,9923,3782,9916,3777,9905,3769,9810,3709,9529,3532,9529,3643,9360,3813,9099,3407,9055,3340,9055,3339,9529,3643,9529,3532,9224,3339,9017,3208,9011,3205,9006,3202,8996,3200,8992,3200,8987,3202,8982,3203,8976,3206,8971,3211,8965,3215,8958,3222,8950,3230,8936,3244,8928,3255,8925,3260,8924,3265,8922,3270,8922,3274,8923,3279,8924,3284,8927,3288,8930,3294,9017,3430,9289,3863,9318,3909,9491,4182,9498,4192,9504,4200,9509,4206,9514,4212,9520,4215,9529,4217,9534,4216,9540,4212,9545,4208,9552,4203,9566,4188,9571,4182,9575,4177,9579,4172,9581,4168,9581,4163,9582,4159,9582,4155,9580,4151,9579,4147,9577,4143,9574,4139,9426,3911,9525,3813,9629,3709,9860,3857,9865,3859,9869,3861,9873,3863,9876,3864,9880,3864,9883,3863,9888,3862,9892,3860,9898,3856,9903,3852,9925,3830,9930,3824,9934,3818,9938,3813,9940,3808xm10374,3364l10372,3352,10369,3345,10362,3330,10356,3322,10348,3314,9625,2591,9622,2589,9615,2587,9611,2586,9602,2587,9598,2590,9593,2593,9582,2601,9570,2613,9559,2629,9556,2633,9555,2642,9556,2646,9557,2650,9558,2653,9560,2656,10011,3106,10186,3279,10186,3280,10037,3202,9959,3162,9898,3132,9801,3084,9573,2970,9421,2893,9397,2882,9378,2874,9366,2870,9356,2867,9347,2866,9338,2866,9330,2867,9316,2873,9309,2878,9263,2924,9260,2934,9261,2946,9264,2956,9269,2966,9277,2978,9287,2989,10010,3712,10013,3714,10016,3715,10020,3717,10024,3718,10028,3716,10032,3716,10042,3711,10052,3703,10065,3690,10073,3679,10076,3674,10078,3670,10078,3666,10080,3662,10080,3658,10078,3654,10077,3650,10075,3648,9533,3107,9421,2997,9422,2996,9468,3022,9565,3073,9686,3133,10057,3317,10204,3391,10233,3405,10272,3421,10285,3424,10295,3425,10305,3427,10314,3426,10321,3423,10329,3420,10336,3415,10367,3384,10370,3380,10373,3369,10374,336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08.139999pt;margin-top:103.343147pt;width:108.26pt;height:.72pt;mso-position-horizontal-relative:page;mso-position-vertical-relative:paragraph;z-index:-25223168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129.983154pt;width:108.26pt;height:.72pt;mso-position-horizontal-relative:page;mso-position-vertical-relative:paragraph;z-index:-25222656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390.170013pt;width:108.26pt;height:.72pt;mso-position-horizontal-relative:page;mso-position-vertical-relative:page;z-index:-2522214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Unrestricted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Error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Correction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Consumer Price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Index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Equation</w:t>
      </w:r>
    </w:p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429"/>
        <w:gridCol w:w="1430"/>
        <w:gridCol w:w="1300"/>
        <w:gridCol w:w="1191"/>
      </w:tblGrid>
      <w:tr>
        <w:trPr>
          <w:trHeight w:val="270" w:hRule="atLeast"/>
        </w:trPr>
        <w:tc>
          <w:tcPr>
            <w:tcW w:w="7515" w:type="dxa"/>
            <w:gridSpan w:val="5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Variable: DLCPI_SL</w:t>
            </w:r>
          </w:p>
        </w:tc>
      </w:tr>
      <w:tr>
        <w:trPr>
          <w:trHeight w:val="275" w:hRule="atLeast"/>
        </w:trPr>
        <w:tc>
          <w:tcPr>
            <w:tcW w:w="7515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</w:tr>
      <w:tr>
        <w:trPr>
          <w:trHeight w:val="276" w:hRule="atLeast"/>
        </w:trPr>
        <w:tc>
          <w:tcPr>
            <w:tcW w:w="7515" w:type="dxa"/>
            <w:gridSpan w:val="5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(adjusted):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1976Q1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2010Q4</w:t>
            </w:r>
          </w:p>
        </w:tc>
      </w:tr>
      <w:tr>
        <w:trPr>
          <w:trHeight w:val="393" w:hRule="atLeast"/>
        </w:trPr>
        <w:tc>
          <w:tcPr>
            <w:tcW w:w="7515" w:type="dxa"/>
            <w:gridSpan w:val="5"/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 adjustments</w:t>
            </w:r>
          </w:p>
        </w:tc>
      </w:tr>
      <w:tr>
        <w:trPr>
          <w:trHeight w:val="487" w:hRule="atLeast"/>
        </w:trPr>
        <w:tc>
          <w:tcPr>
            <w:tcW w:w="21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left="667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4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43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0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127" w:right="93"/>
              <w:jc w:val="center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119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7"/>
              <w:ind w:left="521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>
        <w:trPr>
          <w:trHeight w:val="365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4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10.05429</w:t>
            </w:r>
          </w:p>
        </w:tc>
        <w:tc>
          <w:tcPr>
            <w:tcW w:w="143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1.757222</w:t>
            </w:r>
          </w:p>
        </w:tc>
        <w:tc>
          <w:tcPr>
            <w:tcW w:w="130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27" w:right="76"/>
              <w:jc w:val="center"/>
              <w:rPr>
                <w:sz w:val="24"/>
              </w:rPr>
            </w:pPr>
            <w:r>
              <w:rPr>
                <w:sz w:val="24"/>
              </w:rPr>
              <w:t>5.721699</w:t>
            </w:r>
          </w:p>
        </w:tc>
        <w:tc>
          <w:tcPr>
            <w:tcW w:w="11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DLCPI_SL(-3)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-0.107098</w:t>
            </w:r>
          </w:p>
        </w:tc>
        <w:tc>
          <w:tcPr>
            <w:tcW w:w="1430" w:type="dxa"/>
          </w:tcPr>
          <w:p>
            <w:pPr>
              <w:pStyle w:val="TableParagraph"/>
              <w:spacing w:line="256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0.072102</w:t>
            </w:r>
          </w:p>
        </w:tc>
        <w:tc>
          <w:tcPr>
            <w:tcW w:w="1300" w:type="dxa"/>
          </w:tcPr>
          <w:p>
            <w:pPr>
              <w:pStyle w:val="TableParagraph"/>
              <w:spacing w:line="256" w:lineRule="exact"/>
              <w:ind w:left="127" w:right="152"/>
              <w:jc w:val="center"/>
              <w:rPr>
                <w:sz w:val="24"/>
              </w:rPr>
            </w:pPr>
            <w:r>
              <w:rPr>
                <w:sz w:val="24"/>
              </w:rPr>
              <w:t>-1.485358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0.1399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DLNER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0.254673</w:t>
            </w:r>
          </w:p>
        </w:tc>
        <w:tc>
          <w:tcPr>
            <w:tcW w:w="1430" w:type="dxa"/>
          </w:tcPr>
          <w:p>
            <w:pPr>
              <w:pStyle w:val="TableParagraph"/>
              <w:spacing w:line="256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0.047816</w:t>
            </w:r>
          </w:p>
        </w:tc>
        <w:tc>
          <w:tcPr>
            <w:tcW w:w="1300" w:type="dxa"/>
          </w:tcPr>
          <w:p>
            <w:pPr>
              <w:pStyle w:val="TableParagraph"/>
              <w:spacing w:line="256" w:lineRule="exact"/>
              <w:ind w:left="127" w:right="76"/>
              <w:jc w:val="center"/>
              <w:rPr>
                <w:sz w:val="24"/>
              </w:rPr>
            </w:pPr>
            <w:r>
              <w:rPr>
                <w:sz w:val="24"/>
              </w:rPr>
              <w:t>5.326113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56" w:hRule="atLeast"/>
        </w:trPr>
        <w:tc>
          <w:tcPr>
            <w:tcW w:w="2165" w:type="dxa"/>
          </w:tcPr>
          <w:p>
            <w:pPr>
              <w:pStyle w:val="TableParagraph"/>
              <w:spacing w:line="236" w:lineRule="exact"/>
              <w:ind w:left="28"/>
              <w:rPr>
                <w:sz w:val="24"/>
              </w:rPr>
            </w:pPr>
            <w:r>
              <w:rPr>
                <w:sz w:val="24"/>
              </w:rPr>
              <w:t>DLNER(-1)</w:t>
            </w:r>
          </w:p>
        </w:tc>
        <w:tc>
          <w:tcPr>
            <w:tcW w:w="1429" w:type="dxa"/>
          </w:tcPr>
          <w:p>
            <w:pPr>
              <w:pStyle w:val="TableParagraph"/>
              <w:spacing w:line="23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-0.098051</w:t>
            </w:r>
          </w:p>
        </w:tc>
        <w:tc>
          <w:tcPr>
            <w:tcW w:w="1430" w:type="dxa"/>
          </w:tcPr>
          <w:p>
            <w:pPr>
              <w:pStyle w:val="TableParagraph"/>
              <w:spacing w:line="236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0.053585</w:t>
            </w:r>
          </w:p>
        </w:tc>
        <w:tc>
          <w:tcPr>
            <w:tcW w:w="1300" w:type="dxa"/>
          </w:tcPr>
          <w:p>
            <w:pPr>
              <w:pStyle w:val="TableParagraph"/>
              <w:spacing w:line="236" w:lineRule="exact"/>
              <w:ind w:left="127" w:right="152"/>
              <w:jc w:val="center"/>
              <w:rPr>
                <w:sz w:val="24"/>
              </w:rPr>
            </w:pPr>
            <w:r>
              <w:rPr>
                <w:sz w:val="24"/>
              </w:rPr>
              <w:t>-1.829812</w:t>
            </w:r>
          </w:p>
        </w:tc>
        <w:tc>
          <w:tcPr>
            <w:tcW w:w="1191" w:type="dxa"/>
          </w:tcPr>
          <w:p>
            <w:pPr>
              <w:pStyle w:val="TableParagraph"/>
              <w:spacing w:line="23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0.0696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4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d</w:t>
            </w:r>
            <w:r>
              <w:rPr>
                <w:sz w:val="24"/>
                <w:vertAlign w:val="baseline"/>
              </w:rPr>
              <w:t>(-3)</w:t>
            </w:r>
          </w:p>
        </w:tc>
        <w:tc>
          <w:tcPr>
            <w:tcW w:w="1429" w:type="dxa"/>
          </w:tcPr>
          <w:p>
            <w:pPr>
              <w:pStyle w:val="TableParagraph"/>
              <w:spacing w:line="24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-0.417069</w:t>
            </w:r>
          </w:p>
        </w:tc>
        <w:tc>
          <w:tcPr>
            <w:tcW w:w="1430" w:type="dxa"/>
          </w:tcPr>
          <w:p>
            <w:pPr>
              <w:pStyle w:val="TableParagraph"/>
              <w:spacing w:line="241" w:lineRule="exact" w:before="1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0.217864</w:t>
            </w:r>
          </w:p>
        </w:tc>
        <w:tc>
          <w:tcPr>
            <w:tcW w:w="1300" w:type="dxa"/>
          </w:tcPr>
          <w:p>
            <w:pPr>
              <w:pStyle w:val="TableParagraph"/>
              <w:spacing w:line="241" w:lineRule="exact" w:before="15"/>
              <w:ind w:left="127" w:right="152"/>
              <w:jc w:val="center"/>
              <w:rPr>
                <w:sz w:val="24"/>
              </w:rPr>
            </w:pPr>
            <w:r>
              <w:rPr>
                <w:sz w:val="24"/>
              </w:rPr>
              <w:t>-1.914356</w:t>
            </w:r>
          </w:p>
        </w:tc>
        <w:tc>
          <w:tcPr>
            <w:tcW w:w="1191" w:type="dxa"/>
          </w:tcPr>
          <w:p>
            <w:pPr>
              <w:pStyle w:val="TableParagraph"/>
              <w:spacing w:line="241" w:lineRule="exact" w:before="1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0.0578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41" w:lineRule="exact" w:before="15"/>
              <w:ind w:left="28"/>
              <w:rPr>
                <w:i/>
                <w:sz w:val="24"/>
              </w:rPr>
            </w:pPr>
            <w:r>
              <w:rPr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f</w:t>
            </w:r>
          </w:p>
        </w:tc>
        <w:tc>
          <w:tcPr>
            <w:tcW w:w="1429" w:type="dxa"/>
          </w:tcPr>
          <w:p>
            <w:pPr>
              <w:pStyle w:val="TableParagraph"/>
              <w:spacing w:line="24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-6.982289</w:t>
            </w:r>
          </w:p>
        </w:tc>
        <w:tc>
          <w:tcPr>
            <w:tcW w:w="1430" w:type="dxa"/>
          </w:tcPr>
          <w:p>
            <w:pPr>
              <w:pStyle w:val="TableParagraph"/>
              <w:spacing w:line="241" w:lineRule="exact" w:before="1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1.911702</w:t>
            </w:r>
          </w:p>
        </w:tc>
        <w:tc>
          <w:tcPr>
            <w:tcW w:w="1300" w:type="dxa"/>
          </w:tcPr>
          <w:p>
            <w:pPr>
              <w:pStyle w:val="TableParagraph"/>
              <w:spacing w:line="241" w:lineRule="exact" w:before="15"/>
              <w:ind w:left="127" w:right="152"/>
              <w:jc w:val="center"/>
              <w:rPr>
                <w:sz w:val="24"/>
              </w:rPr>
            </w:pPr>
            <w:r>
              <w:rPr>
                <w:sz w:val="24"/>
              </w:rPr>
              <w:t>-3.652395</w:t>
            </w:r>
          </w:p>
        </w:tc>
        <w:tc>
          <w:tcPr>
            <w:tcW w:w="1191" w:type="dxa"/>
          </w:tcPr>
          <w:p>
            <w:pPr>
              <w:pStyle w:val="TableParagraph"/>
              <w:spacing w:line="241" w:lineRule="exact" w:before="1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</w:tr>
      <w:tr>
        <w:trPr>
          <w:trHeight w:val="295" w:hRule="atLeast"/>
        </w:trPr>
        <w:tc>
          <w:tcPr>
            <w:tcW w:w="2165" w:type="dxa"/>
          </w:tcPr>
          <w:p>
            <w:pPr>
              <w:pStyle w:val="TableParagraph"/>
              <w:spacing w:line="26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DLGDP</w:t>
            </w:r>
            <w:r>
              <w:rPr>
                <w:i/>
                <w:sz w:val="24"/>
                <w:vertAlign w:val="superscript"/>
              </w:rPr>
              <w:t>f</w:t>
            </w:r>
            <w:r>
              <w:rPr>
                <w:sz w:val="24"/>
                <w:vertAlign w:val="baseline"/>
              </w:rPr>
              <w:t>(-2)</w:t>
            </w:r>
          </w:p>
        </w:tc>
        <w:tc>
          <w:tcPr>
            <w:tcW w:w="1429" w:type="dxa"/>
          </w:tcPr>
          <w:p>
            <w:pPr>
              <w:pStyle w:val="TableParagraph"/>
              <w:spacing w:line="26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7.924909</w:t>
            </w:r>
          </w:p>
        </w:tc>
        <w:tc>
          <w:tcPr>
            <w:tcW w:w="1430" w:type="dxa"/>
          </w:tcPr>
          <w:p>
            <w:pPr>
              <w:pStyle w:val="TableParagraph"/>
              <w:spacing w:line="261" w:lineRule="exact" w:before="1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1.918353</w:t>
            </w:r>
          </w:p>
        </w:tc>
        <w:tc>
          <w:tcPr>
            <w:tcW w:w="1300" w:type="dxa"/>
          </w:tcPr>
          <w:p>
            <w:pPr>
              <w:pStyle w:val="TableParagraph"/>
              <w:spacing w:line="261" w:lineRule="exact" w:before="15"/>
              <w:ind w:left="127" w:right="76"/>
              <w:jc w:val="center"/>
              <w:rPr>
                <w:sz w:val="24"/>
              </w:rPr>
            </w:pPr>
            <w:r>
              <w:rPr>
                <w:sz w:val="24"/>
              </w:rPr>
              <w:t>4.131101</w:t>
            </w:r>
          </w:p>
        </w:tc>
        <w:tc>
          <w:tcPr>
            <w:tcW w:w="1191" w:type="dxa"/>
          </w:tcPr>
          <w:p>
            <w:pPr>
              <w:pStyle w:val="TableParagraph"/>
              <w:spacing w:line="261" w:lineRule="exact" w:before="1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DLWPI(-2)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-1.890624</w:t>
            </w:r>
          </w:p>
        </w:tc>
        <w:tc>
          <w:tcPr>
            <w:tcW w:w="1430" w:type="dxa"/>
          </w:tcPr>
          <w:p>
            <w:pPr>
              <w:pStyle w:val="TableParagraph"/>
              <w:spacing w:line="256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0.539299</w:t>
            </w:r>
          </w:p>
        </w:tc>
        <w:tc>
          <w:tcPr>
            <w:tcW w:w="1300" w:type="dxa"/>
          </w:tcPr>
          <w:p>
            <w:pPr>
              <w:pStyle w:val="TableParagraph"/>
              <w:spacing w:line="256" w:lineRule="exact"/>
              <w:ind w:left="127" w:right="152"/>
              <w:jc w:val="center"/>
              <w:rPr>
                <w:sz w:val="24"/>
              </w:rPr>
            </w:pPr>
            <w:r>
              <w:rPr>
                <w:sz w:val="24"/>
              </w:rPr>
              <w:t>-3.505703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LCPI(-1)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-0.233988</w:t>
            </w:r>
          </w:p>
        </w:tc>
        <w:tc>
          <w:tcPr>
            <w:tcW w:w="1430" w:type="dxa"/>
          </w:tcPr>
          <w:p>
            <w:pPr>
              <w:pStyle w:val="TableParagraph"/>
              <w:spacing w:line="256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0.045110</w:t>
            </w:r>
          </w:p>
        </w:tc>
        <w:tc>
          <w:tcPr>
            <w:tcW w:w="1300" w:type="dxa"/>
          </w:tcPr>
          <w:p>
            <w:pPr>
              <w:pStyle w:val="TableParagraph"/>
              <w:spacing w:line="256" w:lineRule="exact"/>
              <w:ind w:left="127" w:right="152"/>
              <w:jc w:val="center"/>
              <w:rPr>
                <w:sz w:val="24"/>
              </w:rPr>
            </w:pPr>
            <w:r>
              <w:rPr>
                <w:sz w:val="24"/>
              </w:rPr>
              <w:t>-5.187019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56" w:hRule="atLeast"/>
        </w:trPr>
        <w:tc>
          <w:tcPr>
            <w:tcW w:w="2165" w:type="dxa"/>
          </w:tcPr>
          <w:p>
            <w:pPr>
              <w:pStyle w:val="TableParagraph"/>
              <w:spacing w:line="236" w:lineRule="exact"/>
              <w:ind w:left="28"/>
              <w:rPr>
                <w:sz w:val="24"/>
              </w:rPr>
            </w:pPr>
            <w:r>
              <w:rPr>
                <w:sz w:val="24"/>
              </w:rPr>
              <w:t>LNER(-1)</w:t>
            </w:r>
          </w:p>
        </w:tc>
        <w:tc>
          <w:tcPr>
            <w:tcW w:w="1429" w:type="dxa"/>
          </w:tcPr>
          <w:p>
            <w:pPr>
              <w:pStyle w:val="TableParagraph"/>
              <w:spacing w:line="23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0.259306</w:t>
            </w:r>
          </w:p>
        </w:tc>
        <w:tc>
          <w:tcPr>
            <w:tcW w:w="1430" w:type="dxa"/>
          </w:tcPr>
          <w:p>
            <w:pPr>
              <w:pStyle w:val="TableParagraph"/>
              <w:spacing w:line="236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0.046969</w:t>
            </w:r>
          </w:p>
        </w:tc>
        <w:tc>
          <w:tcPr>
            <w:tcW w:w="1300" w:type="dxa"/>
          </w:tcPr>
          <w:p>
            <w:pPr>
              <w:pStyle w:val="TableParagraph"/>
              <w:spacing w:line="236" w:lineRule="exact"/>
              <w:ind w:left="127" w:right="76"/>
              <w:jc w:val="center"/>
              <w:rPr>
                <w:sz w:val="24"/>
              </w:rPr>
            </w:pPr>
            <w:r>
              <w:rPr>
                <w:sz w:val="24"/>
              </w:rPr>
              <w:t>5.520786</w:t>
            </w:r>
          </w:p>
        </w:tc>
        <w:tc>
          <w:tcPr>
            <w:tcW w:w="1191" w:type="dxa"/>
          </w:tcPr>
          <w:p>
            <w:pPr>
              <w:pStyle w:val="TableParagraph"/>
              <w:spacing w:line="23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4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d</w:t>
            </w:r>
            <w:r>
              <w:rPr>
                <w:sz w:val="24"/>
                <w:vertAlign w:val="baseline"/>
              </w:rPr>
              <w:t>(-1)</w:t>
            </w:r>
          </w:p>
        </w:tc>
        <w:tc>
          <w:tcPr>
            <w:tcW w:w="1429" w:type="dxa"/>
          </w:tcPr>
          <w:p>
            <w:pPr>
              <w:pStyle w:val="TableParagraph"/>
              <w:spacing w:line="24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0.100660</w:t>
            </w:r>
          </w:p>
        </w:tc>
        <w:tc>
          <w:tcPr>
            <w:tcW w:w="1430" w:type="dxa"/>
          </w:tcPr>
          <w:p>
            <w:pPr>
              <w:pStyle w:val="TableParagraph"/>
              <w:spacing w:line="241" w:lineRule="exact" w:before="1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0.057875</w:t>
            </w:r>
          </w:p>
        </w:tc>
        <w:tc>
          <w:tcPr>
            <w:tcW w:w="1300" w:type="dxa"/>
          </w:tcPr>
          <w:p>
            <w:pPr>
              <w:pStyle w:val="TableParagraph"/>
              <w:spacing w:line="241" w:lineRule="exact" w:before="15"/>
              <w:ind w:left="127" w:right="76"/>
              <w:jc w:val="center"/>
              <w:rPr>
                <w:sz w:val="24"/>
              </w:rPr>
            </w:pPr>
            <w:r>
              <w:rPr>
                <w:sz w:val="24"/>
              </w:rPr>
              <w:t>1.739250</w:t>
            </w:r>
          </w:p>
        </w:tc>
        <w:tc>
          <w:tcPr>
            <w:tcW w:w="1191" w:type="dxa"/>
          </w:tcPr>
          <w:p>
            <w:pPr>
              <w:pStyle w:val="TableParagraph"/>
              <w:spacing w:line="241" w:lineRule="exact" w:before="1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0.0844</w:t>
            </w:r>
          </w:p>
        </w:tc>
      </w:tr>
      <w:tr>
        <w:trPr>
          <w:trHeight w:val="295" w:hRule="atLeast"/>
        </w:trPr>
        <w:tc>
          <w:tcPr>
            <w:tcW w:w="2165" w:type="dxa"/>
          </w:tcPr>
          <w:p>
            <w:pPr>
              <w:pStyle w:val="TableParagraph"/>
              <w:spacing w:line="26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LGDP</w:t>
            </w:r>
            <w:r>
              <w:rPr>
                <w:i/>
                <w:sz w:val="24"/>
                <w:vertAlign w:val="superscript"/>
              </w:rPr>
              <w:t>f</w:t>
            </w:r>
            <w:r>
              <w:rPr>
                <w:sz w:val="24"/>
                <w:vertAlign w:val="baseline"/>
              </w:rPr>
              <w:t>(-1)</w:t>
            </w:r>
          </w:p>
        </w:tc>
        <w:tc>
          <w:tcPr>
            <w:tcW w:w="1429" w:type="dxa"/>
          </w:tcPr>
          <w:p>
            <w:pPr>
              <w:pStyle w:val="TableParagraph"/>
              <w:spacing w:line="261" w:lineRule="exact" w:before="15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-1.945991</w:t>
            </w:r>
          </w:p>
        </w:tc>
        <w:tc>
          <w:tcPr>
            <w:tcW w:w="1430" w:type="dxa"/>
          </w:tcPr>
          <w:p>
            <w:pPr>
              <w:pStyle w:val="TableParagraph"/>
              <w:spacing w:line="261" w:lineRule="exact" w:before="1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0.309370</w:t>
            </w:r>
          </w:p>
        </w:tc>
        <w:tc>
          <w:tcPr>
            <w:tcW w:w="1300" w:type="dxa"/>
          </w:tcPr>
          <w:p>
            <w:pPr>
              <w:pStyle w:val="TableParagraph"/>
              <w:spacing w:line="261" w:lineRule="exact" w:before="15"/>
              <w:ind w:left="127" w:right="152"/>
              <w:jc w:val="center"/>
              <w:rPr>
                <w:sz w:val="24"/>
              </w:rPr>
            </w:pPr>
            <w:r>
              <w:rPr>
                <w:sz w:val="24"/>
              </w:rPr>
              <w:t>-6.290178</w:t>
            </w:r>
          </w:p>
        </w:tc>
        <w:tc>
          <w:tcPr>
            <w:tcW w:w="1191" w:type="dxa"/>
          </w:tcPr>
          <w:p>
            <w:pPr>
              <w:pStyle w:val="TableParagraph"/>
              <w:spacing w:line="261" w:lineRule="exact" w:before="1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395" w:hRule="atLeast"/>
        </w:trPr>
        <w:tc>
          <w:tcPr>
            <w:tcW w:w="21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LWPI(-1)</w:t>
            </w:r>
          </w:p>
        </w:tc>
        <w:tc>
          <w:tcPr>
            <w:tcW w:w="14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0.910302</w:t>
            </w:r>
          </w:p>
        </w:tc>
        <w:tc>
          <w:tcPr>
            <w:tcW w:w="143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0.147755</w:t>
            </w:r>
          </w:p>
        </w:tc>
        <w:tc>
          <w:tcPr>
            <w:tcW w:w="130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27" w:right="76"/>
              <w:jc w:val="center"/>
              <w:rPr>
                <w:sz w:val="24"/>
              </w:rPr>
            </w:pPr>
            <w:r>
              <w:rPr>
                <w:sz w:val="24"/>
              </w:rPr>
              <w:t>6.160872</w:t>
            </w:r>
          </w:p>
        </w:tc>
        <w:tc>
          <w:tcPr>
            <w:tcW w:w="11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365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4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0.489373</w:t>
            </w:r>
          </w:p>
        </w:tc>
        <w:tc>
          <w:tcPr>
            <w:tcW w:w="2730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0.068665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0.441124</w:t>
            </w: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0.117347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0.087726</w:t>
            </w: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-1.940931</w:t>
            </w:r>
          </w:p>
        </w:tc>
      </w:tr>
      <w:tr>
        <w:trPr>
          <w:trHeight w:val="276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0.977380</w:t>
            </w: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criterion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-1.667779</w:t>
            </w:r>
          </w:p>
        </w:tc>
      </w:tr>
      <w:tr>
        <w:trPr>
          <w:trHeight w:val="275" w:hRule="atLeast"/>
        </w:trPr>
        <w:tc>
          <w:tcPr>
            <w:tcW w:w="2165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148.8652</w:t>
            </w:r>
          </w:p>
        </w:tc>
        <w:tc>
          <w:tcPr>
            <w:tcW w:w="1430" w:type="dxa"/>
          </w:tcPr>
          <w:p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10.14280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</w:t>
            </w:r>
          </w:p>
        </w:tc>
        <w:tc>
          <w:tcPr>
            <w:tcW w:w="14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2.179417</w:t>
            </w:r>
          </w:p>
        </w:tc>
        <w:tc>
          <w:tcPr>
            <w:tcW w:w="2730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1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p>
      <w:pPr>
        <w:pStyle w:val="Heading2"/>
      </w:pPr>
      <w:r>
        <w:rPr/>
        <w:pict>
          <v:shape style="position:absolute;margin-left:116.940002pt;margin-top:397.679993pt;width:194.45pt;height:196.9pt;mso-position-horizontal-relative:page;mso-position-vertical-relative:page;z-index:-25221632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08.139999pt;margin-top:500.109985pt;width:108.26pt;height:.72pt;mso-position-horizontal-relative:page;mso-position-vertical-relative:page;z-index:-25220608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553.149963pt;width:108.26pt;height:.72003pt;mso-position-horizontal-relative:page;mso-position-vertical-relative:page;z-index:-25220096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620.139954pt;width:108.26pt;height:.72003pt;mso-position-horizontal-relative:page;mso-position-vertical-relative:page;z-index:-25219584" filled="true" fillcolor="#000000" stroked="false">
            <v:fill type="solid"/>
            <w10:wrap type="none"/>
          </v:rect>
        </w:pict>
      </w:r>
      <w:r>
        <w:rPr/>
        <w:t>Appendix 20:</w:t>
      </w:r>
      <w:r>
        <w:rPr>
          <w:spacing w:val="-5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Consumer Price</w:t>
      </w:r>
      <w:r>
        <w:rPr>
          <w:spacing w:val="-3"/>
        </w:rPr>
        <w:t> </w:t>
      </w:r>
      <w:r>
        <w:rPr/>
        <w:t>Index</w:t>
      </w:r>
      <w:r>
        <w:rPr>
          <w:spacing w:val="-1"/>
        </w:rPr>
        <w:t> </w:t>
      </w:r>
      <w:r>
        <w:rPr/>
        <w:t>Equation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811" w:right="0" w:firstLine="0"/>
        <w:jc w:val="left"/>
        <w:rPr>
          <w:b/>
          <w:sz w:val="24"/>
        </w:rPr>
      </w:pPr>
      <w:r>
        <w:rPr>
          <w:b/>
          <w:sz w:val="24"/>
        </w:rPr>
        <w:t>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Residual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Tests</w:t>
      </w:r>
    </w:p>
    <w:p>
      <w:pPr>
        <w:pStyle w:val="Heading2"/>
        <w:spacing w:before="0" w:after="6"/>
      </w:pPr>
      <w:r>
        <w:rPr/>
        <w:pict>
          <v:shape style="position:absolute;margin-left:281.300018pt;margin-top:85.763069pt;width:237.4pt;height:230.5pt;mso-position-horizontal-relative:page;mso-position-vertical-relative:paragraph;z-index:-25221120" coordorigin="5626,1715" coordsize="4748,4610" path="m6603,6268l6602,6265,6600,6258,6597,6254,6306,5964,6268,5892,6080,5530,6004,5386,5993,5366,5983,5354,5979,5351,5969,5349,5964,5351,5957,5354,5944,5366,5928,5381,5923,5387,5916,5397,5914,5401,5912,5409,5912,5413,5917,5426,5921,5431,6079,5724,6115,5788,6178,5896,6177,5897,6002,5797,5929,5758,5783,5679,5705,5637,5696,5634,5692,5633,5684,5634,5680,5635,5675,5638,5670,5642,5658,5652,5642,5667,5632,5680,5628,5685,5626,5690,5628,5700,5631,5705,5637,5709,5643,5714,5664,5726,5736,5764,6098,5953,6242,6028,6532,6319,6536,6322,6542,6325,6546,6325,6550,6323,6554,6322,6564,6317,6569,6314,6575,6309,6587,6297,6592,6291,6595,6286,6600,6276,6601,6272,6603,6268xm7274,5536l7274,5499,7268,5460,7258,5420,7242,5379,7223,5337,7199,5294,7170,5250,7161,5237,7161,5508,7157,5535,7148,5560,7133,5583,7115,5605,7093,5624,7070,5639,7045,5648,7020,5653,6994,5654,6967,5651,6939,5644,6909,5633,6880,5619,6849,5602,6818,5582,6786,5558,6753,5531,6720,5502,6687,5471,6652,5438,6622,5407,6594,5375,6567,5344,6541,5312,6518,5280,6499,5249,6482,5219,6469,5188,6458,5159,6451,5130,6447,5102,6447,5074,6451,5048,6460,5023,6474,5000,6493,4978,6515,4959,6537,4945,6562,4936,6587,4931,6614,4930,6641,4933,6669,4940,6698,4950,6728,4965,6759,4982,6790,5001,6821,5025,6854,5051,6886,5079,6919,5109,6952,5141,6983,5173,7012,5205,7039,5236,7064,5268,7088,5300,7108,5332,7125,5363,7139,5393,7150,5423,7157,5453,7161,5481,7161,5508,7161,5237,7137,5204,7100,5159,7059,5112,7013,5065,6966,5020,6921,4979,6876,4942,6860,4930,6832,4910,6790,4882,6749,4859,6709,4841,6670,4826,6633,4817,6596,4813,6562,4813,6528,4818,6496,4827,6465,4841,6436,4861,6408,4885,6383,4914,6363,4945,6348,4977,6339,5011,6335,5047,6336,5085,6341,5123,6351,5162,6366,5203,6386,5245,6409,5288,6438,5332,6470,5377,6507,5422,6547,5468,6591,5514,6639,5560,6685,5602,6731,5639,6775,5672,6817,5700,6859,5724,6899,5743,6938,5757,6975,5766,7011,5771,7046,5771,7080,5766,7113,5757,7144,5743,7173,5723,7201,5698,7227,5669,7237,5654,7247,5639,7261,5606,7270,5572,7274,5536xm7572,5298l7572,5295,7569,5287,7567,5285,7239,4957,7409,4786,7410,4783,7410,4776,7409,4773,7404,4764,7400,4758,7385,4740,7369,4723,7361,4716,7355,4712,7349,4706,7344,4703,7336,4700,7332,4699,7328,4698,7325,4699,7323,4700,7153,4870,6887,4605,7068,4425,7069,4423,7069,4419,7068,4412,7063,4403,7059,4397,7043,4378,7035,4371,7027,4363,7008,4346,6993,4337,6989,4336,6982,4336,6980,4337,6753,4563,6750,4572,6752,4583,6754,4592,6759,4602,6767,4613,6777,4624,7502,5349,7505,5351,7513,5354,7516,5355,7520,5353,7524,5353,7534,5347,7539,5344,7545,5339,7557,5327,7565,5316,7570,5307,7571,5302,7572,5298xm8101,4770l8100,4767,8098,4760,8095,4756,8092,4753,7340,4001,7337,3999,7330,3996,7327,3996,7322,3997,7318,3998,7309,4003,7298,4011,7286,4023,7278,4033,7273,4043,7272,4047,7271,4052,7271,4055,7274,4062,7276,4066,8031,4821,8034,4823,8041,4826,8044,4826,8048,4825,8053,4824,8063,4819,8073,4811,8086,4798,8090,4793,8094,4788,8099,4778,8099,4774,8101,4770xm8456,4342l8456,4326,8454,4309,8451,4292,8448,4275,8442,4258,8436,4240,8428,4223,8419,4205,8409,4187,8397,4168,8383,4150,8369,4132,8352,4113,8346,4106,8346,4309,8345,4323,8343,4336,8340,4349,8335,4361,8328,4373,8320,4384,8310,4396,8216,4489,7941,4215,8018,4137,8024,4132,8034,4123,8049,4112,8063,4102,8078,4096,8093,4092,8108,4089,8124,4089,8139,4090,8155,4093,8171,4099,8188,4106,8204,4114,8221,4125,8238,4138,8255,4152,8273,4169,8288,4185,8301,4201,8313,4217,8323,4233,8331,4249,8337,4264,8341,4279,8344,4294,8346,4309,8346,4106,8335,4095,8328,4089,8315,4076,8295,4059,8275,4043,8254,4029,8234,4017,8214,4007,8195,3999,8190,3997,8176,3992,8158,3987,8139,3983,8122,3982,8105,3981,8089,3983,8073,3986,8059,3991,8046,3997,8048,3983,8048,3970,8048,3955,8046,3941,8043,3926,8039,3912,8034,3897,8028,3882,8021,3867,8013,3853,8004,3838,7993,3824,7982,3809,7971,3795,7964,3787,7964,3981,7964,3994,7962,4007,7958,4020,7952,4033,7943,4046,7932,4059,7859,4132,7606,3879,7673,3813,7686,3800,7700,3790,7713,3782,7726,3776,7739,3773,7751,3771,7765,3771,7777,3773,7791,3777,7805,3782,7818,3789,7832,3797,7846,3806,7860,3817,7874,3830,7888,3843,7900,3856,7912,3869,7923,3883,7933,3896,7941,3911,7949,3925,7955,3939,7959,3953,7962,3967,7964,3981,7964,3787,7958,3780,7950,3771,7945,3766,7921,3744,7898,3725,7875,3708,7852,3692,7829,3680,7806,3670,7784,3663,7762,3658,7740,3656,7719,3657,7698,3661,7677,3666,7656,3675,7635,3688,7614,3705,7592,3725,7481,3835,7476,3841,7473,3850,7474,3860,7477,3870,7482,3880,7489,3890,7500,3902,8195,4597,8206,4608,8217,4615,8227,4620,8236,4622,8247,4624,8256,4621,8387,4489,8389,4488,8402,4474,8413,4460,8423,4447,8431,4433,8438,4419,8444,4404,8449,4390,8452,4374,8454,4358,8456,4342xm9020,3857l9019,3852,9017,3847,9014,3842,9009,3836,9003,3831,8995,3826,8984,3819,8889,3758,8609,3582,8609,3693,8440,3862,8179,3457,8135,3389,8135,3389,8135,3389,8609,3693,8609,3582,8304,3389,8097,3257,8091,3254,8086,3251,8081,3250,8076,3249,8072,3249,8062,3253,8056,3256,8050,3260,8044,3265,8038,3272,8030,3280,8022,3287,8016,3293,8012,3299,8008,3304,8005,3309,8004,3314,8002,3319,8001,3324,8003,3328,8004,3333,8007,3338,8010,3343,8053,3411,8370,3913,8571,4231,8578,4242,8584,4250,8589,4255,8594,4261,8600,4264,8604,4265,8609,4266,8614,4265,8620,4261,8625,4257,8632,4252,8646,4238,8651,4231,8655,4226,8659,4222,8661,4217,8661,4212,8662,4208,8662,4204,8660,4200,8659,4197,8657,4192,8654,4188,8617,4131,8506,3961,8605,3862,8709,3758,8940,3906,8945,3909,8949,3911,8953,3912,8956,3913,8960,3913,8963,3912,8968,3912,8972,3909,8978,3905,8983,3901,9005,3879,9010,3873,9014,3867,9018,3862,9020,3857xm9323,3442l9321,3403,9314,3363,9302,3323,9285,3280,9263,3236,9236,3191,9213,3158,9213,3406,9212,3433,9207,3459,9198,3484,9186,3509,9168,3533,9147,3556,9080,3623,8473,3016,8539,2950,8565,2927,8590,2909,8617,2897,8644,2890,8672,2887,8700,2887,8729,2891,8759,2899,8790,2910,8821,2924,8852,2942,8884,2962,8916,2986,8948,3012,8980,3040,9012,3071,9049,3110,9083,3147,9113,3184,9138,3219,9160,3253,9178,3286,9193,3317,9203,3348,9210,3378,9213,3406,9213,3158,9204,3145,9166,3097,9124,3048,9076,2998,9032,2956,8988,2919,8947,2887,8945,2885,8902,2855,8860,2830,8819,2810,8778,2793,8738,2781,8700,2774,8662,2771,8625,2773,8590,2779,8555,2790,8522,2808,8489,2831,8457,2860,8341,2976,8338,2984,8339,2995,8342,3005,8347,3014,8354,3025,8365,3036,9060,3732,9072,3742,9082,3750,9092,3755,9101,3757,9112,3759,9121,3756,9230,3647,9252,3623,9258,3615,9282,3583,9300,3549,9313,3515,9320,3479,9323,3442xm9940,2937l9939,2932,9937,2927,9934,2922,9929,2916,9923,2911,9916,2906,9905,2898,9810,2838,9529,2661,9529,2772,9360,2942,9099,2537,9055,2469,9055,2469,9529,2772,9529,2661,9224,2469,9017,2337,9011,2334,9006,2331,8996,2329,8992,2329,8987,2331,8982,2332,8976,2335,8971,2340,8965,2345,8958,2351,8950,2359,8936,2373,8928,2384,8925,2389,8924,2394,8922,2399,8922,2403,8923,2408,8924,2413,8927,2418,8930,2423,9017,2559,9289,2992,9318,3038,9491,3311,9498,3322,9504,3329,9509,3335,9514,3341,9520,3344,9529,3346,9534,3345,9540,3341,9545,3337,9552,3332,9566,3318,9571,3311,9575,3306,9579,3301,9581,3297,9581,3292,9582,3288,9582,3284,9580,3280,9579,3276,9577,3272,9574,3268,9426,3040,9525,2942,9629,2838,9860,2986,9865,2989,9869,2990,9873,2992,9876,2993,9880,2993,9883,2992,9888,2992,9892,2989,9898,2985,9903,2981,9925,2959,9930,2953,9934,2947,9938,2942,9940,2937xm10374,2493l10372,2481,10369,2474,10362,2459,10356,2451,10348,2443,9625,1720,9622,1718,9615,1716,9611,1715,9602,1717,9598,1719,9593,1722,9582,1730,9570,1743,9559,1758,9556,1763,9555,1771,9556,1775,9557,1779,9558,1782,9560,1785,10011,2236,10186,2409,10186,2409,10037,2331,9959,2291,9898,2261,9801,2213,9573,2099,9421,2023,9397,2011,9378,2003,9366,1999,9356,1996,9347,1995,9338,1995,9330,1996,9316,2003,9309,2008,9263,2054,9260,2063,9261,2076,9264,2085,9269,2096,9277,2107,9287,2119,10010,2841,10013,2843,10016,2845,10020,2847,10024,2847,10028,2845,10032,2845,10042,2840,10052,2832,10065,2819,10073,2809,10076,2803,10078,2799,10078,2795,10080,2791,10080,2787,10078,2783,10077,2779,10075,2777,9533,2236,9421,2126,9422,2125,9468,2151,9565,2202,9686,2262,10057,2446,10204,2520,10233,2534,10272,2550,10285,2553,10295,2554,10305,2556,10314,2555,10321,2552,10329,2550,10336,2545,10367,2513,10370,2509,10373,2499,10374,2493xe" filled="true" fillcolor="#ffc000" stroked="false">
            <v:path arrowok="t"/>
            <v:fill opacity="32896f" type="solid"/>
            <w10:wrap type="none"/>
          </v:shape>
        </w:pict>
      </w:r>
      <w:r>
        <w:rPr/>
        <w:t>A1:</w:t>
      </w:r>
      <w:r>
        <w:rPr>
          <w:spacing w:val="-4"/>
        </w:rPr>
        <w:t> </w:t>
      </w:r>
      <w:r>
        <w:rPr/>
        <w:t>Correlogram-Q-Statistics</w:t>
      </w: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444"/>
        <w:gridCol w:w="921"/>
        <w:gridCol w:w="693"/>
        <w:gridCol w:w="729"/>
        <w:gridCol w:w="809"/>
        <w:gridCol w:w="695"/>
      </w:tblGrid>
      <w:tr>
        <w:trPr>
          <w:trHeight w:val="270" w:hRule="atLeast"/>
        </w:trPr>
        <w:tc>
          <w:tcPr>
            <w:tcW w:w="7165" w:type="dxa"/>
            <w:gridSpan w:val="7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Sample: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1976Q1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2010Q4</w:t>
            </w:r>
          </w:p>
        </w:tc>
      </w:tr>
      <w:tr>
        <w:trPr>
          <w:trHeight w:val="378" w:hRule="atLeast"/>
        </w:trPr>
        <w:tc>
          <w:tcPr>
            <w:tcW w:w="7165" w:type="dxa"/>
            <w:gridSpan w:val="7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Included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observations: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140</w:t>
            </w:r>
          </w:p>
        </w:tc>
      </w:tr>
      <w:tr>
        <w:trPr>
          <w:trHeight w:val="485" w:hRule="atLeast"/>
        </w:trPr>
        <w:tc>
          <w:tcPr>
            <w:tcW w:w="187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206"/>
              <w:rPr>
                <w:sz w:val="24"/>
              </w:rPr>
            </w:pPr>
            <w:r>
              <w:rPr>
                <w:sz w:val="24"/>
              </w:rPr>
              <w:t>Autocorrelation</w:t>
            </w:r>
          </w:p>
        </w:tc>
        <w:tc>
          <w:tcPr>
            <w:tcW w:w="2365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49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69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8" w:right="69"/>
              <w:jc w:val="center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7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PAC</w:t>
            </w:r>
          </w:p>
        </w:tc>
        <w:tc>
          <w:tcPr>
            <w:tcW w:w="80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53" w:right="53"/>
              <w:jc w:val="center"/>
              <w:rPr>
                <w:sz w:val="24"/>
              </w:rPr>
            </w:pPr>
            <w:r>
              <w:rPr>
                <w:sz w:val="24"/>
              </w:rPr>
              <w:t>Q-Stat</w:t>
            </w:r>
          </w:p>
        </w:tc>
        <w:tc>
          <w:tcPr>
            <w:tcW w:w="69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1"/>
              <w:ind w:left="116"/>
              <w:rPr>
                <w:sz w:val="24"/>
              </w:rPr>
            </w:pPr>
            <w:r>
              <w:rPr>
                <w:sz w:val="24"/>
              </w:rPr>
              <w:t>Prob</w:t>
            </w:r>
          </w:p>
        </w:tc>
      </w:tr>
      <w:tr>
        <w:trPr>
          <w:trHeight w:val="382" w:hRule="atLeast"/>
        </w:trPr>
        <w:tc>
          <w:tcPr>
            <w:tcW w:w="187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261" w:lineRule="exact" w:before="101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1" w:lineRule="exact" w:before="101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92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left="18" w:right="15"/>
              <w:jc w:val="center"/>
              <w:rPr>
                <w:sz w:val="24"/>
              </w:rPr>
            </w:pPr>
            <w:r>
              <w:rPr>
                <w:sz w:val="24"/>
              </w:rPr>
              <w:t>-0.099</w:t>
            </w:r>
          </w:p>
        </w:tc>
        <w:tc>
          <w:tcPr>
            <w:tcW w:w="7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-0.099</w:t>
            </w:r>
          </w:p>
        </w:tc>
        <w:tc>
          <w:tcPr>
            <w:tcW w:w="80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1.4066</w:t>
            </w:r>
          </w:p>
        </w:tc>
        <w:tc>
          <w:tcPr>
            <w:tcW w:w="69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101"/>
              <w:ind w:left="80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18" w:right="15"/>
              <w:jc w:val="center"/>
              <w:rPr>
                <w:sz w:val="24"/>
              </w:rPr>
            </w:pPr>
            <w:r>
              <w:rPr>
                <w:sz w:val="24"/>
              </w:rPr>
              <w:t>-0.152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-0.164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4.7541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-0.031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4.7569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0.114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0.090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6.6733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6.7623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0.239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18" w:right="15"/>
              <w:jc w:val="center"/>
              <w:rPr>
                <w:sz w:val="24"/>
              </w:rPr>
            </w:pPr>
            <w:r>
              <w:rPr>
                <w:sz w:val="24"/>
              </w:rPr>
              <w:t>-0.119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-0.083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8.8578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0.070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9.5971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0.213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9.9215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0.271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9.9318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0.356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0.078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10.186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0.424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18" w:right="15"/>
              <w:jc w:val="center"/>
              <w:rPr>
                <w:sz w:val="24"/>
              </w:rPr>
            </w:pPr>
            <w:r>
              <w:rPr>
                <w:sz w:val="24"/>
              </w:rPr>
              <w:t>-0.057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-0.047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10.685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0.470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18" w:right="15"/>
              <w:jc w:val="center"/>
              <w:rPr>
                <w:sz w:val="24"/>
              </w:rPr>
            </w:pPr>
            <w:r>
              <w:rPr>
                <w:sz w:val="24"/>
              </w:rPr>
              <w:t>-0.093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-0.117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12.039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0.443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12.236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0.508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18" w:right="15"/>
              <w:jc w:val="center"/>
              <w:rPr>
                <w:sz w:val="24"/>
              </w:rPr>
            </w:pPr>
            <w:r>
              <w:rPr>
                <w:sz w:val="24"/>
              </w:rPr>
              <w:t>-0.036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-0.075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12.435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0.571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0.053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12.888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0.611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.|*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647" w:val="left" w:leader="none"/>
              </w:tabs>
              <w:spacing w:line="256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.|**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0.223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17.686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0.343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103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9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18" w:right="15"/>
              <w:jc w:val="center"/>
              <w:rPr>
                <w:sz w:val="24"/>
              </w:rPr>
            </w:pPr>
            <w:r>
              <w:rPr>
                <w:sz w:val="24"/>
              </w:rPr>
              <w:t>-0.103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-0.070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19.409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0.306</w:t>
            </w:r>
          </w:p>
        </w:tc>
      </w:tr>
      <w:tr>
        <w:trPr>
          <w:trHeight w:val="276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18" w:right="15"/>
              <w:jc w:val="center"/>
              <w:rPr>
                <w:sz w:val="24"/>
              </w:rPr>
            </w:pPr>
            <w:r>
              <w:rPr>
                <w:sz w:val="24"/>
              </w:rPr>
              <w:t>-0.040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-0.021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19.672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</w:tr>
      <w:tr>
        <w:trPr>
          <w:trHeight w:val="275" w:hRule="atLeast"/>
        </w:trPr>
        <w:tc>
          <w:tcPr>
            <w:tcW w:w="1874" w:type="dxa"/>
          </w:tcPr>
          <w:p>
            <w:pPr>
              <w:pStyle w:val="TableParagraph"/>
              <w:tabs>
                <w:tab w:pos="976" w:val="left" w:leader="none"/>
              </w:tabs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</w:tcPr>
          <w:p>
            <w:pPr>
              <w:pStyle w:val="TableParagraph"/>
              <w:tabs>
                <w:tab w:pos="1037" w:val="left" w:leader="none"/>
              </w:tabs>
              <w:spacing w:line="256" w:lineRule="exact"/>
              <w:ind w:left="509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921" w:type="dxa"/>
          </w:tcPr>
          <w:p>
            <w:pPr>
              <w:pStyle w:val="TableParagraph"/>
              <w:spacing w:line="256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97" w:right="15"/>
              <w:jc w:val="center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-0.010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19.676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0.414</w:t>
            </w:r>
          </w:p>
        </w:tc>
      </w:tr>
      <w:tr>
        <w:trPr>
          <w:trHeight w:val="378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976" w:val="left" w:leader="none"/>
              </w:tabs>
              <w:spacing w:line="271" w:lineRule="exact"/>
              <w:ind w:left="448"/>
              <w:rPr>
                <w:sz w:val="24"/>
              </w:rPr>
            </w:pPr>
            <w:r>
              <w:rPr>
                <w:sz w:val="24"/>
              </w:rPr>
              <w:t>.|.</w:t>
              <w:tab/>
              <w:t>|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1" w:lineRule="exact"/>
              <w:ind w:left="509"/>
              <w:rPr>
                <w:sz w:val="24"/>
              </w:rPr>
            </w:pPr>
            <w:r>
              <w:rPr>
                <w:sz w:val="24"/>
              </w:rPr>
              <w:t>*|.</w:t>
              <w:tab/>
              <w:t>|</w:t>
            </w:r>
          </w:p>
        </w:tc>
        <w:tc>
          <w:tcPr>
            <w:tcW w:w="92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8" w:right="15"/>
              <w:jc w:val="center"/>
              <w:rPr>
                <w:sz w:val="24"/>
              </w:rPr>
            </w:pPr>
            <w:r>
              <w:rPr>
                <w:sz w:val="24"/>
              </w:rPr>
              <w:t>-0.010</w:t>
            </w:r>
          </w:p>
        </w:tc>
        <w:tc>
          <w:tcPr>
            <w:tcW w:w="7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-0.087</w:t>
            </w:r>
          </w:p>
        </w:tc>
        <w:tc>
          <w:tcPr>
            <w:tcW w:w="80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19.693</w:t>
            </w:r>
          </w:p>
        </w:tc>
        <w:tc>
          <w:tcPr>
            <w:tcW w:w="69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0.477</w:t>
            </w:r>
          </w:p>
        </w:tc>
      </w:tr>
      <w:tr>
        <w:trPr>
          <w:trHeight w:val="502" w:hRule="atLeast"/>
        </w:trPr>
        <w:tc>
          <w:tcPr>
            <w:tcW w:w="7165" w:type="dxa"/>
            <w:gridSpan w:val="7"/>
            <w:tcBorders>
              <w:top w:val="double" w:sz="2" w:space="0" w:color="000000"/>
            </w:tcBorders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A2: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Normality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Jarque-Bera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471" w:hRule="atLeast"/>
        </w:trPr>
        <w:tc>
          <w:tcPr>
            <w:tcW w:w="1874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4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138.2034</w:t>
            </w:r>
          </w:p>
        </w:tc>
        <w:tc>
          <w:tcPr>
            <w:tcW w:w="161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4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84"/>
              <w:ind w:left="570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  <w:tr>
        <w:trPr>
          <w:trHeight w:val="499" w:hRule="atLeast"/>
        </w:trPr>
        <w:tc>
          <w:tcPr>
            <w:tcW w:w="7165" w:type="dxa"/>
            <w:gridSpan w:val="7"/>
            <w:tcBorders>
              <w:top w:val="double" w:sz="2" w:space="0" w:color="000000"/>
            </w:tcBorders>
          </w:tcPr>
          <w:p>
            <w:pPr>
              <w:pStyle w:val="TableParagraph"/>
              <w:spacing w:before="10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A3: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Breusch-Godfrey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Serial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Correlation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3.245866</w:t>
            </w:r>
          </w:p>
        </w:tc>
        <w:tc>
          <w:tcPr>
            <w:tcW w:w="161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29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570"/>
              <w:rPr>
                <w:sz w:val="24"/>
              </w:rPr>
            </w:pPr>
            <w:r>
              <w:rPr>
                <w:sz w:val="24"/>
              </w:rPr>
              <w:t>0.042240</w:t>
            </w:r>
          </w:p>
        </w:tc>
      </w:tr>
      <w:tr>
        <w:trPr>
          <w:trHeight w:val="378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6.911784</w:t>
            </w:r>
          </w:p>
        </w:tc>
        <w:tc>
          <w:tcPr>
            <w:tcW w:w="161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29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570"/>
              <w:rPr>
                <w:sz w:val="24"/>
              </w:rPr>
            </w:pPr>
            <w:r>
              <w:rPr>
                <w:sz w:val="24"/>
              </w:rPr>
              <w:t>0.031559</w:t>
            </w:r>
          </w:p>
        </w:tc>
      </w:tr>
      <w:tr>
        <w:trPr>
          <w:trHeight w:val="502" w:hRule="atLeast"/>
        </w:trPr>
        <w:tc>
          <w:tcPr>
            <w:tcW w:w="1874" w:type="dxa"/>
            <w:tcBorders>
              <w:top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A4: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ARCH Test:</w:t>
            </w:r>
          </w:p>
        </w:tc>
        <w:tc>
          <w:tcPr>
            <w:tcW w:w="144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5" w:hRule="atLeast"/>
        </w:trPr>
        <w:tc>
          <w:tcPr>
            <w:tcW w:w="1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4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4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5.126889</w:t>
            </w:r>
          </w:p>
        </w:tc>
        <w:tc>
          <w:tcPr>
            <w:tcW w:w="161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29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4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4"/>
              <w:ind w:left="570"/>
              <w:rPr>
                <w:sz w:val="24"/>
              </w:rPr>
            </w:pPr>
            <w:r>
              <w:rPr>
                <w:sz w:val="24"/>
              </w:rPr>
              <w:t>0.025129</w:t>
            </w:r>
          </w:p>
        </w:tc>
      </w:tr>
      <w:tr>
        <w:trPr>
          <w:trHeight w:val="381" w:hRule="atLeast"/>
        </w:trPr>
        <w:tc>
          <w:tcPr>
            <w:tcW w:w="1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4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5.014094</w:t>
            </w:r>
          </w:p>
        </w:tc>
        <w:tc>
          <w:tcPr>
            <w:tcW w:w="161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729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4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570"/>
              <w:rPr>
                <w:sz w:val="24"/>
              </w:rPr>
            </w:pPr>
            <w:r>
              <w:rPr>
                <w:sz w:val="24"/>
              </w:rPr>
              <w:t>0.025142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2240" w:h="15840"/>
          <w:pgMar w:header="0" w:footer="1015" w:top="1360" w:bottom="1200" w:left="1320" w:right="440"/>
        </w:sect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2068"/>
        <w:gridCol w:w="1783"/>
      </w:tblGrid>
      <w:tr>
        <w:trPr>
          <w:trHeight w:val="383" w:hRule="atLeast"/>
        </w:trPr>
        <w:tc>
          <w:tcPr>
            <w:tcW w:w="7169" w:type="dxa"/>
            <w:gridSpan w:val="4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A5: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White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Heteroskedasticity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4.163850</w:t>
            </w:r>
          </w:p>
        </w:tc>
        <w:tc>
          <w:tcPr>
            <w:tcW w:w="206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78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  <w:tr>
        <w:trPr>
          <w:trHeight w:val="381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Obs*R-squared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65.09273</w:t>
            </w:r>
          </w:p>
        </w:tc>
        <w:tc>
          <w:tcPr>
            <w:tcW w:w="206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78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0.000012</w:t>
            </w:r>
          </w:p>
        </w:tc>
      </w:tr>
    </w:tbl>
    <w:p>
      <w:pPr>
        <w:pStyle w:val="BodyText"/>
        <w:spacing w:before="1"/>
        <w:rPr>
          <w:b/>
          <w:sz w:val="27"/>
        </w:rPr>
      </w:pPr>
      <w:r>
        <w:rPr/>
        <w:pict>
          <v:shape style="position:absolute;margin-left:116.940002pt;margin-top:397.679993pt;width:194.45pt;height:196.9pt;mso-position-horizontal-relative:page;mso-position-vertical-relative:page;z-index:-25218560" coordorigin="2339,7954" coordsize="3889,3938" path="m3369,11674l3367,11644,3362,11613,3353,11581,3340,11548,3324,11515,3304,11481,3281,11447,3255,11412,3224,11377,3191,11341,2711,10862,2708,10860,2701,10857,2697,10857,2693,10858,2689,10859,2680,10864,2669,10872,2657,10884,2649,10895,2644,10905,2642,10908,2641,10913,2642,10916,2644,10923,2647,10927,3127,11407,3152,11432,3174,11458,3194,11482,3210,11506,3225,11529,3236,11552,3246,11574,3253,11595,3257,11615,3259,11635,3258,11654,3255,11672,3250,11689,3242,11706,3231,11721,3218,11736,3204,11748,3189,11758,3172,11766,3155,11771,3137,11774,3118,11775,3098,11773,3077,11768,3056,11762,3033,11752,3010,11740,2986,11726,2961,11708,2936,11688,2910,11665,2883,11639,2409,11165,2405,11162,2398,11160,2395,11159,2391,11160,2387,11161,2377,11166,2366,11174,2354,11187,2346,11198,2343,11203,2340,11211,2339,11215,2339,11219,2342,11226,2344,11229,2831,11716,2867,11750,2902,11780,2937,11807,2971,11830,3004,11849,3037,11865,3068,11876,3098,11885,3128,11890,3157,11891,3184,11889,3211,11883,3236,11875,3260,11862,3282,11847,3303,11828,3323,11806,3340,11782,3352,11757,3361,11730,3367,11702,3369,11674xm3958,11140l3956,11128,3954,11121,3946,11106,3940,11098,3932,11090,3209,10368,3207,10366,3200,10363,3195,10363,3187,10364,3182,10366,3167,10378,3155,10390,3143,10405,3141,10410,3139,10419,3140,10422,3143,10430,3145,10432,3571,10859,3770,11056,3770,11056,3696,11017,3543,10938,3482,10909,3385,10860,3081,10708,2993,10664,2972,10654,2951,10646,2940,10643,2931,10642,2923,10642,2914,10643,2901,10650,2893,10655,2847,10701,2845,10711,2846,10723,2848,10732,2853,10743,2861,10754,2872,10766,3591,11486,3597,11491,3605,11494,3608,11494,3612,11493,3616,11492,3626,11487,3631,11484,3636,11479,3649,11467,3654,11461,3657,11456,3662,11446,3663,11442,3664,11438,3664,11434,3662,11430,3661,11427,3659,11424,3141,10905,3005,10773,3006,10772,3076,10811,3150,10849,3344,10947,3567,11057,3804,11175,3818,11181,3842,11192,3857,11197,3869,11200,3879,11201,3890,11203,3899,11202,3906,11199,3913,11197,3920,11192,3952,11160,3954,11156,3958,11146,3958,11140xm4162,10940l4162,10937,4159,10930,4157,10926,4154,10923,3402,10172,3399,10169,3391,10166,3388,10166,3384,10167,3376,10170,3370,10173,3360,10181,3348,10193,3340,10204,3335,10214,3333,10217,3332,10222,3332,10226,3335,10233,3337,10236,4092,10991,4095,10994,4102,10996,4106,10997,4109,10995,4114,10994,4124,10989,4135,10981,4147,10969,4155,10958,4160,10948,4161,10944,4162,10940xm4485,10615l4483,10605,4481,10600,4477,10595,4434,10527,3899,9692,3889,9680,3884,9677,3880,9676,3875,9675,3870,9676,3864,9679,3853,9688,3831,9710,3823,9720,3821,9725,3820,9734,3820,9737,3824,9745,3873,9820,4349,10546,4349,10546,4283,10503,3553,10029,3544,10024,3540,10022,3536,10021,3524,10022,3520,10023,3511,10030,3489,10052,3474,10070,3472,10076,3474,10086,3476,10091,3482,10096,3488,10102,3507,10115,3575,10159,4391,10680,4398,10685,4401,10685,4404,10687,4407,10688,4414,10688,4417,10688,4420,10686,4427,10684,4430,10682,4443,10672,4471,10645,4480,10634,4482,10629,4485,10619,4485,10615xm4997,10106l4996,10099,4991,10090,4987,10084,4971,10066,4964,10059,4956,10051,4937,10034,4923,10026,4916,10025,4912,10025,4909,10027,4715,10221,4435,9942,4601,9777,4602,9775,4602,9768,4601,9764,4598,9756,4594,9751,4578,9733,4563,9718,4545,9702,4539,9698,4531,9694,4526,9692,4519,9692,4517,9693,4352,9858,4107,9614,4299,9421,4300,9419,4300,9412,4299,9408,4295,9400,4291,9394,4286,9388,4275,9376,4260,9360,4247,9349,4236,9340,4226,9335,4223,9334,4215,9334,4213,9335,3974,9574,3972,9583,3973,9593,3975,9603,3980,9613,3988,9623,3998,9635,4694,10330,4705,10341,4716,10348,4725,10353,4734,10355,4746,10357,4754,10354,4996,10113,4997,10110,4997,10106xm5431,9672l5430,9668,5429,9665,5427,9662,5424,9659,5421,9656,5418,9652,5413,9648,5406,9643,5369,9620,5185,9510,5167,9500,5135,9481,5118,9471,5085,9454,5070,9446,5056,9439,5042,9433,5028,9428,5015,9423,5002,9420,4990,9417,4981,9416,4978,9415,4967,9414,4956,9414,4946,9414,4935,9416,4940,9399,4942,9382,4944,9365,4945,9347,4944,9330,4942,9312,4938,9294,4933,9276,4926,9258,4918,9240,4909,9221,4897,9202,4884,9183,4869,9164,4852,9145,4848,9141,4848,9353,4846,9367,4843,9382,4837,9396,4830,9410,4820,9423,4809,9436,4745,9500,4483,9237,4537,9182,4546,9173,4555,9165,4563,9158,4570,9153,4579,9146,4588,9141,4597,9138,4619,9132,4641,9130,4663,9133,4685,9140,4708,9151,4730,9166,4753,9184,4776,9205,4789,9219,4802,9234,4813,9248,4823,9263,4831,9278,4838,9293,4843,9308,4846,9323,4848,9338,4848,9353,4848,9141,4838,9130,4834,9126,4813,9106,4793,9089,4773,9073,4752,9059,4732,9047,4712,9037,4691,9028,4671,9022,4651,9017,4631,9015,4611,9014,4592,9015,4573,9019,4554,9024,4536,9031,4517,9041,4510,9046,4501,9052,4492,9059,4485,9065,4477,9072,4469,9080,4460,9089,4408,9140,4356,9192,4351,9197,4348,9206,4349,9217,4352,9226,4357,9236,4364,9247,4375,9258,5100,9983,5103,9986,5107,9987,5110,9989,5113,9989,5117,9987,5122,9987,5126,9984,5132,9982,5136,9978,5142,9974,5155,9961,5159,9955,5163,9950,5166,9945,5168,9941,5168,9936,5169,9933,5170,9929,5168,9926,5167,9922,5164,9919,4931,9685,4829,9583,4851,9562,4872,9540,4884,9530,4896,9522,4908,9516,4921,9512,4934,9511,4948,9510,4963,9512,4978,9514,4993,9519,5010,9524,5026,9531,5043,9539,5061,9549,5079,9559,5098,9570,5117,9581,5289,9685,5346,9720,5352,9724,5357,9727,5362,9728,5366,9730,5370,9731,5375,9730,5380,9730,5384,9728,5389,9724,5394,9721,5400,9716,5414,9702,5419,9695,5423,9690,5427,9685,5429,9681,5431,9672xm5698,9340l5696,9315,5691,9288,5683,9262,5672,9235,5659,9207,5642,9180,5622,9152,5600,9125,5574,9097,5551,9075,5528,9056,5505,9040,5483,9026,5462,9015,5441,9005,5420,8998,5399,8992,5379,8988,5359,8986,5339,8984,5320,8984,5301,8985,5282,8987,5246,8991,5192,8999,5157,9003,5140,9005,5123,9005,5106,9004,5089,9002,5073,8999,5056,8994,5039,8988,5023,8979,5007,8969,4990,8956,4974,8941,4963,8929,4953,8918,4945,8906,4937,8894,4930,8881,4924,8869,4920,8857,4917,8845,4915,8833,4915,8821,4916,8808,4918,8796,4922,8785,4928,8774,4936,8763,4945,8753,4957,8742,4968,8734,4980,8727,4993,8721,5006,8718,5019,8715,5031,8712,5043,8711,5065,8709,5095,8708,5102,8706,5107,8702,5107,8696,5105,8689,5094,8675,5084,8663,5057,8635,5046,8626,5034,8617,5027,8613,5014,8608,5008,8607,4998,8607,4984,8608,4973,8609,4963,8612,4941,8617,4930,8621,4919,8625,4909,8630,4898,8636,4888,8642,4878,8649,4870,8656,4861,8664,4846,8680,4834,8698,4824,8716,4816,8736,4810,8757,4807,8778,4806,8800,4808,8823,4813,8846,4820,8870,4829,8894,4842,8918,4857,8943,4874,8967,4895,8992,4918,9016,4941,9039,4964,9058,4987,9074,5009,9088,5031,9099,5052,9109,5073,9117,5093,9123,5113,9127,5133,9130,5153,9131,5172,9132,5191,9131,5210,9130,5246,9125,5317,9115,5335,9113,5352,9112,5368,9112,5385,9112,5401,9115,5418,9118,5435,9123,5451,9129,5468,9137,5484,9148,5501,9161,5517,9176,5532,9192,5545,9207,5556,9222,5565,9238,5573,9253,5579,9268,5584,9283,5587,9298,5588,9312,5588,9326,5586,9340,5582,9354,5577,9367,5571,9379,5562,9390,5553,9401,5538,9414,5524,9425,5509,9433,5493,9439,5477,9445,5462,9449,5448,9452,5434,9454,5421,9455,5409,9456,5397,9456,5374,9455,5365,9457,5360,9462,5359,9465,5359,9471,5360,9475,5365,9484,5369,9490,5387,9509,5405,9527,5413,9535,5421,9541,5428,9546,5436,9553,5445,9556,5453,9558,5460,9560,5471,9561,5496,9559,5508,9558,5520,9555,5533,9552,5546,9549,5559,9544,5573,9538,5586,9532,5600,9524,5613,9515,5626,9505,5638,9493,5654,9475,5668,9456,5680,9435,5689,9413,5695,9389,5698,9365,5698,9340xm5942,9160l5942,9156,5940,9149,5937,9146,5934,9143,5182,8391,5179,8389,5172,8386,5168,8386,5164,8387,5156,8390,5151,8393,5140,8401,5128,8413,5124,8419,5120,8423,5115,8433,5114,8437,5113,8441,5113,8445,5115,8452,5117,8456,5872,9211,5876,9213,5883,9216,5886,9216,5890,9215,5894,9214,5904,9209,5915,9201,5927,9188,5935,9178,5938,9172,5940,9168,5942,9160xm6227,8875l6227,8872,6224,8865,6222,8861,5542,8182,5681,8043,5683,8040,5683,8037,5682,8029,5679,8025,5677,8021,5673,8015,5657,7996,5649,7989,5641,7981,5622,7964,5616,7960,5607,7955,5603,7954,5596,7954,5593,7955,5251,8297,5250,8300,5250,8303,5250,8307,5251,8310,5256,8320,5260,8326,5265,8331,5271,8338,5277,8345,5292,8361,5299,8367,5306,8372,5311,8377,5317,8381,5326,8385,5329,8386,5336,8387,5339,8385,5478,8246,6157,8926,6161,8928,6168,8931,6171,8931,6175,8930,6179,8929,6189,8924,6200,8916,6212,8903,6217,8898,6220,8893,6225,8883,6226,8879,6227,8875xe" filled="true" fillcolor="#ffc000" stroked="false">
            <v:path arrowok="t"/>
            <v:fill opacity="32896f" type="solid"/>
            <w10:wrap type="none"/>
          </v:shape>
        </w:pict>
      </w:r>
    </w:p>
    <w:p>
      <w:pPr>
        <w:spacing w:before="90"/>
        <w:ind w:left="811" w:right="0" w:firstLine="0"/>
        <w:jc w:val="left"/>
        <w:rPr>
          <w:b/>
          <w:sz w:val="24"/>
        </w:rPr>
      </w:pPr>
      <w:r>
        <w:rPr/>
        <w:pict>
          <v:group style="position:absolute;margin-left:100.940002pt;margin-top:49.343113pt;width:444.8pt;height:269.2pt;mso-position-horizontal-relative:page;mso-position-vertical-relative:paragraph;z-index:-25218048" coordorigin="2019,987" coordsize="8896,5384">
            <v:shape style="position:absolute;left:5626;top:986;width:4748;height:4610" coordorigin="5626,987" coordsize="4748,4610" path="m6603,5540l6602,5536,6600,5529,6597,5526,6306,5235,6268,5163,6080,4802,6004,4658,5993,4637,5983,4625,5979,4623,5969,4620,5964,4622,5957,4626,5944,4637,5928,4653,5923,4659,5916,4668,5914,4673,5912,4681,5912,4684,5917,4697,5921,4702,6079,4995,6115,5060,6178,5168,6177,5168,6002,5069,5929,5029,5783,4951,5705,4909,5696,4905,5692,4904,5684,4906,5680,4907,5675,4910,5670,4913,5658,4923,5642,4939,5632,4951,5628,4957,5626,4962,5628,4972,5631,4976,5637,4981,5643,4986,5664,4998,5736,5036,6098,5224,6242,5300,6532,5591,6536,5593,6542,5596,6546,5596,6550,5595,6554,5594,6564,5589,6569,5585,6575,5581,6587,5569,6592,5563,6595,5558,6600,5548,6601,5544,6603,5540xm7274,4808l7274,4770,7268,4732,7258,4692,7242,4651,7223,4609,7199,4566,7170,4521,7161,4509,7161,4780,7157,4807,7148,4831,7133,4855,7115,4877,7093,4896,7070,4910,7045,4920,7020,4924,6994,4926,6967,4923,6939,4916,6909,4905,6880,4891,6849,4874,6818,4853,6786,4829,6753,4803,6720,4774,6687,4743,6652,4710,6622,4678,6594,4647,6567,4615,6541,4584,6518,4552,6499,4521,6482,4490,6469,4460,6458,4430,6451,4401,6447,4373,6447,4346,6451,4320,6460,4295,6474,4272,6493,4250,6515,4231,6537,4217,6562,4207,6587,4203,6614,4202,6641,4205,6669,4212,6698,4222,6728,4236,6759,4253,6790,4273,6821,4296,6854,4322,6886,4350,6919,4381,6952,4413,6983,4444,7012,4476,7039,4508,7064,4540,7088,4572,7108,4604,7125,4634,7139,4665,7150,4695,7157,4724,7161,4753,7161,4780,7161,4509,7137,4476,7100,4430,7059,4384,7013,4337,6966,4292,6921,4251,6876,4214,6860,4202,6832,4181,6790,4154,6749,4131,6709,4112,6670,4098,6633,4089,6596,4084,6562,4085,6528,4089,6496,4099,6465,4113,6436,4133,6408,4157,6383,4186,6363,4216,6348,4249,6339,4283,6335,4319,6336,4356,6341,4394,6351,4434,6366,4475,6386,4517,6409,4560,6438,4604,6470,4649,6507,4694,6547,4740,6591,4785,6639,4832,6685,4873,6731,4910,6775,4943,6817,4972,6859,4995,6899,5014,6938,5028,6975,5038,7011,5043,7046,5043,7080,5038,7113,5029,7144,5015,7173,4995,7201,4970,7227,4941,7237,4926,7247,4910,7261,4878,7270,4843,7274,4808xm7572,4570l7572,4567,7569,4559,7567,4556,7239,4228,7409,4058,7410,4055,7410,4048,7409,4044,7404,4035,7400,4029,7385,4011,7369,3995,7361,3988,7355,3983,7349,3978,7344,3975,7336,3971,7332,3970,7328,3970,7325,3971,7323,3972,7153,4142,6887,3877,7068,3696,7069,3694,7069,3691,7068,3683,7063,3675,7059,3669,7043,3650,7035,3642,7027,3634,7008,3617,6993,3609,6989,3608,6982,3608,6980,3608,6753,3835,6750,3844,6752,3855,6754,3864,6759,3874,6767,3884,6777,3896,7502,4621,7505,4623,7513,4626,7516,4626,7520,4625,7524,4624,7534,4619,7539,4616,7545,4611,7557,4598,7565,4588,7570,4578,7571,4574,7572,4570xm8101,4042l8100,4038,8098,4031,8095,4028,8092,4025,7340,3273,7337,3270,7330,3268,7327,3268,7322,3268,7318,3270,7309,3275,7298,3283,7286,3295,7278,3305,7273,3315,7272,3319,7271,3323,7271,3327,7274,3334,7276,3338,8031,4093,8034,4095,8041,4098,8044,4098,8048,4097,8053,4096,8063,4091,8073,4082,8086,4070,8090,4064,8094,4059,8099,4050,8099,4045,8101,4042xm8456,3614l8456,3598,8454,3581,8451,3564,8448,3547,8442,3530,8436,3512,8428,3494,8419,3477,8409,3458,8397,3439,8383,3421,8369,3403,8352,3385,8346,3378,8346,3580,8345,3594,8343,3608,8340,3620,8335,3632,8328,3644,8320,3656,8310,3667,8216,3761,7941,3486,8018,3409,8024,3404,8034,3395,8049,3383,8063,3374,8078,3367,8093,3363,8108,3361,8124,3360,8139,3361,8155,3365,8171,3370,8188,3377,8204,3386,8221,3397,8238,3409,8255,3424,8273,3440,8288,3457,8301,3473,8313,3489,8323,3505,8331,3521,8337,3536,8341,3551,8344,3565,8346,3580,8346,3378,8335,3366,8328,3360,8315,3347,8295,3330,8275,3315,8254,3301,8234,3289,8214,3279,8195,3270,8190,3268,8176,3263,8158,3258,8139,3255,8122,3253,8105,3253,8089,3255,8073,3258,8059,3262,8046,3268,8048,3255,8048,3241,8048,3227,8046,3212,8043,3198,8039,3183,8034,3169,8028,3153,8021,3139,8013,3125,8004,3110,7993,3095,7982,3081,7971,3066,7964,3058,7964,3252,7964,3266,7962,3279,7958,3292,7952,3305,7943,3318,7932,3330,7859,3404,7606,3151,7673,3084,7686,3072,7700,3061,7713,3054,7726,3048,7739,3045,7751,3043,7765,3043,7777,3045,7791,3048,7805,3054,7818,3060,7832,3068,7846,3078,7860,3089,7874,3101,7888,3115,7900,3128,7912,3141,7923,3154,7933,3168,7941,3183,7949,3197,7955,3211,7959,3225,7962,3239,7964,3252,7964,3058,7958,3052,7950,3043,7945,3038,7921,3016,7898,2996,7875,2979,7852,2964,7829,2952,7806,2942,7784,2935,7762,2930,7740,2928,7719,2929,7698,2932,7677,2938,7656,2947,7635,2960,7614,2976,7592,2996,7481,3107,7476,3112,7473,3121,7474,3132,7477,3141,7482,3151,7489,3162,7500,3173,8195,3869,8206,3879,8217,3887,8227,3891,8236,3893,8247,3895,8256,3893,8387,3761,8389,3760,8402,3746,8413,3732,8423,3718,8431,3704,8438,3690,8444,3676,8449,3661,8452,3646,8454,3630,8456,3614xm9020,3129l9019,3124,9017,3119,9014,3113,9009,3108,9003,3103,8995,3098,8984,3090,8889,3030,8609,2853,8609,2964,8440,3133,8179,2728,8135,2661,8135,2660,8135,2660,8609,2964,8609,2853,8304,2660,8097,2529,8091,2526,8086,2523,8081,2522,8076,2521,8072,2521,8062,2524,8056,2527,8050,2532,8044,2536,8038,2543,8030,2551,8022,2559,8016,2565,8012,2570,8008,2576,8005,2581,8004,2586,8002,2591,8001,2595,8003,2600,8004,2604,8007,2609,8010,2615,8053,2683,8370,3185,8571,3502,8578,3513,8584,3521,8589,3527,8594,3532,8600,3535,8604,3537,8609,3538,8614,3537,8620,3533,8625,3529,8632,3524,8646,3509,8651,3503,8655,3498,8659,3493,8661,3489,8661,3484,8662,3480,8662,3476,8660,3472,8659,3468,8657,3464,8654,3460,8617,3403,8506,3232,8605,3133,8709,3030,8940,3178,8945,3180,8949,3182,8953,3184,8956,3185,8960,3185,8963,3184,8968,3183,8972,3181,8978,3177,8983,3173,9005,3151,9010,3144,9014,3139,9018,3134,9020,3129xm9323,2713l9321,2675,9314,2635,9302,2594,9285,2552,9263,2508,9236,2463,9213,2429,9213,2677,9212,2704,9207,2730,9198,2756,9186,2780,9168,2804,9147,2828,9080,2894,8473,2287,8539,2221,8565,2199,8590,2181,8617,2168,8644,2161,8672,2158,8700,2159,8729,2163,8759,2170,8790,2182,8821,2196,8852,2213,8884,2234,8916,2258,8948,2284,8980,2312,9012,2342,9049,2381,9083,2419,9113,2455,9138,2490,9160,2524,9178,2557,9193,2589,9203,2620,9210,2649,9213,2677,9213,2429,9204,2416,9166,2369,9124,2320,9076,2270,9032,2228,8988,2190,8947,2158,8945,2157,8902,2127,8860,2102,8819,2081,8778,2065,8738,2052,8700,2045,8662,2043,8625,2044,8590,2051,8555,2062,8522,2079,8489,2103,8457,2131,8341,2247,8338,2256,8339,2267,8342,2276,8347,2286,8354,2297,8365,2308,9060,3004,9072,3014,9082,3022,9092,3026,9101,3028,9112,3030,9121,3027,9230,2919,9252,2894,9258,2887,9282,2854,9300,2821,9313,2786,9320,2751,9323,2713xm9940,2209l9939,2204,9937,2199,9934,2193,9929,2188,9923,2183,9916,2177,9905,2170,9810,2110,9529,1933,9529,2044,9360,2213,9099,1808,9055,1741,9055,1740,9529,2044,9529,1933,9224,1740,9017,1609,9011,1606,9006,1603,8996,1600,8992,1601,8987,1603,8982,1604,8976,1607,8971,1612,8965,1616,8958,1623,8950,1631,8936,1645,8928,1656,8925,1661,8924,1666,8922,1671,8922,1675,8923,1679,8924,1684,8927,1689,8930,1694,9017,1831,9289,2264,9318,2309,9491,2582,9498,2593,9504,2601,9509,2606,9514,2612,9520,2615,9529,2618,9534,2616,9540,2613,9545,2609,9552,2603,9566,2589,9571,2583,9575,2578,9579,2573,9581,2568,9581,2563,9582,2559,9582,2556,9580,2551,9579,2548,9577,2544,9574,2539,9426,2312,9525,2213,9629,2110,9860,2258,9865,2260,9869,2262,9873,2263,9876,2265,9880,2265,9883,2264,9888,2263,9892,2261,9898,2257,9903,2253,9925,2231,9930,2224,9934,2219,9938,2214,9940,2209xm10374,1765l10372,1752,10369,1745,10362,1731,10356,1723,10348,1715,9625,992,9622,990,9615,987,9611,987,9602,988,9598,990,9593,994,9582,1002,9570,1014,9559,1030,9556,1034,9555,1043,9556,1047,9557,1050,9558,1054,9560,1057,10011,1507,10186,1680,10186,1681,10037,1603,9959,1563,9898,1533,9801,1484,9573,1371,9421,1294,9397,1283,9378,1274,9366,1270,9356,1268,9347,1267,9338,1267,9330,1268,9316,1274,9309,1279,9263,1325,9260,1335,9261,1347,9264,1357,9269,1367,9277,1378,9287,1390,10010,2113,10013,2115,10016,2116,10020,2118,10024,2119,10028,2117,10032,2117,10042,2112,10052,2104,10065,2091,10073,2080,10076,2075,10078,2071,10078,2066,10080,2062,10080,2059,10078,2055,10077,2051,10075,2048,9533,1507,9421,1398,9422,1397,9468,1422,9565,1473,9686,1534,10057,1718,10204,1792,10233,1806,10272,1822,10285,1825,10295,1826,10305,1827,10314,1827,10321,1824,10329,1821,10336,1816,10367,1785,10370,1781,10373,1770,10374,1765xe" filled="true" fillcolor="#ffc000" stroked="false">
              <v:path arrowok="t"/>
              <v:fill opacity="32896f" type="solid"/>
            </v:shape>
            <v:rect style="position:absolute;left:2132;top:3029;width:4040;height:3089" filled="true" fillcolor="#ffffff" stroked="false">
              <v:fill type="solid"/>
            </v:rect>
            <v:shape style="position:absolute;left:2481;top:3198;width:3448;height:2344" coordorigin="2482,3198" coordsize="3448,2344" path="m2482,5483l2532,5483m2482,5157l2532,5157m2482,4830l2532,4830m2482,4503l2532,4503m2482,4178l2532,4178m2482,3851l2532,3851m2482,3524l2532,3524m2482,3198l2532,3198m2538,4503l5930,4503m2619,5494l2619,5519m2726,5494l2726,5519m2834,5494l2834,5519m2942,5494l2942,5519m3049,5494l3049,5519m3156,5494l3156,5519m3264,5494l3264,5519m3372,5494l3372,5519m3480,5494l3480,5519m3588,5494l3588,5519m3696,5494l3696,5519m3803,5494l3803,5519m3910,5494l3910,5519m4018,5494l4018,5519m4126,5494l4126,5519m4233,5494l4233,5519m4341,5494l4341,5519m4449,5494l4449,5519m4557,5494l4557,5519m4664,5494l4664,5519m4771,5494l4771,5519m4879,5494l4879,5519m4987,5494l4987,5519m5095,5494l5095,5519m5203,5494l5203,5519m5310,5494l5310,5519m5418,5494l5418,5519m5525,5494l5525,5519m5633,5494l5633,5519m5741,5494l5741,5519m5848,5494l5848,5519m2619,5494l2619,5542m3156,5494l3156,5542m3696,5494l3696,5542m4233,5494l4233,5542m4771,5494l4771,5542m5310,5494l5310,5542m5848,5494l5848,5542e" filled="false" stroked="true" strokeweight=".376916pt" strokecolor="#000000">
              <v:path arrowok="t"/>
              <v:stroke dashstyle="solid"/>
            </v:shape>
            <v:shape style="position:absolute;left:2538;top:3494;width:3392;height:1922" coordorigin="2538,3494" coordsize="3392,1922" path="m2538,4709l2565,4809,2591,4479,2619,4461,2645,4323,2673,4425,2699,4257,2726,4791,2753,4837,2780,4633,2807,4841,2834,4830,2861,3980,2888,4839,2914,4803,2942,4284,2968,4282,2995,4628,3022,4668,3049,4646,3076,4313,3103,4568,3130,4811,3156,4385,3184,4283,3210,4407,3238,4718,3264,4784,3292,4119,3318,4486,3346,4743,3372,4472,3399,4107,3426,4641,3452,4596,3480,4535,3506,4186,3534,3934,3560,4662,3588,4474,3614,4288,3642,4207,3668,4089,3696,3934,3722,4513,3750,4478,3776,4630,3803,4235,3830,5048,3856,4760,3884,3801,3910,4153,3938,4144,3964,5294,3991,4580,4018,4545,4045,4230,4072,4152,4099,4336,4126,4311,4153,4481,4180,4581,4207,4605,4233,4641,4260,4680,4287,4461,4314,4761,4341,4837,4368,4802,4395,4714,4422,4830,4449,4794,4476,4648,4503,4508,4529,4250,4557,4295,4583,5416,4611,4796,4637,4682,4664,3494,4691,5326,4717,4508,4745,4350,4771,4677,4799,4668,4825,4934,4853,4466,4879,4641,4907,4461,4933,4425,4961,4638,4987,4782,5015,4700,5041,4574,5069,4598,5095,4659,5121,4589,5149,4501,5175,4538,5203,4446,5229,4551,5257,4646,5283,4463,5310,4752,5337,4433,5364,4230,5391,4330,5418,4385,5445,4341,5472,4450,5499,4333,5525,4146,5553,4308,5579,4426,5607,4081,5633,4201,5660,4264,5687,4427,5714,4440,5741,5038,5768,4601,5795,4154,5822,4679,5848,4770,5876,4658,5902,4748,5930,4614e" filled="false" stroked="true" strokeweight=".425771pt" strokecolor="#0000ff">
              <v:path arrowok="t"/>
              <v:stroke dashstyle="solid"/>
            </v:shape>
            <v:shape style="position:absolute;left:2538;top:4848;width:3351;height:304" coordorigin="2538,4849" coordsize="3351,304" path="m2538,4913l2545,4943m2549,4960l2555,4989m2560,5006l2565,5023,2567,5011m2573,4993l2581,4964m2585,4947l2591,4928,2596,4919m2604,4902l2617,4876m2637,4872l2645,4872,2661,4856m2675,4849l2697,4870m2709,4884l2726,4903,2729,4908m2739,4923l2753,4942,2760,4937m2777,4929l2780,4927,2799,4948m2813,4959l2834,4976,2835,4981m2842,4997l2853,5025m2859,5042l2861,5042,2888,5053,2889,5053m2909,5055l2914,5056,2941,5050m2959,5046l2968,5045,2990,5034m3009,5028l3022,5024,3039,5018m3058,5013l3076,5010,3089,5003m3107,4998l3130,5005,3138,5001m3156,4996l3184,4994,3189,4992m3207,4987l3210,4986,3238,4984,3240,4984m3260,4986l3264,4987,3291,4998m3309,4993l3318,4991,3342,4991m3361,4987l3372,4984,3391,4992m3409,4994l3426,4991,3441,4987m3459,4983l3480,4979,3491,4981m3509,4987l3530,5010m3549,5010l3560,5009,3581,5002m3600,5000l3614,5000,3634,5002m3652,5006l3668,5013,3681,5022m3696,5034l3696,5035,3722,5030,3727,5029m3746,5024l3750,5024,3776,5020,3779,5020m3799,5020l3803,5020,3826,5035m3845,5038l3856,5038,3870,5053m3881,5066l3884,5067,3910,5070,3915,5070m3934,5073l3938,5075,3954,5096m3965,5108l3991,5103,3997,5101m4017,5098l4018,5098,4045,5097,4050,5097m4069,5098l4072,5099,4099,5096,4102,5095m4121,5093l4126,5093,4153,5088m4173,5085l4180,5084,4206,5080m4225,5078l4233,5077,4259,5073m4278,5070l4287,5069,4311,5068m4331,5069l4341,5070,4364,5070m4384,5068l4395,5068,4417,5069m4436,5070l4449,5070,4470,5067m4489,5065l4503,5063,4523,5063m4542,5062l4557,5061,4566,5075m4578,5089l4583,5095,4607,5095m4627,5093l4637,5093,4649,5111m4659,5126l4664,5131,4683,5146m4698,5152l4717,5150,4731,5148m4751,5146l4771,5144,4784,5143m4804,5142l4825,5144,4837,5142m4856,5139l4879,5137,4890,5135m4908,5133l4933,5131,4941,5130m4961,5128l4987,5127,4994,5126m5014,5125l5015,5125,5041,5122,5047,5121m5066,5119l5069,5119,5095,5117,5099,5116m5119,5114l5121,5114,5149,5111,5151,5110m5171,5108l5175,5108,5203,5105,5204,5103m5223,5101l5229,5101,5257,5099m5276,5096l5283,5096,5309,5096m5329,5094l5337,5093,5362,5093m5382,5091l5391,5091,5415,5089m5434,5087l5445,5087,5468,5084m5487,5083l5499,5083,5520,5083m5540,5083l5553,5083,5573,5080m5593,5081l5607,5083,5626,5083m5645,5083l5660,5083,5679,5081m5698,5079l5714,5078,5732,5081m5750,5083l5768,5082,5783,5082m5803,5082l5822,5081,5836,5081m5855,5080l5876,5080,5889,5079e" filled="false" stroked="true" strokeweight=".43805pt" strokecolor="#ff0000">
              <v:path arrowok="t"/>
              <v:stroke dashstyle="solid"/>
            </v:shape>
            <v:line style="position:absolute" from="5904,5077" to="5934,5077" stroked="true" strokeweight=".472158pt" strokecolor="#ff0000">
              <v:stroke dashstyle="solid"/>
            </v:line>
            <v:shape style="position:absolute;left:2538;top:3854;width:3351;height:304" coordorigin="2538,3855" coordsize="3351,304" path="m2538,4095l2545,4065m2549,4048l2555,4019m2560,4001l2565,3985,2568,3997m2573,4015l2581,4044m2585,4061l2591,4079,2596,4089m2604,4104l2617,4132m2637,4134l2645,4135,2661,4152m2675,4158l2698,4136m2709,4123l2726,4104,2730,4099m2740,4084l2753,4066,2762,4070m2779,4079l2780,4081,2800,4059m2815,4047l2834,4032,2836,4025m2843,4009l2854,3981m2862,3964l2888,3955,2893,3954m2912,3952l2914,3952,2942,3958,2944,3958m2964,3961l2968,3963,2994,3974m3012,3980l3022,3984,3043,3990m3061,3995l3076,3998,3092,4004m3110,4007l3130,4003,3142,4007m3160,4012l3184,4014,3193,4016m3212,4022l3238,4023,3245,4022m3264,4021l3292,4007,3294,4007m3312,4013l3318,4016,3345,4016m3363,4021l3372,4024,3393,4015m3411,4014l3426,4017,3443,4020m3463,4024l3480,4029,3495,4026m3511,4019l3531,3996m3551,3997l3560,3999,3583,4003m3603,4007l3614,4007,3636,4004m3654,3999l3668,3994,3682,3983m3697,3971l3722,3978,3729,3979m3748,3983l3750,3984,3776,3988,3781,3987m3800,3987l3803,3987,3828,3971m3846,3969l3856,3969,3870,3953m3883,3940l3884,3940,3910,3936,3916,3935m3935,3933l3938,3933,3955,3910m3969,3899l3991,3904,4001,3906m4019,3910l4045,3911,4052,3910m4072,3909l4099,3912,4105,3912m4125,3914l4126,3915,4153,3920,4157,3920m4176,3923l4180,3924,4207,3928,4208,3928m4228,3930l4233,3931,4260,3934,4260,3934m4279,3936l4287,3939,4313,3939m4332,3937l4341,3937,4365,3937m4385,3937l4395,3939,4418,3937m4438,3937l4449,3937,4471,3940m4490,3942l4503,3944,4524,3944m4543,3945l4557,3947,4567,3932m4578,3918l4583,3913,4609,3913m4628,3914l4637,3915,4649,3896m4659,3882l4664,3877,4682,3861m4698,3855l4717,3858,4731,3859m4751,3861l4771,3863,4784,3864m4804,3865l4825,3863,4837,3864m4856,3867l4879,3870,4890,3871m4909,3874l4933,3877,4942,3877m4962,3880l4987,3881,4995,3881m5015,3882l5015,3883,5041,3886,5047,3886m5066,3888l5069,3889,5095,3891,5099,3891m5119,3893l5121,3894,5149,3897,5152,3897m5172,3899l5175,3900,5203,3902,5205,3902m5225,3904l5229,3906,5257,3909,5257,3909m5276,3910l5283,3911,5309,3911m5329,3914l5337,3915,5362,3915m5382,3916l5391,3917,5415,3918m5434,3920l5445,3921,5468,3922m5487,3924l5499,3925,5520,3924m5540,3924l5553,3925,5573,3926m5593,3925l5607,3924,5626,3924m5645,3924l5660,3925,5679,3926m5698,3927l5714,3929,5730,3926m5750,3924l5768,3926,5783,3925m5803,3925l5822,3926,5836,3926m5855,3927l5876,3928,5889,3928e" filled="false" stroked="true" strokeweight=".43805pt" strokecolor="#ff0000">
              <v:path arrowok="t"/>
              <v:stroke dashstyle="solid"/>
            </v:shape>
            <v:line style="position:absolute" from="5904,3930" to="5934,3930" stroked="true" strokeweight=".518793pt" strokecolor="#ff0000">
              <v:stroke dashstyle="solid"/>
            </v:line>
            <v:rect style="position:absolute;left:2532;top:3193;width:3405;height:2297" filled="false" stroked="true" strokeweight=".528884pt" strokecolor="#000000">
              <v:stroke dashstyle="solid"/>
            </v:rect>
            <v:rect style="position:absolute;left:2929;top:5815;width:2603;height:201" filled="false" stroked="true" strokeweight=".356602pt" strokecolor="#000000">
              <v:stroke dashstyle="solid"/>
            </v:rect>
            <v:line style="position:absolute" from="2992,5922" to="3239,5922" stroked="true" strokeweight=".414161pt" strokecolor="#0000ff">
              <v:stroke dashstyle="solid"/>
            </v:line>
            <v:shape style="position:absolute;left:4688;top:5921;width:245;height:2" coordorigin="4689,5922" coordsize="245,0" path="m4689,5922l4722,5922m4742,5922l4775,5922m4794,5922l4828,5922m4847,5922l4880,5922m4900,5922l4933,5922e" filled="false" stroked="true" strokeweight=".43805pt" strokecolor="#ff0000">
              <v:path arrowok="t"/>
              <v:stroke dashstyle="solid"/>
            </v:shape>
            <v:rect style="position:absolute;left:6575;top:3029;width:3933;height:3089" filled="true" fillcolor="#ffffff" stroked="false">
              <v:fill type="solid"/>
            </v:rect>
            <v:shape style="position:absolute;left:6846;top:3198;width:3421;height:2343" coordorigin="6846,3198" coordsize="3421,2343" path="m6846,5482l6896,5482m6846,5196l6896,5196m6846,4911l6896,4911m6846,4626l6896,4626m6846,4340l6896,4340m6846,4055l6896,4055m6846,3769l6896,3769m6846,3484l6896,3484m6846,3198l6896,3198m6902,4340l10266,4340m6982,5493l6982,5518m7088,5493l7088,5518m7195,5493l7195,5518m7302,5493l7302,5518m7408,5493l7408,5518m7515,5493l7515,5518m7622,5493l7622,5518m7729,5493l7729,5518m7836,5493l7836,5518m7943,5493l7943,5518m8050,5493l8050,5518m8157,5493l8157,5518m8263,5493l8263,5518m8370,5493l8370,5518m8477,5493l8477,5518m8583,5493l8583,5518m8690,5493l8690,5518m8797,5493l8797,5518m8904,5493l8904,5518m9010,5493l9010,5518m9117,5493l9117,5518m9224,5493l9224,5518m9331,5493l9331,5518m9438,5493l9438,5518m9545,5493l9545,5518m9652,5493l9652,5518m9759,5493l9759,5518m9865,5493l9865,5518m9972,5493l9972,5518m10079,5493l10079,5518m10185,5493l10185,5518m6982,5493l6982,5541m7515,5493l7515,5541m8050,5493l8050,5541m8583,5493l8583,5541m9117,5493l9117,5541m9652,5493l9652,5541m10185,5493l10185,5541e" filled="false" stroked="true" strokeweight=".375468pt" strokecolor="#000000">
              <v:path arrowok="t"/>
              <v:stroke dashstyle="solid"/>
            </v:shape>
            <v:shape style="position:absolute;left:6901;top:4162;width:3365;height:500" coordorigin="6902,4163" coordsize="3365,500" path="m6902,4361l6928,4391,6954,4389,6982,4384,7008,4366,7035,4359,7061,4334,7088,4362,7115,4396,7142,4408,7168,4441,7195,4474,7221,4421,7249,4456,7275,4485,7302,4463,7329,4441,7355,4454,7382,4470,7408,4484,7435,4465,7462,4471,7489,4502,7515,4491,7542,4468,7569,4459,7596,4479,7622,4507,7649,4469,7676,4468,7703,4492,7729,4488,7755,4448,7782,4463,7809,4471,7836,4475,7862,4443,7889,4387,7915,4402,7996,4348,8050,4250,8076,4252,8103,4248,8129,4261,8157,4234,8183,4289,8209,4314,8236,4244,8263,4209,8290,4173,8316,4252,8343,4260,8370,4264,8397,4236,8423,4201,8450,4185,8477,4165,8504,4163,8530,4171,8557,4180,8583,4195,8610,4212,8637,4208,8663,4233,8690,4267,8717,4296,8744,4317,8770,4349,8797,4378,8824,4393,8851,4393,8877,4368,8904,4347,8931,4438,8958,4467,8984,4484,9010,4384,9038,4466,9064,4467,9091,4451,9117,4468,9144,4484,9171,4528,9198,4524,9224,4537,9252,4533,9278,4526,9305,4539,9331,4566,9358,4585,9385,4592,9412,4602,9438,4617,9464,4626,9491,4626,9518,4629,9545,4624,9571,4628,9599,4642,9625,4638,9652,4663,9678,4655,9705,4629,9732,4611,9759,4599,9785,4583,9812,4577,9838,4561,9865,4525,9892,4506,9918,4498,9946,4456,9972,4426,9999,4402,10025,4395,10052,4389,10079,4441,10106,4451,10132,4416,10159,4434,10185,4460,10213,4475,10239,4500,10266,4510e" filled="false" stroked="true" strokeweight=".41512pt" strokecolor="#0000ff">
              <v:path arrowok="t"/>
              <v:stroke dashstyle="solid"/>
            </v:shape>
            <v:shape style="position:absolute;left:6901;top:3426;width:3365;height:1830" coordorigin="6902,3426" coordsize="3365,1830" path="m6902,4645l6928,4650,6935,4650m6954,4653l6954,4654,6982,4659,6985,4659m7004,4664l7008,4665,7035,4670,7036,4670m7055,4672l7061,4674,7087,4678m7105,4682l7115,4684,7138,4687m7158,4691l7168,4694,7190,4697m7209,4700l7221,4703,7241,4706m7260,4710l7275,4713,7293,4716m7313,4719l7329,4722,7346,4726m7365,4729l7382,4733,7397,4735m7416,4738l7435,4742,7448,4744m7467,4747l7489,4751,7500,4753m7520,4756l7542,4762,7551,4763m7570,4767l7596,4771,7602,4772m7621,4775l7622,4776,7649,4781,7653,4781m7672,4784l7676,4785,7703,4790,7704,4790m7723,4793l7729,4796,7755,4799m7773,4803l7782,4805,7805,4809m7825,4812l7836,4815,7856,4817m7875,4821l7889,4824,7906,4827m7926,4831l7943,4834,7959,4836m7978,4840l7996,4844,8011,4846m8030,4849l8050,4853,8062,4855m8082,4859l8103,4864,8114,4865m8133,4868l8157,4873,8165,4874m8183,4878l8209,4882,8216,4883m8235,4886l8236,4887,8263,4893,8267,4893m8287,4896l8290,4897,8316,4902,8318,4902m8338,4905l8343,4907,8370,4911m8388,4914l8397,4916,8420,4920m8439,4923l8450,4926,8471,4929m8489,4933l8504,4936,8521,4939m8540,4942l8557,4945,8573,4947m8593,4951l8610,4955,8624,4957m8644,4960l8663,4964,8676,4967m8695,4970l8717,4975,8727,4976m8746,4979l8770,4984,8778,4985m8797,4988l8797,4989,8824,4993,8829,4993m8849,4998l8851,4999,8877,5004,8880,5004m8900,5007l8904,5009,8931,5013,8932,5013m8951,5016l8958,5018,8983,5022m9002,5025l9010,5027,9034,5031m9053,5035l9064,5038,9085,5041m9105,5044l9117,5047,9137,5050m9156,5054l9171,5057,9189,5059m9208,5062l9224,5067,9240,5069m9259,5073l9278,5076,9292,5078m9312,5082l9331,5086,9345,5087m9364,5091l9385,5095,9397,5098m9416,5101l9438,5106,9448,5107m9468,5110l9491,5115,9500,5116m9518,5120l9545,5124,9551,5125m9570,5128l9571,5129,9599,5135,9602,5135m9621,5138l9625,5139,9652,5144,9653,5144m9672,5147l9678,5149,9704,5153m9724,5156l9732,5158,9755,5162m9775,5165l9785,5169,9807,5172m9826,5175l9838,5178,9858,5181m9877,5184l9892,5187,9909,5190m9928,5193l9946,5198,9960,5199m9980,5204l9999,5207,10013,5209m10032,5213l10052,5217,10065,5218m10084,5221l10106,5226,10116,5227m10136,5231l10159,5236,10168,5237m10187,5241l10213,5246,10220,5247m10239,5249l10239,5250,10266,5255m6902,4035l6928,4030,6934,4029m6953,4026l6954,4026,6982,4021,6985,4020m7004,4015l7008,4015,7035,4010,7036,4009m7055,4006l7061,4006,7087,4001m7105,3997l7115,3996,7137,3992m7157,3989l7168,3987,7188,3982m7208,3979l7221,3977,7240,3973m7259,3970l7275,3967,7291,3964m7309,3960l7329,3958,7341,3955m7360,3951l7382,3947,7392,3945m7411,3942l7435,3938,7443,3936m7463,3932l7489,3929,7495,3927m7514,3924l7515,3924,7542,3919,7546,3918m7565,3913l7569,3913,7596,3909,7597,3908m7616,3905l7622,3904,7648,3899m7667,3896l7676,3895,7699,3890m7719,3887l7729,3884,7751,3880m7770,3877l7782,3875,7802,3871m7820,3867l7836,3865,7852,3862m7871,3859l7889,3856,7903,3853m7922,3850l7943,3846,7954,3843m7974,3840l7996,3836,8006,3834m8024,3831l8050,3827,8056,3825m8075,3822l8076,3822,8103,3817,8107,3816m8126,3812l8129,3812,8157,3807,8158,3806m8177,3803l8183,3802,8209,3798,8209,3798m8229,3794l8236,3793,8260,3788m8280,3785l8290,3784,8312,3779m8331,3775l8343,3773,8363,3769m8382,3766l8397,3764,8414,3760m8433,3757l8450,3754,8465,3751m8485,3747l8504,3744,8516,3741m8536,3738l8557,3735,8568,3733m8586,3729l8610,3725,8618,3723m8637,3720l8663,3716,8669,3713m8688,3710l8690,3710,8717,3705,8720,3704m8739,3701l8744,3701,8770,3696,8771,3695m8791,3692l8797,3691,8824,3687m8843,3683l8851,3682,8875,3676m8894,3672l8904,3671,8926,3667m8945,3664l8958,3662,8977,3658m8997,3655l9010,3653,9028,3649m9048,3646l9064,3642,9080,3639m9099,3636l9117,3633,9131,3630m9150,3626l9171,3623,9182,3621m9201,3618l9224,3614,9233,3612m9253,3607l9278,3604,9284,3602m9304,3599l9305,3599,9331,3594,9336,3593m9355,3590l9358,3590,9385,3585,9387,3584m9406,3581l9412,3579,9438,3574m9457,3571l9464,3570,9489,3565m9508,3561l9518,3560,9541,3556m9560,3553l9571,3551,9592,3547m9611,3544l9625,3541,9643,3537m9662,3534l9678,3531,9694,3528m9713,3524l9732,3522,9745,3519m9765,3515l9785,3512,9796,3509m9816,3506l9838,3502,9848,3500m9866,3496l9892,3493,9898,3491m9917,3488l9918,3488,9946,3483,9949,3482m9968,3479l9972,3479,9999,3474,10000,3472m10020,3469l10025,3468,10051,3463m10071,3460l10079,3459,10103,3454m10122,3451l10132,3449,10154,3445m10173,3441l10185,3439,10205,3435m10224,3432l10239,3430,10256,3426e" filled="false" stroked="true" strokeweight=".436368pt" strokecolor="#ff0000">
              <v:path arrowok="t"/>
              <v:stroke dashstyle="solid"/>
            </v:shape>
            <v:rect style="position:absolute;left:6895;top:3193;width:3378;height:2296" filled="false" stroked="true" strokeweight=".527766pt" strokecolor="#000000">
              <v:stroke dashstyle="solid"/>
            </v:rect>
            <v:rect style="position:absolute;left:7421;top:5813;width:2318;height:200" filled="false" stroked="true" strokeweight=".356643pt" strokecolor="#000000">
              <v:stroke dashstyle="solid"/>
            </v:rect>
            <v:line style="position:absolute" from="7484,5920" to="7729,5920" stroked="true" strokeweight=".414161pt" strokecolor="#0000ff">
              <v:stroke dashstyle="solid"/>
            </v:line>
            <v:shape style="position:absolute;left:8407;top:5920;width:243;height:2" coordorigin="8407,5920" coordsize="243,0" path="m8407,5920l8440,5920m8459,5920l8492,5920m8512,5920l8545,5920m8564,5920l8597,5920m8617,5920l8649,5920e" filled="false" stroked="true" strokeweight=".436368pt" strokecolor="#ff0000">
              <v:path arrowok="t"/>
              <v:stroke dashstyle="solid"/>
            </v:shape>
            <v:shape style="position:absolute;left:2018;top:2501;width:8896;height:3870" coordorigin="2019,2501" coordsize="8896,3870" path="m6462,6361l2028,6361,2019,6361,2019,6370,2028,6370,6462,6370,6462,6361xm6462,2501l2028,2501,2019,2501,2019,2511,2019,6361,2028,6361,2028,2511,6462,2511,6462,2501xm6471,6361l6462,6361,6462,6370,6471,6370,6471,6361xm6471,2501l6462,2501,6462,2511,6462,6361,6471,6361,6471,2511,6471,2501xm10915,6361l10905,6361,6471,6361,6471,6370,10905,6370,10915,6370,10915,6361xm10915,2501l10905,2501,6471,2501,6471,2511,10905,2511,10905,6361,10915,6361,10915,2511,10915,2501xe" filled="true" fillcolor="#000000" stroked="false">
              <v:path arrowok="t"/>
              <v:fill type="solid"/>
            </v:shape>
            <v:shape style="position:absolute;left:2131;top:1993;width:2512;height:79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B2: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Recursive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Estimates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Recursive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Residuals</w:t>
                    </w:r>
                  </w:p>
                </w:txbxContent>
              </v:textbox>
              <w10:wrap type="none"/>
            </v:shape>
            <v:shape style="position:absolute;left:6574;top:2522;width:13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CUSUM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2341;top:3107;width:128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.4</w:t>
                    </w:r>
                  </w:p>
                </w:txbxContent>
              </v:textbox>
              <w10:wrap type="none"/>
            </v:shape>
            <v:shape style="position:absolute;left:6663;top:3107;width:175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341;top:3433;width:128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.3</w:t>
                    </w:r>
                  </w:p>
                </w:txbxContent>
              </v:textbox>
              <w10:wrap type="none"/>
            </v:shape>
            <v:shape style="position:absolute;left:6663;top:3392;width:175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341;top:3678;width:4498;height:998" type="#_x0000_t202" filled="false" stroked="false">
              <v:textbox inset="0,0,0,0">
                <w:txbxContent>
                  <w:p>
                    <w:pPr>
                      <w:tabs>
                        <w:tab w:pos="432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position w:val="-7"/>
                        <w:sz w:val="12"/>
                      </w:rPr>
                      <w:t>.2</w:t>
                      <w:tab/>
                    </w:r>
                    <w:r>
                      <w:rPr>
                        <w:rFonts w:ascii="Arial MT"/>
                        <w:w w:val="115"/>
                        <w:sz w:val="12"/>
                      </w:rPr>
                      <w:t>20</w:t>
                    </w:r>
                  </w:p>
                  <w:p>
                    <w:pPr>
                      <w:spacing w:line="130" w:lineRule="exact" w:before="67"/>
                      <w:ind w:left="432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10</w:t>
                    </w:r>
                  </w:p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.1</w:t>
                    </w:r>
                  </w:p>
                  <w:p>
                    <w:pPr>
                      <w:spacing w:before="25"/>
                      <w:ind w:left="4399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6"/>
                        <w:sz w:val="12"/>
                      </w:rPr>
                      <w:t>0</w:t>
                    </w:r>
                  </w:p>
                  <w:p>
                    <w:pPr>
                      <w:spacing w:line="130" w:lineRule="exact" w:before="25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.0</w:t>
                    </w:r>
                  </w:p>
                  <w:p>
                    <w:pPr>
                      <w:spacing w:line="130" w:lineRule="exact" w:before="0"/>
                      <w:ind w:left="4279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2298;top:4739;width:177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-.1</w:t>
                    </w:r>
                  </w:p>
                </w:txbxContent>
              </v:textbox>
              <w10:wrap type="none"/>
            </v:shape>
            <v:shape style="position:absolute;left:6620;top:4820;width:218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-20</w:t>
                    </w:r>
                  </w:p>
                </w:txbxContent>
              </v:textbox>
              <w10:wrap type="none"/>
            </v:shape>
            <v:shape style="position:absolute;left:2298;top:5066;width:177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-.2</w:t>
                    </w:r>
                  </w:p>
                </w:txbxContent>
              </v:textbox>
              <w10:wrap type="none"/>
            </v:shape>
            <v:shape style="position:absolute;left:6620;top:5105;width:218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-30</w:t>
                    </w:r>
                  </w:p>
                </w:txbxContent>
              </v:textbox>
              <w10:wrap type="none"/>
            </v:shape>
            <v:shape style="position:absolute;left:2298;top:5391;width:8063;height:295" type="#_x0000_t202" filled="false" stroked="false">
              <v:textbox inset="0,0,0,0">
                <w:txbxContent>
                  <w:p>
                    <w:pPr>
                      <w:tabs>
                        <w:tab w:pos="432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-.3</w:t>
                      <w:tab/>
                      <w:t>-40</w:t>
                    </w:r>
                  </w:p>
                  <w:p>
                    <w:pPr>
                      <w:tabs>
                        <w:tab w:pos="703" w:val="left" w:leader="none"/>
                        <w:tab w:pos="1242" w:val="left" w:leader="none"/>
                        <w:tab w:pos="1780" w:val="left" w:leader="none"/>
                        <w:tab w:pos="2318" w:val="left" w:leader="none"/>
                        <w:tab w:pos="2857" w:val="left" w:leader="none"/>
                        <w:tab w:pos="3395" w:val="left" w:leader="none"/>
                        <w:tab w:pos="4529" w:val="left" w:leader="none"/>
                        <w:tab w:pos="5062" w:val="left" w:leader="none"/>
                        <w:tab w:pos="5597" w:val="left" w:leader="none"/>
                        <w:tab w:pos="6131" w:val="left" w:leader="none"/>
                        <w:tab w:pos="6664" w:val="left" w:leader="none"/>
                        <w:tab w:pos="7199" w:val="left" w:leader="none"/>
                        <w:tab w:pos="7733" w:val="left" w:leader="none"/>
                      </w:tabs>
                      <w:spacing w:before="15"/>
                      <w:ind w:left="16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  <w:tab/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</w:r>
                  </w:p>
                </w:txbxContent>
              </v:textbox>
              <w10:wrap type="none"/>
            </v:shape>
            <v:shape style="position:absolute;left:3294;top:5850;width:1250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2"/>
                        <w:w w:val="115"/>
                        <w:sz w:val="12"/>
                      </w:rPr>
                      <w:t>Recursive</w:t>
                    </w:r>
                    <w:r>
                      <w:rPr>
                        <w:rFonts w:ascii="Arial MT"/>
                        <w:spacing w:val="-7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15"/>
                        <w:sz w:val="12"/>
                      </w:rPr>
                      <w:t>Residuals</w:t>
                    </w:r>
                  </w:p>
                </w:txbxContent>
              </v:textbox>
              <w10:wrap type="none"/>
            </v:shape>
            <v:shape style="position:absolute;left:4990;top:5850;width:50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 w:hAnsi="Arial MT"/>
                        <w:sz w:val="12"/>
                      </w:rPr>
                    </w:pPr>
                    <w:r>
                      <w:rPr>
                        <w:rFonts w:ascii="Arial MT" w:hAnsi="Arial MT"/>
                        <w:w w:val="115"/>
                        <w:sz w:val="12"/>
                      </w:rPr>
                      <w:t>±</w:t>
                    </w:r>
                    <w:r>
                      <w:rPr>
                        <w:rFonts w:ascii="Arial MT" w:hAnsi="Arial MT"/>
                        <w:spacing w:val="-6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12"/>
                      </w:rPr>
                      <w:t>2</w:t>
                    </w:r>
                    <w:r>
                      <w:rPr>
                        <w:rFonts w:ascii="Arial MT" w:hAnsi="Arial MT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12"/>
                      </w:rPr>
                      <w:t>S.E.</w:t>
                    </w:r>
                  </w:p>
                </w:txbxContent>
              </v:textbox>
              <w10:wrap type="none"/>
            </v:shape>
            <v:shape style="position:absolute;left:7783;top:5848;width:523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CUSUM</w:t>
                    </w:r>
                  </w:p>
                </w:txbxContent>
              </v:textbox>
              <w10:wrap type="none"/>
            </v:shape>
            <v:shape style="position:absolute;left:8706;top:5848;width:988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"/>
                        <w:w w:val="115"/>
                        <w:sz w:val="12"/>
                      </w:rPr>
                      <w:t>5%</w:t>
                    </w:r>
                    <w:r>
                      <w:rPr>
                        <w:rFonts w:ascii="Arial MT"/>
                        <w:spacing w:val="-8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15"/>
                        <w:sz w:val="12"/>
                      </w:rPr>
                      <w:t>Significance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08.139999pt;margin-top:-57.136887pt;width:108.26pt;height:.72pt;mso-position-horizontal-relative:page;mso-position-vertical-relative:paragraph;z-index:-25217536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39999pt;margin-top:51.223114pt;width:108.26pt;height:.72pt;mso-position-horizontal-relative:page;mso-position-vertical-relative:paragraph;z-index:-2521702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B: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Tests</w:t>
      </w: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1153"/>
        <w:gridCol w:w="2068"/>
        <w:gridCol w:w="1783"/>
      </w:tblGrid>
      <w:tr>
        <w:trPr>
          <w:trHeight w:val="385" w:hRule="atLeast"/>
        </w:trPr>
        <w:tc>
          <w:tcPr>
            <w:tcW w:w="7169" w:type="dxa"/>
            <w:gridSpan w:val="4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B1: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Ramsey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Test:</w:t>
            </w:r>
          </w:p>
        </w:tc>
      </w:tr>
      <w:tr>
        <w:trPr>
          <w:trHeight w:val="368" w:hRule="atLeast"/>
        </w:trPr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87"/>
              <w:ind w:left="28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98"/>
              <w:rPr>
                <w:sz w:val="24"/>
              </w:rPr>
            </w:pPr>
            <w:r>
              <w:rPr>
                <w:sz w:val="24"/>
              </w:rPr>
              <w:t>3.930942</w:t>
            </w:r>
          </w:p>
        </w:tc>
        <w:tc>
          <w:tcPr>
            <w:tcW w:w="206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78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61" w:lineRule="exact" w:before="8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0.049581</w:t>
            </w:r>
          </w:p>
        </w:tc>
      </w:tr>
      <w:tr>
        <w:trPr>
          <w:trHeight w:val="378" w:hRule="atLeast"/>
        </w:trPr>
        <w:tc>
          <w:tcPr>
            <w:tcW w:w="216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4.300966</w:t>
            </w:r>
          </w:p>
        </w:tc>
        <w:tc>
          <w:tcPr>
            <w:tcW w:w="206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78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7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0.038091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  <w:r>
        <w:rPr/>
        <w:pict>
          <v:group style="position:absolute;margin-left:106.610001pt;margin-top:11.199219pt;width:428.05pt;height:201.05pt;mso-position-horizontal-relative:page;mso-position-vertical-relative:paragraph;z-index:-15516160;mso-wrap-distance-left:0;mso-wrap-distance-right:0" coordorigin="2132,224" coordsize="8561,4021">
            <v:rect style="position:absolute;left:2132;top:223;width:8561;height:4021" filled="true" fillcolor="#ffffff" stroked="false">
              <v:fill type="solid"/>
            </v:rect>
            <v:shape style="position:absolute;left:2656;top:509;width:4210;height:2882" coordorigin="2656,510" coordsize="4210,2882" path="m2656,3318l2719,3318m2656,978l2719,978m2656,510l2719,510m2726,3333l2726,3362m2846,3333l2846,3362m2969,3333l2969,3362m3091,3333l3091,3362m3213,3333l3213,3362m3335,3333l3335,3362m3457,3333l3457,3362m3577,3333l3577,3362m3699,3333l3699,3362m3821,3333l3821,3362m3943,3333l3943,3362m4065,3333l4065,3362m4187,3333l4187,3362m4308,3333l4308,3362m4430,3333l4430,3362m4552,3333l4552,3362m4674,3333l4674,3362m4796,3333l4796,3362m4918,3333l4918,3362m5039,3333l5039,3362m5161,3333l5161,3362m5283,3333l5283,3362m5405,3333l5405,3362m5527,3333l5527,3362m5649,3333l5649,3362m5771,3333l5771,3362m5891,3333l5891,3362m6013,3333l6013,3362m6135,3333l6135,3362m6257,3333l6257,3362m6380,3333l6380,3362m6502,3333l6502,3362m6622,3333l6622,3362m6744,3333l6744,3362m6866,3333l6866,3362m3213,3333l3213,3391m3821,3333l3821,3391m4430,3333l4430,3391m5039,3333l5039,3391m5649,3333l5649,3391m6257,3333l6257,3391m6866,3333l6866,3391e" filled="false" stroked="true" strokeweight=".420047pt" strokecolor="#000000">
              <v:path arrowok="t"/>
              <v:stroke dashstyle="solid"/>
            </v:shape>
            <v:line style="position:absolute" from="2771,1272" to="2771,1319" stroked="true" strokeweight=".585196pt" strokecolor="#ff0000">
              <v:stroke dashstyle="solid"/>
            </v:line>
            <v:line style="position:absolute" from="2775,1214" to="2775,1261" stroked="true" strokeweight=".654716pt" strokecolor="#ff0000">
              <v:stroke dashstyle="solid"/>
            </v:line>
            <v:line style="position:absolute" from="2780,1156" to="2780,1203" stroked="true" strokeweight=".654711pt" strokecolor="#ff0000">
              <v:stroke dashstyle="solid"/>
            </v:line>
            <v:shape style="position:absolute;left:2656;top:915;width:4308;height:2193" type="#_x0000_t75" stroked="false">
              <v:imagedata r:id="rId56" o:title=""/>
            </v:shape>
            <v:line style="position:absolute" from="2782,1098" to="2782,1145" stroked="true" strokeweight=".668043pt" strokecolor="#ff0000">
              <v:stroke dashstyle="solid"/>
            </v:line>
            <v:line style="position:absolute" from="2786,1103" to="2786,1150" stroked="true" strokeweight=".599111pt" strokecolor="#ff0000">
              <v:stroke dashstyle="solid"/>
            </v:line>
            <v:line style="position:absolute" from="2788,1161" to="2788,1208" stroked="true" strokeweight=".585196pt" strokecolor="#ff0000">
              <v:stroke dashstyle="solid"/>
            </v:line>
            <v:line style="position:absolute" from="2791,1219" to="2791,1266" stroked="true" strokeweight=".599109pt" strokecolor="#ff0000">
              <v:stroke dashstyle="solid"/>
            </v:line>
            <v:line style="position:absolute" from="2792,1277" to="2792,1324" stroked="true" strokeweight=".585196pt" strokecolor="#ff0000">
              <v:stroke dashstyle="solid"/>
            </v:line>
            <v:rect style="position:absolute;left:2718;top:503;width:4249;height:2825" filled="false" stroked="true" strokeweight=".679139pt" strokecolor="#000000">
              <v:stroke dashstyle="solid"/>
            </v:rect>
            <v:line style="position:absolute" from="4191,3861" to="4498,3861" stroked="true" strokeweight=".455805pt" strokecolor="#0000ff">
              <v:stroke dashstyle="solid"/>
            </v:line>
            <v:shape style="position:absolute;left:2417;top:393;width:220;height:2984" type="#_x0000_t202" filled="false" stroked="false">
              <v:textbox inset="0,0,0,0">
                <w:txbxContent>
                  <w:p>
                    <w:pPr>
                      <w:spacing w:before="1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.8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1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.6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1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.4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3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.2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1"/>
                      <w:ind w:left="5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.0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-.2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-.4</w:t>
                    </w:r>
                  </w:p>
                </w:txbxContent>
              </v:textbox>
              <w10:wrap type="none"/>
            </v:shape>
            <v:shape style="position:absolute;left:3011;top:3394;width:4074;height:175" type="#_x0000_t202" filled="false" stroked="false">
              <v:textbox inset="0,0,0,0">
                <w:txbxContent>
                  <w:p>
                    <w:pPr>
                      <w:tabs>
                        <w:tab w:pos="608" w:val="left" w:leader="none"/>
                        <w:tab w:pos="1217" w:val="left" w:leader="none"/>
                        <w:tab w:pos="1826" w:val="left" w:leader="none"/>
                        <w:tab w:pos="2436" w:val="left" w:leader="none"/>
                        <w:tab w:pos="3044" w:val="left" w:leader="none"/>
                        <w:tab w:pos="3653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1980</w:t>
                      <w:tab/>
                      <w:t>1985</w:t>
                      <w:tab/>
                      <w:t>1990</w:t>
                      <w:tab/>
                      <w:t>1995</w:t>
                      <w:tab/>
                      <w:t>2000</w:t>
                      <w:tab/>
                      <w:t>2005</w:t>
                      <w:tab/>
                      <w:t>2010</w:t>
                    </w:r>
                  </w:p>
                </w:txbxContent>
              </v:textbox>
              <w10:wrap type="none"/>
            </v:shape>
            <v:shape style="position:absolute;left:4113;top:3727;width:1448;height:252" type="#_x0000_t202" filled="false" stroked="true" strokeweight=".396134pt" strokecolor="#000000">
              <v:textbox inset="0,0,0,0">
                <w:txbxContent>
                  <w:p>
                    <w:pPr>
                      <w:spacing w:before="40"/>
                      <w:ind w:left="451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DLCPI_SLF</w:t>
                    </w:r>
                  </w:p>
                </w:txbxContent>
              </v:textbox>
              <v:stroke dashstyle="solid"/>
              <w10:wrap type="none"/>
            </v:shape>
            <v:shape style="position:absolute;left:7224;top:509;width:3284;height:2594" type="#_x0000_t202" filled="false" stroked="true" strokeweight=".41715pt" strokecolor="#000000">
              <v:textbox inset="0,0,0,0">
                <w:txbxContent>
                  <w:p>
                    <w:pPr>
                      <w:spacing w:line="268" w:lineRule="auto" w:before="53"/>
                      <w:ind w:left="83" w:right="997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5"/>
                        <w:sz w:val="15"/>
                      </w:rPr>
                      <w:t>Forecast:</w:t>
                    </w:r>
                    <w:r>
                      <w:rPr>
                        <w:rFonts w:ascii="Arial MT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DLCPI_SLF</w:t>
                    </w:r>
                    <w:r>
                      <w:rPr>
                        <w:rFonts w:ascii="Arial MT"/>
                        <w:spacing w:val="-4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Actual:</w:t>
                    </w:r>
                    <w:r>
                      <w:rPr>
                        <w:rFonts w:ascii="Arial MT"/>
                        <w:spacing w:val="-5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DLCPI_SL</w:t>
                    </w:r>
                  </w:p>
                  <w:p>
                    <w:pPr>
                      <w:spacing w:line="268" w:lineRule="auto" w:before="0"/>
                      <w:ind w:left="83" w:right="465" w:firstLine="0"/>
                      <w:jc w:val="both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5"/>
                        <w:sz w:val="15"/>
                      </w:rPr>
                      <w:t>Forecast sample: 1975Q1 2010Q4</w:t>
                    </w:r>
                    <w:r>
                      <w:rPr>
                        <w:rFonts w:ascii="Arial MT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Adjusted sample: 1976Q1 2010Q4</w:t>
                    </w:r>
                    <w:r>
                      <w:rPr>
                        <w:rFonts w:ascii="Arial MT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Included</w:t>
                    </w:r>
                    <w:r>
                      <w:rPr>
                        <w:rFonts w:ascii="Arial MT"/>
                        <w:spacing w:val="-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observations:</w:t>
                    </w:r>
                    <w:r>
                      <w:rPr>
                        <w:rFonts w:ascii="Arial MT"/>
                        <w:spacing w:val="-8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140</w:t>
                    </w:r>
                  </w:p>
                  <w:p>
                    <w:pPr>
                      <w:tabs>
                        <w:tab w:pos="3200" w:val="right" w:leader="none"/>
                      </w:tabs>
                      <w:spacing w:before="188"/>
                      <w:ind w:left="83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5"/>
                        <w:sz w:val="15"/>
                      </w:rPr>
                      <w:t>Root</w:t>
                    </w:r>
                    <w:r>
                      <w:rPr>
                        <w:rFonts w:ascii="Arial MT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Mean</w:t>
                    </w:r>
                    <w:r>
                      <w:rPr>
                        <w:rFonts w:ascii="Arial MT"/>
                        <w:spacing w:val="-9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Squared</w:t>
                    </w:r>
                    <w:r>
                      <w:rPr>
                        <w:rFonts w:ascii="Arial MT"/>
                        <w:spacing w:val="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Error</w:t>
                      <w:tab/>
                      <w:t>0.083883</w:t>
                    </w:r>
                  </w:p>
                  <w:p>
                    <w:pPr>
                      <w:tabs>
                        <w:tab w:pos="3200" w:val="right" w:leader="none"/>
                      </w:tabs>
                      <w:spacing w:before="21"/>
                      <w:ind w:left="83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5"/>
                        <w:sz w:val="15"/>
                      </w:rPr>
                      <w:t>Mean</w:t>
                    </w:r>
                    <w:r>
                      <w:rPr>
                        <w:rFonts w:ascii="Arial MT"/>
                        <w:spacing w:val="-12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Absolute Error</w:t>
                      <w:tab/>
                      <w:t>0.058886</w:t>
                    </w:r>
                  </w:p>
                  <w:p>
                    <w:pPr>
                      <w:tabs>
                        <w:tab w:pos="3200" w:val="right" w:leader="none"/>
                      </w:tabs>
                      <w:spacing w:before="20"/>
                      <w:ind w:left="83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5"/>
                        <w:sz w:val="15"/>
                      </w:rPr>
                      <w:t>Mean</w:t>
                    </w:r>
                    <w:r>
                      <w:rPr>
                        <w:rFonts w:ascii="Arial MT"/>
                        <w:spacing w:val="-10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Abs.</w:t>
                    </w:r>
                    <w:r>
                      <w:rPr>
                        <w:rFonts w:ascii="Arial MT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Percent</w:t>
                    </w:r>
                    <w:r>
                      <w:rPr>
                        <w:rFonts w:ascii="Arial MT"/>
                        <w:spacing w:val="-4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Error</w:t>
                      <w:tab/>
                      <w:t>784.4908</w:t>
                    </w:r>
                  </w:p>
                  <w:p>
                    <w:pPr>
                      <w:tabs>
                        <w:tab w:pos="3200" w:val="right" w:leader="none"/>
                      </w:tabs>
                      <w:spacing w:before="20"/>
                      <w:ind w:left="83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5"/>
                        <w:sz w:val="15"/>
                      </w:rPr>
                      <w:t>Theil</w:t>
                    </w:r>
                    <w:r>
                      <w:rPr>
                        <w:rFonts w:ascii="Arial MT"/>
                        <w:spacing w:val="-8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Inequality</w:t>
                    </w:r>
                    <w:r>
                      <w:rPr>
                        <w:rFonts w:ascii="Arial MT"/>
                        <w:spacing w:val="-1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Coefficient</w:t>
                      <w:tab/>
                      <w:t>0.346224</w:t>
                    </w:r>
                  </w:p>
                  <w:p>
                    <w:pPr>
                      <w:tabs>
                        <w:tab w:pos="3200" w:val="right" w:leader="none"/>
                      </w:tabs>
                      <w:spacing w:before="20"/>
                      <w:ind w:left="306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Bias</w:t>
                    </w:r>
                    <w:r>
                      <w:rPr>
                        <w:rFonts w:ascii="Arial MT"/>
                        <w:spacing w:val="-6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Proportion</w:t>
                      <w:tab/>
                      <w:t>0.000001</w:t>
                    </w:r>
                  </w:p>
                  <w:p>
                    <w:pPr>
                      <w:tabs>
                        <w:tab w:pos="3200" w:val="right" w:leader="none"/>
                      </w:tabs>
                      <w:spacing w:before="20"/>
                      <w:ind w:left="306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Variance</w:t>
                    </w:r>
                    <w:r>
                      <w:rPr>
                        <w:rFonts w:ascii="Arial MT"/>
                        <w:spacing w:val="-6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Proportion</w:t>
                      <w:tab/>
                      <w:t>0.177736</w:t>
                    </w:r>
                  </w:p>
                  <w:p>
                    <w:pPr>
                      <w:tabs>
                        <w:tab w:pos="3200" w:val="right" w:leader="none"/>
                      </w:tabs>
                      <w:spacing w:before="20"/>
                      <w:ind w:left="306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Covariance</w:t>
                    </w:r>
                    <w:r>
                      <w:rPr>
                        <w:rFonts w:ascii="Arial MT"/>
                        <w:spacing w:val="-9"/>
                        <w:w w:val="120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5"/>
                      </w:rPr>
                      <w:t>Proportion</w:t>
                      <w:tab/>
                      <w:t>0.822263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sectPr>
      <w:pgSz w:w="12240" w:h="15840"/>
      <w:pgMar w:header="0" w:footer="1015" w:top="1440" w:bottom="1200" w:left="13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3.970001pt;margin-top:730.255981pt;width:18.650pt;height:13.05pt;mso-position-horizontal-relative:page;mso-position-vertical-relative:page;z-index:-25431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690002pt;margin-top:730.255981pt;width:17.3pt;height:13.05pt;mso-position-horizontal-relative:page;mso-position-vertical-relative:page;z-index:-254310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690002pt;margin-top:730.255981pt;width:17.3pt;height:13.05pt;mso-position-horizontal-relative:page;mso-position-vertical-relative:page;z-index:-25430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25430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929993pt;margin-top:730.255981pt;width:22.75pt;height:13.05pt;mso-position-horizontal-relative:page;mso-position-vertical-relative:page;z-index:-25429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0"/>
      <w:numFmt w:val="bullet"/>
      <w:lvlText w:val=""/>
      <w:lvlJc w:val="left"/>
      <w:pPr>
        <w:ind w:left="212" w:hanging="213"/>
      </w:pPr>
      <w:rPr>
        <w:rFonts w:hint="default" w:ascii="Symbol" w:hAnsi="Symbol" w:eastAsia="Symbol" w:cs="Symbol"/>
        <w:w w:val="155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4" w:hanging="2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9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3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8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93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87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2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76" w:hanging="21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"/>
      <w:lvlJc w:val="left"/>
      <w:pPr>
        <w:ind w:left="535" w:hanging="403"/>
      </w:pPr>
      <w:rPr>
        <w:rFonts w:hint="default" w:ascii="Symbol" w:hAnsi="Symbol" w:eastAsia="Symbol" w:cs="Symbol"/>
        <w:w w:val="103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4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5" w:hanging="4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3" w:hanging="4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1" w:hanging="4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8" w:hanging="4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6" w:hanging="4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74" w:hanging="4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22" w:hanging="40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"/>
      <w:lvlJc w:val="left"/>
      <w:pPr>
        <w:ind w:left="550" w:hanging="414"/>
      </w:pPr>
      <w:rPr>
        <w:rFonts w:hint="default" w:ascii="Symbol" w:hAnsi="Symbol" w:eastAsia="Symbol" w:cs="Symbol"/>
        <w:w w:val="327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3" w:hanging="4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7" w:hanging="4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0" w:hanging="4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4" w:hanging="4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8" w:hanging="4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1" w:hanging="4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5" w:hanging="4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9" w:hanging="41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5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531" w:hanging="44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2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8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44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598" w:hanging="293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8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6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2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6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29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11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0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5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0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5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0" w:hanging="90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5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31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11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3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6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90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lowerRoman"/>
      <w:lvlText w:val="(%1)"/>
      <w:lvlJc w:val="left"/>
      <w:pPr>
        <w:ind w:left="811" w:hanging="38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687" w:hanging="324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7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3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1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32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(%1)"/>
      <w:lvlJc w:val="left"/>
      <w:pPr>
        <w:ind w:left="2251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1262" w:hanging="45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2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45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(%1)"/>
      <w:lvlJc w:val="left"/>
      <w:pPr>
        <w:ind w:left="1531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5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1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3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5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3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5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31" w:hanging="4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471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6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471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92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2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8" w:hanging="88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471" w:hanging="6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6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471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72" w:hanging="10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6" w:hanging="10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2" w:hanging="10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7" w:hanging="10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10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8" w:hanging="10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471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3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3" w:hanging="6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71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6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71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660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3"/>
      <w:ind w:right="192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61"/>
      <w:ind w:left="1471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1"/>
      <w:ind w:left="153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827" w:right="101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81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6"/>
      <w:ind w:left="820" w:right="1012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1531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footer" Target="footer3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footer" Target="footer4.xml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footer" Target="footer5.xml"/><Relationship Id="rId29" Type="http://schemas.openxmlformats.org/officeDocument/2006/relationships/hyperlink" Target="http://www.springerlink.com/content/vmOhx5875xl11w716k/fulltext" TargetMode="External"/><Relationship Id="rId30" Type="http://schemas.openxmlformats.org/officeDocument/2006/relationships/hyperlink" Target="http://www.case.ox.ac.uk/resprogs/smmsae/pdfs/smmsae-2002-12.pdf" TargetMode="External"/><Relationship Id="rId31" Type="http://schemas.openxmlformats.org/officeDocument/2006/relationships/hyperlink" Target="http://dx.doi.org/10.1016/i.rdf.2012.12.002" TargetMode="External"/><Relationship Id="rId32" Type="http://schemas.openxmlformats.org/officeDocument/2006/relationships/hyperlink" Target="http://www.cesenet.org/ibr.%20Retrieved%20April%2010" TargetMode="External"/><Relationship Id="rId33" Type="http://schemas.openxmlformats.org/officeDocument/2006/relationships/hyperlink" Target="http://www.cesenet.org/ibr" TargetMode="External"/><Relationship Id="rId34" Type="http://schemas.openxmlformats.org/officeDocument/2006/relationships/hyperlink" Target="http://www.africametrics.org/documents/conference09/paper/Korsu_Braima.pdf" TargetMode="External"/><Relationship Id="rId35" Type="http://schemas.openxmlformats.org/officeDocument/2006/relationships/hyperlink" Target="http://www.depot.gdnet.org/newkb/fulltext/NWANI.pdf" TargetMode="External"/><Relationship Id="rId36" Type="http://schemas.openxmlformats.org/officeDocument/2006/relationships/hyperlink" Target="http://www.sciencedirect.com/" TargetMode="External"/><Relationship Id="rId37" Type="http://schemas.openxmlformats.org/officeDocument/2006/relationships/hyperlink" Target="http://www.rrz.uni-hamburg.de/RRZ/R.Tiwari/" TargetMode="External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SUNDY</dc:creator>
  <dcterms:created xsi:type="dcterms:W3CDTF">2023-11-14T19:37:58Z</dcterms:created>
  <dcterms:modified xsi:type="dcterms:W3CDTF">2023-11-14T19:37:58Z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