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Times New Roman" w:cs="Times New Roman"/>
          <w:b/>
          <w:bCs/>
          <w:color w:val="000000" w:themeColor="text1"/>
          <w:sz w:val="28"/>
          <w:szCs w:val="28"/>
          <w14:textFill>
            <w14:solidFill>
              <w14:schemeClr w14:val="tx1"/>
            </w14:solidFill>
          </w14:textFill>
        </w:rPr>
      </w:pPr>
    </w:p>
    <w:p>
      <w:pPr>
        <w:pStyle w:val="2"/>
        <w:keepNext w:val="0"/>
        <w:keepLines w:val="0"/>
        <w:widowControl/>
        <w:suppressLineNumbers w:val="0"/>
        <w:spacing w:before="0" w:beforeAutospacing="0" w:after="150" w:afterAutospacing="0" w:line="600" w:lineRule="atLeast"/>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 xml:space="preserve">EVALUATION OF THE LEVEL OF COVID-19 SAFETY </w:t>
      </w:r>
      <w:bookmarkStart w:id="1" w:name="_GoBack"/>
      <w:bookmarkEnd w:id="1"/>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COMPLIANCE IN TERTIARY INSTITUTIONS</w:t>
      </w:r>
    </w:p>
    <w:p>
      <w:pPr>
        <w:rPr>
          <w:rFonts w:hint="default" w:ascii="Times New Roman" w:hAnsi="Times New Roman" w:cs="Times New Roman"/>
          <w:b/>
          <w:bCs/>
          <w:color w:val="000000" w:themeColor="text1"/>
          <w:sz w:val="28"/>
          <w:szCs w:val="28"/>
          <w14:textFill>
            <w14:solidFill>
              <w14:schemeClr w14:val="tx1"/>
            </w14:solidFill>
          </w14:textFill>
        </w:rPr>
      </w:pPr>
    </w:p>
    <w:p>
      <w:pPr>
        <w:rPr>
          <w:rFonts w:hint="default" w:ascii="Times New Roman" w:hAnsi="Times New Roman" w:cs="Times New Roman"/>
          <w:b/>
          <w:bCs/>
          <w:color w:val="000000" w:themeColor="text1"/>
          <w:sz w:val="28"/>
          <w:szCs w:val="28"/>
          <w14:textFill>
            <w14:solidFill>
              <w14:schemeClr w14:val="tx1"/>
            </w14:solidFill>
          </w14:textFill>
        </w:rPr>
      </w:pP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TITLE PAGE</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Certification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Dedication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Acknowledgement</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Table of Content</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List of Tables</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 INTRODUCTION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Background of the study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Statement of the problem</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Objective of the study</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Question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Significance of the study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1.6</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Definition of terms</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 REVIEW OF LITERATURE</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Review of concepts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Theoretical Framework</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Review of Empirical studies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Chapter Summary</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Design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Population of the study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Sample size determination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Sample size selection technique and procedure</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3.5 Research Instrument and Administration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3.6</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 Method of data collection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3.7</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Method of data analysis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3.8</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Validity and Reliability of the study</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 DATA PRESENTATION AND ANALYSIS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Data Presentation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Answering Research Questions</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FIVE: SUMMARY, CONCLUSION AND RECOMMENDATION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Summary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Conclusion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Recommendation</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References </w:t>
      </w:r>
    </w:p>
    <w:p>
      <w:pPr>
        <w:spacing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Appendix</w:t>
      </w:r>
    </w:p>
    <w:p>
      <w:pP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br w:type="page"/>
      </w:r>
    </w:p>
    <w:p>
      <w:pPr>
        <w:jc w:val="both"/>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p>
    <w:p>
      <w:pPr>
        <w:jc w:val="center"/>
        <w:rPr>
          <w:rStyle w:val="8"/>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ABSTRACT</w:t>
      </w:r>
    </w:p>
    <w:p>
      <w:pPr>
        <w:jc w:val="center"/>
        <w:rPr>
          <w:rStyle w:val="8"/>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i/>
          <w:iCs/>
          <w:color w:val="000000" w:themeColor="text1"/>
          <w:sz w:val="28"/>
          <w:szCs w:val="28"/>
          <w:lang w:val="en-US"/>
          <w14:textFill>
            <w14:solidFill>
              <w14:schemeClr w14:val="tx1"/>
            </w14:solidFill>
          </w14:textFill>
        </w:rPr>
      </w:pP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The</w:t>
      </w:r>
      <w:r>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 xml:space="preserve"> focus </w:t>
      </w: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of this study is to evaluate the Level of Covid-19 Safety Compliance by Tertiary Institutions</w:t>
      </w:r>
      <w:r>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 xml:space="preserve"> using university of Ilorin as a case study.</w:t>
      </w:r>
      <w:r>
        <w:rPr>
          <w:rFonts w:hint="default" w:ascii="Times New Roman" w:hAnsi="Times New Roman" w:eastAsia="sans-serif" w:cs="Times New Roman"/>
          <w:i/>
          <w:iCs/>
          <w:color w:val="000000" w:themeColor="text1"/>
          <w:spacing w:val="0"/>
          <w:sz w:val="28"/>
          <w:szCs w:val="28"/>
          <w:shd w:val="clear" w:fill="FFFFFF"/>
          <w:lang w:val="en-US"/>
          <w14:textFill>
            <w14:solidFill>
              <w14:schemeClr w14:val="tx1"/>
            </w14:solidFill>
          </w14:textFill>
        </w:rPr>
        <w:t>S</w:t>
      </w:r>
      <w:r>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 xml:space="preserve">imple random sampling technique was used for  the study. 340 respondents which includes staffs and students of University of Ilorin forms the population of the study. </w:t>
      </w:r>
      <w:r>
        <w:rPr>
          <w:rFonts w:hint="default" w:ascii="Times New Roman" w:hAnsi="Times New Roman" w:eastAsia="sans-serif" w:cs="Times New Roman"/>
          <w:i/>
          <w:iCs/>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ata was presented and analyzed using frequency and tables.findings from the study showed that the extent of covid-19 safety compliance among tertiary institution is high although there is need to maintain this level of consistency.</w:t>
      </w:r>
      <w:r>
        <w:rPr>
          <w:rFonts w:hint="default" w:ascii="Times New Roman" w:hAnsi="Times New Roman" w:eastAsia="sans-serif" w:cs="Times New Roman"/>
          <w:i/>
          <w:iCs/>
          <w:color w:val="000000" w:themeColor="text1"/>
          <w:spacing w:val="0"/>
          <w:sz w:val="28"/>
          <w:szCs w:val="28"/>
          <w:shd w:val="clear" w:fill="FFFFFF"/>
          <w:lang w:val="en-US"/>
          <w14:textFill>
            <w14:solidFill>
              <w14:schemeClr w14:val="tx1"/>
            </w14:solidFill>
          </w14:textFill>
        </w:rPr>
        <w:t xml:space="preserve">The </w:t>
      </w:r>
      <w:r>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study therefor recommends that t</w:t>
      </w:r>
      <w:r>
        <w:rPr>
          <w:rFonts w:hint="default" w:ascii="Times New Roman" w:hAnsi="Times New Roman" w:eastAsia="SimSun" w:cs="Times New Roman"/>
          <w:i/>
          <w:iCs/>
          <w:sz w:val="28"/>
          <w:szCs w:val="28"/>
        </w:rPr>
        <w:t xml:space="preserve">he university society should be educated on </w:t>
      </w:r>
      <w:r>
        <w:rPr>
          <w:rFonts w:hint="default" w:ascii="Times New Roman" w:hAnsi="Times New Roman" w:cs="Times New Roman"/>
          <w:i/>
          <w:iCs/>
          <w:sz w:val="28"/>
          <w:szCs w:val="28"/>
          <w:lang w:val="en-US"/>
        </w:rPr>
        <w:t xml:space="preserve"> </w:t>
      </w:r>
      <w:r>
        <w:rPr>
          <w:rFonts w:hint="default" w:ascii="Times New Roman" w:hAnsi="Times New Roman" w:eastAsia="SimSun" w:cs="Times New Roman"/>
          <w:i/>
          <w:iCs/>
          <w:sz w:val="28"/>
          <w:szCs w:val="28"/>
        </w:rPr>
        <w:t>the myth and the facts</w:t>
      </w:r>
      <w:r>
        <w:rPr>
          <w:rFonts w:hint="default" w:ascii="Times New Roman" w:hAnsi="Times New Roman" w:cs="Times New Roman"/>
          <w:i/>
          <w:iCs/>
          <w:sz w:val="28"/>
          <w:szCs w:val="28"/>
          <w:lang w:val="en-US"/>
        </w:rPr>
        <w:t xml:space="preserve"> of</w:t>
      </w:r>
      <w:r>
        <w:rPr>
          <w:rFonts w:hint="default" w:ascii="Times New Roman" w:hAnsi="Times New Roman" w:eastAsia="SimSun" w:cs="Times New Roman"/>
          <w:i/>
          <w:iCs/>
          <w:sz w:val="28"/>
          <w:szCs w:val="28"/>
        </w:rPr>
        <w:t xml:space="preserve"> COVID19</w:t>
      </w:r>
      <w:r>
        <w:rPr>
          <w:rFonts w:hint="default" w:ascii="Times New Roman" w:hAnsi="Times New Roman" w:cs="Times New Roman"/>
          <w:i/>
          <w:iCs/>
          <w:sz w:val="28"/>
          <w:szCs w:val="28"/>
          <w:lang w:val="en-US"/>
        </w:rPr>
        <w:t xml:space="preserve">. More so </w:t>
      </w:r>
      <w:r>
        <w:rPr>
          <w:rFonts w:hint="default" w:ascii="Times New Roman" w:hAnsi="Times New Roman" w:eastAsia="SimSun" w:cs="Times New Roman"/>
          <w:i/>
          <w:iCs/>
          <w:sz w:val="28"/>
          <w:szCs w:val="28"/>
        </w:rPr>
        <w:t>Task</w:t>
      </w:r>
      <w:r>
        <w:rPr>
          <w:rFonts w:hint="default" w:ascii="Times New Roman" w:hAnsi="Times New Roman" w:cs="Times New Roman"/>
          <w:i/>
          <w:iCs/>
          <w:sz w:val="28"/>
          <w:szCs w:val="28"/>
          <w:lang w:val="en-US"/>
        </w:rPr>
        <w:t xml:space="preserve"> </w:t>
      </w:r>
      <w:r>
        <w:rPr>
          <w:rFonts w:hint="default" w:ascii="Times New Roman" w:hAnsi="Times New Roman" w:eastAsia="SimSun" w:cs="Times New Roman"/>
          <w:i/>
          <w:iCs/>
          <w:sz w:val="28"/>
          <w:szCs w:val="28"/>
        </w:rPr>
        <w:t>force teams should be set up to enforce adherence to the COVID-19 pandemic preventive measures</w:t>
      </w:r>
      <w:r>
        <w:rPr>
          <w:rFonts w:hint="default" w:ascii="Times New Roman" w:hAnsi="Times New Roman" w:cs="Times New Roman"/>
          <w:i/>
          <w:iCs/>
          <w:sz w:val="28"/>
          <w:szCs w:val="28"/>
          <w:lang w:val="en-US"/>
        </w:rPr>
        <w:t xml:space="preserve"> in tertiary constitution. </w:t>
      </w:r>
    </w:p>
    <w:p>
      <w:pPr>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1.1 BACKGROUND OF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Colleges and Universities environments are where students reside and concentrate in closeness to one another. They are additionally humming social center points where students are united from departments in the university. In recent times, the establishments of this special ecosystem have been affected essentially by the rapid spread of the Covid-19 flare-up, creating uncertainty in regards to the implication for advanced education.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According to the World Health Organization (WHO, 2020), Covid-19 is a family of viruses that cause illnesses ranging from the common cold to more severe diseases such as severe acute respiratory syndrome (SARS) and the Middle East respiratory syndrome (MERS).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1960 first case of coronavirus was notified and Canadian study in 2001 was identified approximately 500 patients as Flu-like system in which 17 to 18 cases were confirmed as infected with Coronavirus by polymerase chain reaction. These include livestock, birds, and mammals such as bats, camels, masked palm civets, dogs, mice, and cats. In 2003, various reports were published the spreading of Coronavirus in many countries such as Hong Kong, United States America, Singapore, Vietnam, Thailand, Taiwan and their several case of severe acute respiratory syndrome which caused by Coronavirus and their mortally was more than 1000 patient. Another study report in Hong Kong was confirmed 50 patients are suffering from severe acute respiratory syndrome while 30 of them were confirmed as Coronavirus infected. In Wuhan (China) late December 2019 a case unidentified pneumonia was reported by Hubei Province, People’s Republic of China (PRC) their clinical characteristics were very similar to those of viral pneumonia. After analysis on respiratory samples the Centre for Disease Control expert declared that the pneumonia, later known as novel virus and officially named the disease COVID-19 was declared by World Health Organization (WHO). The initial cases had a common exposure to the Huanan wholesale seafood market that also traded live animals. On December 31st 2019, China notified the outbreak to the WHO and on 1st January the Huanan sea food market was closed. For identification of this disease different sample from Huanan sea food market also tested, signifying that the virus originated from there. The number of cases started increasing exponentially, some of which did not have exposure to the live animal market, suggestive of the fact that human-to-human transmission was occurring.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outbreak of pandemic Covid-19 all over the world has disturbed the educational, political, social, economic, religious, and financial structures of the whole world. The world’s topmost economies such as the US, China, UK, Germany, France, Italy, Japan, and many others are on the verge of collapse. Besides, Stock Markets around the world have been pounded and oil prices have fallen off a cliff. In just a week 3.3 million Americans applied for unemployment and a week later another 6.6 million people started searching for jobs. Also, many experts on economic and financial matters have warned about the worsening condition of global economic and financial structure.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order to reduce and deal with the spread of the infection in Nigeria, the national Government commanded the utilization of face-mask; social distancing, utilization of sanitizers in washing hands and cleaning of surfaces regularly in contact with, thes</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safety measures are all applicable to all individual and including university students. In any case, before the resumptions of tertiary institutions, the Nigeria Governments encouraged all tertiary institutions to guarantee that there is a sufficient consistence compliance to Covid-19 safety measures. hence, the extent to which tertiary institutions in Nigeria adhere to those compulsory safety measures have been uncertain likewise other parts of Nigeria. Thus, this study emerged as a result of this uncertainty.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1.2 STATEMENT OF PROBLEM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 pandemic is a disease outbreak that spreads across countries or continents. It affects more people and takes more lives than an epidemic which according to the World Health Organization (WHO), declared COVID-19 to be a pandemic when it became clear that the illness was severe and that it was spreading quickly over a wide area.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Coronavirus has been known to be a terrifying and destructive disease that can annihilate human lives across the world.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Nigerian Government from the absolute first episode of this infection in Nigeria mandated the citizens to apply several measures to curb its widespread in the country. The closure of schools in the country from primary, secondary and tertiary level were among the measures the government took to reduce the rate of the spread of the pandemic. On the point of reopening schools in Nigeria, the government stated different measures school owners and tertiary institution management should but inn place in a quest to fighting the pandemic rand curb its widespread among students. Hence, most tertiary schools in Nigeria are over populated by thousands of students flowing in and out. However, the extent of law evasion and neglects among university students are overwhelming.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Johnson (2020) opined that; the adherence to the Covid-19 rules by tertiary students in Nigeria will be a challenge to the management because of the fact that many of the students are influenced by social groups as many belongs to notorious societies which encourages law evasion. Thus, this study is geared towards investigating the level at which tertiary institutions comply to Covid-19 safety prevention measures.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1.3 PURPOSE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primary objective of this study is to evaluate the Level of Covid-19 Safety Compliance by Tertiary Institutions. Below are other specific objectives;</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Investigate if students adequately make use of face mask, sanitizers and observe social distancing.</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Examine the extent to which students observe those prevention measures.</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Find out if school lecturers adhere to the execution and practice of these covid-19 safety prevention measures?</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Investigate if school management and law enforcers ensure and contribute to the execution and application of the safety measures by students.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1.4 RESEARCH QUESTION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Does students make adequate use of face mask, sanitizers and observe social distancing?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 what extent do students observe those prevention measures?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Does the school lecturers adhere to the execution and practice of these covid-19 safety prevention measures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Do the school management and law enforcers ensure and contribute to the execution and application of the safety measures by students?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1.5 SIGNIFICANCE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study will be of unspeakable importance to the Federal and state Government as it will expose the situation of compliance by tertiary institutions, and the gaps the enforcement agencies creates which stipulate irregular adherence to covid 19 rules and restrictions. And the recommendations will make a great impact on how to tighten the restrictions. The study however will also help university management boards on what best way to ensure the safety of the students. This study will add to existing literature in this area of study and serve as an eye-opener for further research in this domain.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1.6 SCOPE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study- Evaluation of the Level of Covid-19 Safety Compliance in Tertiary Institutions covers only University of Ilorin, Kwara State,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1.7 DEFINITION OF TERMS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Compliance: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act of obeying and observing that which is lawful and legal.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Transportation Company: A transportation company is a business that transports freight from one location to another which is a key in the value chain in manufacturing.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Covid 19:</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This is also known as coronavirus and it is a communicable respiratory disease caused by a new strain of coronavirus that causes illness in humans.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Government: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body of persons that constitutes the governing authority of a political unit or organization: such as. a : the officials comprising the governing body of a political unit and constituting the organization as an active agency.</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rPr>
          <w:rFonts w:hint="default" w:ascii="Times New Roman" w:hAnsi="Times New Roman" w:cs="Times New Roman"/>
          <w:b/>
          <w:bCs/>
          <w:color w:val="000000" w:themeColor="text1"/>
          <w:sz w:val="28"/>
          <w:szCs w:val="28"/>
          <w14:textFill>
            <w14:solidFill>
              <w14:schemeClr w14:val="tx1"/>
            </w14:solidFill>
          </w14:textFill>
        </w:rPr>
      </w:pPr>
    </w:p>
    <w:p>
      <w:pPr>
        <w:numPr>
          <w:ilvl w:val="0"/>
          <w:numId w:val="0"/>
        </w:numPr>
        <w:spacing w:line="480" w:lineRule="auto"/>
        <w:ind w:leftChars="0"/>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 TWO</w:t>
      </w:r>
    </w:p>
    <w:p>
      <w:pPr>
        <w:pStyle w:val="11"/>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LITERATURE REVIEW</w:t>
      </w:r>
    </w:p>
    <w:p>
      <w:pPr>
        <w:pStyle w:val="11"/>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bookmarkStart w:id="0" w:name="_Toc43312039"/>
      <w:r>
        <w:rPr>
          <w:rFonts w:hint="default" w:ascii="Times New Roman" w:hAnsi="Times New Roman" w:cs="Times New Roman"/>
          <w:b/>
          <w:bCs/>
          <w:i w:val="0"/>
          <w:iCs w:val="0"/>
          <w:color w:val="000000" w:themeColor="text1"/>
          <w:sz w:val="28"/>
          <w:szCs w:val="28"/>
          <w14:textFill>
            <w14:solidFill>
              <w14:schemeClr w14:val="tx1"/>
            </w14:solidFill>
          </w14:textFill>
        </w:rPr>
        <w:t>2.</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0</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INTRODUCTION</w:t>
      </w:r>
      <w:bookmarkEnd w:id="0"/>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2.1 Corona Virus and Classification</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SARS-CoV-2 is a member of the family Coronaviridae and order Nidovirales. The family consists of two subfamilies, Coronavirinae and Torovirinae  and members of the subfamily Coronavirinae are subdivided into four genera:  (a)  Alphacoronavirus contains the human coronavirus (HCoV)-229E and HCoV-NL63; (b) Betacoronavirus includes HCoV-OC43, Severe Acute Respiratory Syndrome human coronavirus (SARS-HCoV), HCoV-HKU1, and Middle Eastern respiratory syndrome coronavirus (MERS-CoV); (c) Gammacoronavirus includes viruses of whales and birds and; (d) Deltacoronavirus includes viruses isolated from pigs and birds [Burrell C, et al.2016]. SARS-CoV-2 belongs to Betacoronavirus together with two highly pathogenic viruses, SARS-CoV and MERS-CoV. SARS-CoV-2 is an enveloped and positive-sense single-stranded RNA (+ssRNA) virus [Kramer A, et al.2006].</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SARS-CoV-2 is considered a novel human-infecting Betacoro- navirus [Lu R,et al.2020]. Phylogenetic analysis of the SARS-CoV-2 genome indicates that the virus is closely related (with 88% identity) to two bat-derived SARS-like coronaviruses collected in 2018 in east- ern China (bat-SL-CoVZC45 and bat-SL-CoVZXC21) and genetically distinct from SARS-CoV (with about 79% similarity) and MERS-CoV [Lu R,et al.2020]. Using the genome sequences of SARS-CoV-2, RaTG13, and SARS-CoV [Zhou P,et al.2020], a further study found that the virus is more related to BatCoV RaTG13, a bat coronavirus that was previously detected in Rhinolophus afﬁnis from Yunnan Province, with 96.2% overall genome sequence identity [Zhou P,et al.2020]. A study found that no evidence of recombination events detected in the genome of SARS-CoV-2 from other viruses originating from bats such as BatCoV RaTG13, SARS- CoV and SARSr-CoVs [Zhou P,et al.2020]. Altogether, these ﬁnding suggest that bats might be the original host of this virus.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However, a study is needed to elucidate whether any inter- mediate hosts have facilitated the transmission of the virus to humans. Bats are unlikely to be the animal that is directly responsi- ble for transmission of the virus to humans for several reasons [Lu R,et al.2020]:</w:t>
      </w:r>
    </w:p>
    <w:p>
      <w:pPr>
        <w:numPr>
          <w:ilvl w:val="0"/>
          <w:numId w:val="2"/>
        </w:num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there were various non-aquatic animals (including mammals) available for purchase in Huanan Seafood Wholesale Market but no bats were sold or found; </w:t>
      </w:r>
    </w:p>
    <w:p>
      <w:pPr>
        <w:numPr>
          <w:ilvl w:val="0"/>
          <w:numId w:val="2"/>
        </w:numPr>
        <w:spacing w:line="480" w:lineRule="auto"/>
        <w:ind w:left="0" w:leftChars="0" w:firstLine="0" w:firstLine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SARS-CoV-2 and its close relatives, bat- SL-CoVZC45 and bat-SL-CoVZXC21, have a relatively long branch (sequence identity of less than 90%), suggesting those viruses are not direct ancestors of SARS-CoV-2; and </w:t>
      </w:r>
    </w:p>
    <w:p>
      <w:pPr>
        <w:numPr>
          <w:ilvl w:val="0"/>
          <w:numId w:val="0"/>
        </w:numPr>
        <w:spacing w:line="480" w:lineRule="auto"/>
        <w:ind w:left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 in other coronaviruses where bat is the natural reservoir such as SARS-CoV and MERS-CoV, other animals have acted as the intermediate host (civets and pos- sibly camels, respectively). Nevertheless, bats do not always need an intermediary host to transmit viruses to humans. For example, Nipah virus in Bangladesh is transmitted through bats shedding into raw date palm sap.</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2.1.1 Transmission</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role of the Huanan Seafood Wholesale Market in propagating disease is unclear. Many initial COVID-19 cases were linked to this market suggesting that SARS-CoV-2 was transmitted from animals to humans. However, a genomic study has provided evidence that the virus was introduced from another, yet unknown location, into the market where it spread more rapidly, although human-to-human transmission may have occurred earlier [Yu W,et al.2020]. Clusters of infected family members and medical workers have conﬁrmed the presence of person-to-person transmission [Yu W,et al.2020]. After January 1, less than 10% of patients had market expo- sure and more than 70% patients had no exposure to the market [Yu W, et’al. 2020]. Person-to-person transmission is thought to occur among close contacts mainly via respiratory droplets produced when an infected person coughs or sneezes. Fomites may be a large source of transmission, as SARS-CoV has been found to persist on surfaces up to 96h [Kramer A, et al.2016] and other coronaviruses  for  up  to 9 days.Whether or not there is asymptomatic transmission of disease is controversial. Findings about disease characteristics are rapidly changing and subject to selection bias. A study indicated the mean incubation period was 5.2 days (95% conﬁdence interval [95%CI]: 4.1–7.0). The incubation period has been found to be as long as 19 or 24 days , although case deﬁnitions typically rely on a 14 day window (G.S 2020).</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basic reproductive number (R0) has been estimated with varying results and interpretations. R0 measures the average num- ber of infections that could result from one infected individual in a fully susceptible population. Studies from previous outbreaks found R0 to be 2.7 for SARS and 2.4 for 2009 pandemic H1N1 inﬂuenza. One study estimated that that basic reproductive number (R0) was 2.2 (95% CI: 1.4–3.9). However, later in a fur- ther analysis of 12 available studies found that R0 was 3.28. Because R0 represents an average value it is also important to consider the role of super spreaders, who may be hugely responsible for outbreaks within large clusters but who would not largely inﬂuence the value of R0. During the acute phase of an outbreak or prepandemic, R0 may be unstable .</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In pregnancy, a study of nine pregnancy women who developed COVID-19 in late pregnancy suggested COVID-19 did not lead to substantially worse symptoms than in nonpregnant persons and there is no evidence for intrauterine infection caused by vertical transmission [Chen HEA 2020].</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In hospital setting, a study involving 138 COVID-19 suggested that hospital-associated transmission of SARS-CoV-2 occurred in 41% of patients [Wang. D 2020 ]. </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2.1.2 Risk factors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incidence of SARS-CoV-2 infection is seen most often in adult male patients with the median age of the patients was between 34 and 59 years. SARS-CoV-2 is also more likely to infect people with chronic comorbidities such as cardio- vascular and cerebrovascular diseases and diabetes. The highest proportion of severe cases occurs in adults 60 years of age, and in those with certain underlying conditions, such as cardiovascular and cerebrovascular diseases and diabetes. Severe manifestations maybe also associated with co-infections of bacteria and fungi [Chen N. et’al 2020].</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Fewer COVID-19 cases have been reported in children less than 15 years [20,30,7,32]. In a study of 425 COVID-19 patients in Wuhan, published on January 29, there were no cases in children under 15 years of age. Nevertheless, 28 pediatric patients have been reported by January 2020. The clinical features of infected pediatric patients vary, but most have had mild symptoms with no fever or pneumonia, and have a good prognosis. Another study found that although a child had radiological ground-glass lung opacities, the patient was asymptomatic. In summary, children might be less likely to be infected or, if infected, present milder manifestations than adults; therefore, it is possible that their parents will not seek out treatment leading to underestimates of COVID-19 incidence in this age group.</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2.1.3 Pathogenesis and immune response</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Like most other members of the coronavirus family, Beta- coronavirus exhibit high species speciﬁcity, but subtle genetic changes can signiﬁcantly alter their tissue tropism, host range, and pathogenicity. A striking example of the adaptability of these viruses is the emergence of deadly zoonotic diseases in human history caused by SARS-CoV and MERS-CoV. In both viruses, bats served as the natural reservoir and humans were the terminal host, with the palm civet and dromedary camel the intermediary host for SARS-CoV and MERS-CoV, respectively. Intermediate hosts clearly play a critical role in cross species transmission as they can facilitate increased contact between a virus and a new host and enable further adaptation necessary for an effective replication in the new host. Because of the pandemic potential of SARS- CoV-2, careful surveillance is immensely important to monitor its future host adaptation, viral evolution, infectivity, transmissibility, and pathogenicity.</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host range of a virus is governed by multiple molecular interactions, including receptor interaction. The envelope spike (S) protein receptor binding domain of SARS-CoV-2 was shown struc- turally similar to that of SARS-CoV, despite amino acid variation at some key residues . Further extensive structural analysis strongly suggests that SARS-CoV-2 may use host receptor angiotensin-converting enzyme 2 (ACE2) to enter the cells, the same receptor facilitating SARS-CoV to infect the airway epithelium and alveolar type 2 (AT2) pneumocytes, pulmonary cells that synthesize pulmonary surfactant. In general, the spike protein of coronavirus is divided into the S1 and S2 domain, in which S1 is responsible for receptor binding and S2 domain is responsible for cell membrane fusion. The S1 domain of SARS-CoV and SARS- CoV-2 share around 50 conserved amino acids, whereas most of the bat-derived viruses showed more variation. In addition, identiﬁcation of several key residues (Gln493 and Asn501) that govern the binding of SARS-CoV-2 receptor binding domain with ACE2 further support that SARS-CoV-2 has acquired capacity for person- to-person transmission. Although, the spike protein sequence of receptor binding SARS-CoV-2 is more similar to that of SARS- CoV, at the whole genome level SARS-CoV-2 is more closely related to bat-SL-CoVZC45 and bat-SL-CoVZXC21.</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However, receptor recognition is not the only determinant of species speciﬁcity. Immediately after binding to their receptive receptor, SARS-CoV-2 enters host cells where they encounter the innate immune response. In order to productively infect the new host, SARS-CoV-2 must be able to inhibit or evade host innate immune signalling. However, it is largely unknown how SARS- CoV-2 manages to evade immune response and drive pathogenesis. Given that COVID-19 and SARS have similar clinical features, SARS-CoV-2 may have a similar pathogenesis mechanism as SARS- CoV. In response to SARS-CoV infections, the type I interferon (IFN) system induces the expression of IFN-stimulated genes (ISGs) to inhibit viral replication. To overcome this antiviral activity, SARS- CoV encodes at least 8 viral antagonists that modulate induction of IFN and cytokines and evade ISG effector function .</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host immune system response to viral infection by mediating inﬂammation and cellular antiviral activity is critical to inhibit viral replication and dissemination. However, excessive immune responses together with lytic effects of the virus on host cells will result in pathogenesis. Studies have shown patients suffering from severe pneumonia, with fever and dry cough as common symptoms at onset of illness . Some patients progressed rapidly with Acute Respiratory Stress Syndrome (ARDS) and septic shock, which was eventually followed by multiple organ failure and about 10% of patients have died. ARDS progression and extensive lung dam- age in COVID-19 are further indications that ACE2 might be a route of entry for the SARS-CoV-2 as ACE2 is known abundantly present on cilia ted cells of the airway epithelium and alveolar type II (cells (pulmonary cells that synthesize pulmonary surfactant) in humans.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Patients with SARS and COVID-19 have similar patterns of inﬂammatory damage. In serum from patients diagnosed with SARS, there is increased levels of pro-inﬂammatory cytokines (e.g. interleukin (IL)-1, IL6, IL12, interferon gamma (IFNγ), IFN- γ-induced protein 10 (IP10), macrophage inﬂamatory proteins 1A (MIP1A) and monocyte chemo-attractant protein-1 (MCP1)), which are associated with pulmonary inﬂamation and severe lung damage [45]. Likewise, patients infected with SARS-CoV-2 are reported to have higher plasma levels of pro-inﬂamatory cytokines including IL1β, IL-2, IL7, TNF-α, GSCF, MCP1 than healthy adults [Huang C, et al.2020]. Importantly, patients in the intensive care unit (ICU) have a signiﬁcantly higher level of GSCF, IP10, MCP1, and TNF- α than those non-ICU patients, suggesting that a cytokine storm might be an underlying cause of disease severity [Huang C, et al.2020]. Unexpectedly, anti-inﬂamatory cytokines such as IL10 and IL4 were also increased in those patients [Huang C, et al.2020], which was uncommon phenomenon for an acute phase viral infection. Another interesting ﬁnding, as explained before, was that SARS-CoV-2 has shown to preferentially infect older adult males with rare cases reported in children [Huang C, et al.2020]. The same trend was observed in primate models of SARS-CoV where the virus was found more likely to infect aged Cynomolgus macaque than young adults . Further studies are necessary to identify the virulence factors and the host genes of SARS-CoV-2 that allows the virus to cross the species speciﬁc barrier and cause lethal disease in humans.</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2.1.4 Clinical manifestations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Clinical manifestations of 2019-nCoV infection have similarities with SARS-CoV where the most common symptoms include fever, dry cough, dyspnoea, chest pain, fatigue and myalgia [Huang C, et al.2020]. Less common symptoms include headache, dizziness, abdominal pain, diarrhoea, nausea, and vomiting [Huang C, et al.2020]. Based on the report of the ﬁrst 425 conﬁrmed cases in Wuhan, the common symptoms include fever, dry cough, myalgia and fatigue with less common are sputum production, headache, haemoptysis, abdominal pain, and diarrhoea. Approximately 75% patients had bilateral pneu- monia. Different from SARS-CoV and MERS-CoV infections, however, is that very few COVID-19 patients show prominent upper respiratory tract signs and symptoms such as rhinorrhoea, sneezing, or sore throat, suggesting that the virus might have greater preference for infecting the lower respiratory tract [Huang C, et al.2020]. Pregnant and non-pregnant women have similar characteristics. The common clinical presentation of 2019-nCoV infection are presented in Table 1.</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Severe complications such as hypoxaemia, acute ARDS, arry- thmia, shock, acute cardiac injury, and acute kidney injury have been reported among COVID-19 patients [Huang C, et al.2020]. A study among 99 patients found that approximately 17% patients developed ARDS and, among them, 11% died of multiple organ failure. The median duration from ﬁrst symptoms to ARDS was 8 days .</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2.1.5 Diagnosis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Efforts to control spread of COVID-19, institute quarantine and isolation measures, and appropriately clinically manage patients all require useful screening and diagnostic tools. While SARS-CoV- 2 is spreading, other respiratory infections may be more common in a local community. The WHO has released a guideline on case surveillance of COVID-19 on January 31, 2020. For a person who meets certain criteria, WHO recommends to ﬁrst screen for more common causes of respiratory illness given the season and location. If a negative result is found, the sample should be sent to referral laboratory for SARS-CoV-2 detection.</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Case deﬁnitions can vary by country and will evolve over time as the epidemiological circumstances change in a given location. In China, a conﬁrmed case from January 15, 2020 required an epidemiological linkage to Wuhan within 2 weeks and clinical features such as fever, pneumonia, and low white blood cell count. On January 18, 2020 the epidemiological criterion was expanded to include con- tact with anyone who had been in Wuhan in the past 2 weeks [50]. Later, the case deﬁnitions removed the epidemiological linkage.</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WHO has put forward case deﬁnitions [23]. Suspected cases of COVID-19 are persons (a) with severe acute respiratory infections (history of fever and cough requiring admission to hospital) and with no other aetiology that fully explains the clinical presentation and a history of travel to or residence in China during the 14 days prior to symptom onset; or (b) a patient with any acute respiratory illness and at least one of the following during the 14 days prior to symptom onset: contact with a conﬁrmed or probable case of SARS-CoV-2 infection or worked in or attended a health care facility where patients with conﬁrmed or probable SARS-CoV-2 acute respiratory disease patients were being treated. Probable cases are those for whom testing for SARS-CoV-2 is inconclusive or who test positive using a pan-coronavirus assay and without laboratory evidence of other respiratory pathogens. A conﬁrmed case is one with a laboratory conﬁrmation of SARS-CoV-2 infection, irrespective of clinical signs and symptoms.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For patients who meet diagnostic criteria for SARS-CoV-2 testing, the CDC recommends collection of specimens from the upper respiratory tract (nasopharyngeal and oropharyngeal swab) and, if possible, the lower respiratory tract (sputum, tracheal aspirate, or bronchoalveolar lavage). In each country, the tests are per- formed by laboratories designated by the government.</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2.1.8 Treatments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Similar to MERS-CoV and SARS-CoV, there is still no speciﬁc antiviral treatment for COVID-19. Isolation and supportive care including oxygen therapy, ﬂuid management, and antibiotics treatment for secondary bacterial infections is recommended. Some COVID-19 patients progressed rapidly to ARDS and septic shock, which was eventually followed by multiple organ failure [Huang C, et al.2020]. Therefore, the effort on initial management of COVID-19 must be addressed to the early recognition of the suspect and contain the disease spread by immediate isolation and infection control measures .</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Currently, no vaccination is available, but even if one was avail- able, uptake might be suboptimal. A study of intention to vaccinate during the H1N1 pandemic in the United States was around 50% at the start of the pandemic in May 2009 but had decreased to 16% by January 2010.</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Neither is a treatment available. Therefore, the management of the disease has been mostly supportive referring to the disease severity which has been introduced by WHO. If sepsis is identi- ﬁed, empiric antibiotic should be administered based on clinical diagnosis and local epidemiology and susceptibility information. Routine glucocorticoids administration are not recommended to use unless there are another indication. Clinical evidence also does not support corticosteroid treatment. Use of intravenous immunoglobulin might help for severely ill patients .</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Drugs are being evaluated in line with past investigations into therapeutic treatments for SARS and MERS. Overall, there is not robust evidence that these antivirals can signiﬁcantly improve clinical outcomes A. Antiviral drugs such as oseltamivir combined with empirical antibiotic treatment have also been used to treat COVID- 19 patients [Huang C, et al.2020]. Remdesivir which was developed for Ebola virus, has been used to treat imported COVID-19 cases in US [Holshue ML, 2020]. A brief report of treatment combination of Lopinavir/Ritonavir, Arbidol, and Shufeng Jiedu Capsule (SFJDC), a traditional Chinese medicine, showed a clinical beneﬁt to three of four COVID-19 patients [Holshue ML, 2020]. There is an ongoing clinical trial evaluating the safety and efﬁcacy of lopinavir-ritonavir and interferon-α 2b in patients with COVID- 19 [Huang C, et al.2020]. Ramsedivir, a broad spectrum antivirus has demonstrated in vitro and in vivo efﬁcacy against SARS-CoV-2 and has also initiated its clinical trial. In addition, other potential drugs from existing antiviral agent have also been proposed.</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2.1.9 Control and prevention strategies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COVID-19 is clearly a serious disease of international concern. By some estimates it has a higher reproductive number than SARS, and more people have been reported to have been infected or died from it than SARS. Similar to SARS-CoV and MERS-CoV, disrupting the chain of transmission is considered key to stopping the spread of disease. Different strategies should be implemented in health care settings and at the local and global levels.</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To prevent further spread of the virus, civil societies, and government agencies-initiated awareness programs for promotions of several preventive measures. Body temperature screening was conducted at airports and those returning from countries with a high number of confirmed cases of COVID-19 were advised to self-isolate. The Nigeria Center for Disease Control in collaboration with State governments also initiated tracing and tracking of victims and their contacts. On 18th March 2020, the Nigerian government prohibited all gatherings of fifty people or above for four weeks and ordered a stay-at-home (Ewodage, 2020). Similarly, the Nigerian government, on 30th March 2020 introduced various containment plan such as the closing of the national borders and airspace, schools, worship centers, and other public places, canceling of public gathering events, the complete lockdown of the Federal Capital Territory, Lagos and Ogun states for fourteen days initially (Radio Nigeria, 2020).Body temperature screening was conducted at airports and those returning from countries with a high number of confirmed cases of COVID-19 were advised to self-isolate.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Some stipulated COVID 19 preventive measures are listed as follows: </w:t>
      </w:r>
    </w:p>
    <w:p>
      <w:pPr>
        <w:numPr>
          <w:ilvl w:val="0"/>
          <w:numId w:val="3"/>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Social distance </w:t>
      </w:r>
    </w:p>
    <w:p>
      <w:pPr>
        <w:numPr>
          <w:ilvl w:val="0"/>
          <w:numId w:val="3"/>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Self-isolation </w:t>
      </w:r>
    </w:p>
    <w:p>
      <w:pPr>
        <w:numPr>
          <w:ilvl w:val="0"/>
          <w:numId w:val="3"/>
        </w:num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Washing of hands with detergent or use of alcohol</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based sanitizers 4. Putting on a face mask in public places</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2.2 Covid-19 Safety Compliance in Tertiary Institutions </w:t>
      </w:r>
    </w:p>
    <w:p>
      <w:pPr>
        <w:spacing w:line="480" w:lineRule="auto"/>
        <w:jc w:val="both"/>
        <w:rPr>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Compliance with</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COVID-19 preventive measure is a double edge sword cutting through the fabric of the everyday life of the Nigerian citizen and the university environment to be precise. It has both negative and positive implications on the cumulative health of the university society. Ranging from mental health</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related issues, physiological effects to effects on our ecosystem.To prevent further spread of the virus, civil societies, and government agencies-initiated awareness programs for promotions of several preventive measures.</w:t>
      </w: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Colleges a</w:t>
      </w:r>
      <w:r>
        <w:rPr>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t xml:space="preserve">n institution made ensured that they stick to the preventive measures at stipulated by NCDC which they have strategically ensure that student comply and strictly adhere to. </w:t>
      </w:r>
      <w:r>
        <w:rPr>
          <w:rFonts w:hint="default" w:ascii="Times New Roman" w:hAnsi="Times New Roman" w:eastAsia="Arial"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t>hese include the following:</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Social distancing otherwise known as physical distancing works if the objective is to prevent the spread of the virus causing the coronavirus disease. Social distancing, also known as “physical distancing,” entails keeping space of at least 6 feet between yourself and other people outside of your home.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principles of social distancing or physical distancing are; </w:t>
      </w:r>
    </w:p>
    <w:p>
      <w:pPr>
        <w:numPr>
          <w:ilvl w:val="0"/>
          <w:numId w:val="4"/>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Keep at least 6 feet (about 2 arms’ length) from other people. </w:t>
      </w:r>
    </w:p>
    <w:p>
      <w:pPr>
        <w:numPr>
          <w:ilvl w:val="0"/>
          <w:numId w:val="4"/>
        </w:numPr>
        <w:spacing w:line="480" w:lineRule="auto"/>
        <w:ind w:left="0" w:leftChars="0" w:firstLine="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stay away from crowded events or places and avoid mass gatherings.</w:t>
      </w:r>
    </w:p>
    <w:p>
      <w:pPr>
        <w:numPr>
          <w:ilvl w:val="0"/>
          <w:numId w:val="0"/>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Among all COVID-19 preventive measures, maintaining social distancing among ourselves is among the best tools we have to avoid being exposed to this virus and curbing the spread of the virus in our community. (CDC, 2020).</w:t>
      </w:r>
      <w:r>
        <w:rPr>
          <w:rFonts w:hint="default" w:ascii="Times New Roman" w:hAnsi="Times New Roman" w:eastAsia="SimSun" w:cs="Times New Roman"/>
          <w:color w:val="000000" w:themeColor="text1"/>
          <w:sz w:val="28"/>
          <w:szCs w:val="28"/>
          <w:lang w:val="en-US"/>
          <w14:textFill>
            <w14:solidFill>
              <w14:schemeClr w14:val="tx1"/>
            </w14:solidFill>
          </w14:textFill>
        </w:rPr>
        <w:t>These safety guidlines was complied to by universities by ensuring they reduce class size and adjusting to seating position during lectures.</w:t>
      </w:r>
    </w:p>
    <w:p>
      <w:pPr>
        <w:numPr>
          <w:ilvl w:val="0"/>
          <w:numId w:val="0"/>
        </w:numPr>
        <w:spacing w:line="480" w:lineRule="auto"/>
        <w:ind w:left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Washing of Hands with Detergents or Sanitizing Hands Using Alcohol-Based Hand Sanitizers:</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numPr>
          <w:ilvl w:val="0"/>
          <w:numId w:val="0"/>
        </w:numPr>
        <w:spacing w:line="480" w:lineRule="auto"/>
        <w:ind w:left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Another covid-19 safety guidelines that has been adhered to strictly  by tertiary institutions after resumption was the hand washing culture. In university of ilorin, handwashing outlets was fixed at the entrance of the school gate and each lecture hall(Adeogun 2021) </w:t>
      </w:r>
      <w:r>
        <w:rPr>
          <w:rFonts w:hint="default" w:ascii="Times New Roman" w:hAnsi="Times New Roman" w:eastAsia="SimSun" w:cs="Times New Roman"/>
          <w:color w:val="000000" w:themeColor="text1"/>
          <w:sz w:val="28"/>
          <w:szCs w:val="28"/>
          <w14:textFill>
            <w14:solidFill>
              <w14:schemeClr w14:val="tx1"/>
            </w14:solidFill>
          </w14:textFill>
        </w:rPr>
        <w:t>With many viruses, including corona</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virus, the virus is a self</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assembled nano</w:t>
      </w:r>
      <w:r>
        <w:rPr>
          <w:rFonts w:hint="default" w:ascii="Times New Roman" w:hAnsi="Times New Roman" w:eastAsia="SimSun" w:cs="Times New Roman"/>
          <w:color w:val="000000" w:themeColor="text1"/>
          <w:sz w:val="28"/>
          <w:szCs w:val="28"/>
          <w:lang w:val="en-US"/>
          <w14:textFill>
            <w14:solidFill>
              <w14:schemeClr w14:val="tx1"/>
            </w14:solidFill>
          </w14:textFill>
        </w:rPr>
        <w:t>-</w:t>
      </w:r>
      <w:r>
        <w:rPr>
          <w:rFonts w:hint="default" w:ascii="Times New Roman" w:hAnsi="Times New Roman" w:eastAsia="SimSun" w:cs="Times New Roman"/>
          <w:color w:val="000000" w:themeColor="text1"/>
          <w:sz w:val="28"/>
          <w:szCs w:val="28"/>
          <w14:textFill>
            <w14:solidFill>
              <w14:schemeClr w14:val="tx1"/>
            </w14:solidFill>
          </w14:textFill>
        </w:rPr>
        <w:t>particle in which the most vulnerable structure is the outer lipid bilayer. Detergents dissolve the lipid membrane of microorganisms; virus inclusive. The virus's outer layer breaks apart thus inactivating it. Detergents are also alkaline substances that dissolve particles like dirt, bacteria, and viruses. These dissolved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articles are washed off from the surface of the skin when the detergent is rinsed off while washing our hands., The alkalinity of the detergent (pH approximately 9-10), compared with the normal alkalinity of outer skin witha pH of 5.5 or lower, also can affect the skin barrier as well as the resident skin micro flora. In a study, it was found that an acid skin pH (4-4.5) keeps the resident bacterial flora attached to the skin, whereas an alkaline pH (8-9) promotes the dispersal from the skin in assessments of the volar forearm. (Lambers, Piessens, Bloem, Pronk, &amp; Finkel, 2006). Considering the effectiveness of hand washing against the COVID-19 pandemic, the frequency of hand washing has been shown to have a limiting impact on influenza-like illness. A study of 2,082 observations, participants who spent only 5-10 seconds washing their hands with soap were more likely to contract influenza-like illness (odds ratio, 1.37; 95% confidence interval, 1.08-1.75), compared to participants who washed their hands for 15 seconds or more. Hand washing with detergents was found to be an independent protective factor against frequent influenza-like illnesses like coronavirus disease (Abdulrahman, et al., 2019). Alcohol</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throughout history has been used as a disinfectant, it is recommended for disinfecting the hands since the late 1800s. Some alcohol-based hand sanitizers contain isopropanol, ethanol, N-propanol, or a combination of both. The antimicrobial ability of alcohol can be attributed to its ability to breakdown and coagulate proteins, thus lysing microorganism’s cell membranes and terminating their cellular metabolism (Toney-Butler &amp; Carver, 2020) (McDonnell &amp; Russell, 1999). Alcohol solutions within the range of about 60% to 95% alcohol prove to be more effective against the viruses. Notably, alcohol with concentrations lower than 60 percent and higher than 90 percent appear to be less potent because of the presence of less water in the later, and proteins are not broken down easily in the absence of water (Wesley &amp; Talakoub, 2020).</w:t>
      </w:r>
    </w:p>
    <w:p>
      <w:pPr>
        <w:numPr>
          <w:ilvl w:val="0"/>
          <w:numId w:val="0"/>
        </w:numPr>
        <w:spacing w:line="480" w:lineRule="auto"/>
        <w:ind w:left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Putting on Face Mask in Public Places</w:t>
      </w: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 and within the school environment</w:t>
      </w:r>
      <w:r>
        <w:rPr>
          <w:rFonts w:hint="default" w:ascii="Times New Roman" w:hAnsi="Times New Roman" w:eastAsia="SimSun" w:cs="Times New Roman"/>
          <w:b/>
          <w:bCs/>
          <w:color w:val="000000" w:themeColor="text1"/>
          <w:sz w:val="28"/>
          <w:szCs w:val="28"/>
          <w14:textFill>
            <w14:solidFill>
              <w14:schemeClr w14:val="tx1"/>
            </w14:solidFill>
          </w14:textFill>
        </w:rPr>
        <w:t>:</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numPr>
          <w:ilvl w:val="0"/>
          <w:numId w:val="0"/>
        </w:numPr>
        <w:spacing w:line="480" w:lineRule="auto"/>
        <w:ind w:left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Putting on face mask is another safety guideline adhered to by Nigerai institution. This is practically prevalent seen when security personnels are mounted at the entrance of the school gate and lecture halls; ensuring that no student enters the school environment without putting on a face mask (Arit 2021). </w:t>
      </w:r>
      <w:r>
        <w:rPr>
          <w:rFonts w:hint="default" w:ascii="Times New Roman" w:hAnsi="Times New Roman" w:eastAsia="SimSun" w:cs="Times New Roman"/>
          <w:color w:val="000000" w:themeColor="text1"/>
          <w:sz w:val="28"/>
          <w:szCs w:val="28"/>
          <w14:textFill>
            <w14:solidFill>
              <w14:schemeClr w14:val="tx1"/>
            </w14:solidFill>
          </w14:textFill>
        </w:rPr>
        <w:t>The report from a multidisciplinary group convened by the Royal Society called Delve (Data Evaluation and Learning for Viral Epidemics) has considered the evidence and concluded in favor of public use of face masks, including homemade cloth coverings to tackle Covid-19. Analysis suggests that this could reduce onward transmission by persons who have the disease but are not showing any symptoms or pre</w:t>
      </w:r>
      <w:r>
        <w:rPr>
          <w:rFonts w:hint="default" w:ascii="Times New Roman" w:hAnsi="Times New Roman" w:eastAsia="SimSun" w:cs="Times New Roman"/>
          <w:color w:val="000000" w:themeColor="text1"/>
          <w:sz w:val="28"/>
          <w:szCs w:val="28"/>
          <w:lang w:val="en-US"/>
          <w14:textFill>
            <w14:solidFill>
              <w14:schemeClr w14:val="tx1"/>
            </w14:solidFill>
          </w14:textFill>
        </w:rPr>
        <w:t>-</w:t>
      </w:r>
      <w:r>
        <w:rPr>
          <w:rFonts w:hint="default" w:ascii="Times New Roman" w:hAnsi="Times New Roman" w:eastAsia="SimSun" w:cs="Times New Roman"/>
          <w:color w:val="000000" w:themeColor="text1"/>
          <w:sz w:val="28"/>
          <w:szCs w:val="28"/>
          <w14:textFill>
            <w14:solidFill>
              <w14:schemeClr w14:val="tx1"/>
            </w14:solidFill>
          </w14:textFill>
        </w:rPr>
        <w:t>symptomatic persons. if widely used in situations where physical distancing is not possible or predictable, it is worth noting that</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the use of face masks, including homemade cloth masks, can to a great extent contribute to reduction of the viral transmission (Davis, 2020).</w:t>
      </w:r>
    </w:p>
    <w:p>
      <w:pPr>
        <w:numPr>
          <w:ilvl w:val="0"/>
          <w:numId w:val="0"/>
        </w:numPr>
        <w:spacing w:line="480" w:lineRule="auto"/>
        <w:ind w:leftChars="0"/>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2.3 MODEL FRAMEWORK</w:t>
      </w:r>
    </w:p>
    <w:p>
      <w:pPr>
        <w:numPr>
          <w:ilvl w:val="0"/>
          <w:numId w:val="0"/>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The model used for this study is the Health Belief Model.</w:t>
      </w:r>
    </w:p>
    <w:p>
      <w:pPr>
        <w:spacing w:line="480" w:lineRule="auto"/>
        <w:jc w:val="both"/>
        <w:rPr>
          <w:rFonts w:hint="default" w:ascii="Times New Roman" w:hAnsi="Times New Roman" w:cs="Times New Roman"/>
          <w:sz w:val="28"/>
          <w:szCs w:val="28"/>
        </w:rPr>
      </w:pPr>
      <w:r>
        <w:rPr>
          <w:rFonts w:hint="default" w:ascii="Times New Roman" w:hAnsi="Times New Roman" w:eastAsia="SimSun" w:cs="Times New Roman"/>
          <w:sz w:val="28"/>
          <w:szCs w:val="28"/>
        </w:rPr>
        <w:t>The Health Belief Model (HBM) was developed to help understand why people did or did not use preventive services offered by public health departments in the 1950’s, and has evolved to address newer concerns in prevention and detection (e.g., mammography screening, influenza vaccines) as well as lifestyle behaviors such as sexual risk behaviors and injury prevention. The HBM theorizes that people’s beliefs about whether or not they are at risk for a disease or health problem, and their perceptions of the benefits of taking action to avoid it, influence their readiness to take action. Core constructs of the HBM: • Perceived susceptibility and perceived severity • Perceived benefits and perceived barriers • Cues to action • Self-efficacy (added more recently) The HBM has been most-often applied for health concerns that are prevention-related and asymptomatic, such as early cancer detection and hypertension screening – where beliefs are as important or more important than overt symptoms. The HBM is also clearly relevant to interventions to reduce risk factors for cardiovascular disease.</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114300" distR="114300">
            <wp:extent cx="4714875" cy="3781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4714875" cy="3781425"/>
                    </a:xfrm>
                    <a:prstGeom prst="rect">
                      <a:avLst/>
                    </a:prstGeom>
                    <a:noFill/>
                    <a:ln>
                      <a:noFill/>
                    </a:ln>
                  </pic:spPr>
                </pic:pic>
              </a:graphicData>
            </a:graphic>
          </wp:inline>
        </w:drawing>
      </w:r>
    </w:p>
    <w:p>
      <w:pPr>
        <w:spacing w:line="480" w:lineRule="auto"/>
        <w:jc w:val="both"/>
        <w:rPr>
          <w:rFonts w:hint="default" w:ascii="Times New Roman" w:hAnsi="Times New Roman" w:cs="Times New Roman"/>
          <w:sz w:val="28"/>
          <w:szCs w:val="28"/>
        </w:rPr>
      </w:pPr>
      <w:r>
        <w:rPr>
          <w:rFonts w:hint="default" w:ascii="Times New Roman" w:hAnsi="Times New Roman" w:eastAsia="SimSun" w:cs="Times New Roman"/>
          <w:sz w:val="28"/>
          <w:szCs w:val="28"/>
        </w:rPr>
        <w:t>Source: Becker, M. H. &amp; Maiman, L. A., (1975). Socio</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behavioral determinants of compliance with health and medical care recommendations. Medical Care, 134(1), 10-24.</w:t>
      </w:r>
    </w:p>
    <w:p>
      <w:pPr>
        <w:numPr>
          <w:ilvl w:val="0"/>
          <w:numId w:val="0"/>
        </w:numPr>
        <w:spacing w:line="480" w:lineRule="auto"/>
        <w:ind w:leftChars="0"/>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2.4 Summary of Literature</w:t>
      </w:r>
    </w:p>
    <w:p>
      <w:pPr>
        <w:numPr>
          <w:ilvl w:val="0"/>
          <w:numId w:val="0"/>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The novel Corona Virus has been described by WHO as an infectious disease. The above reviewed literature explained its classification origin, clinical manifestations,symptoms and preventive strategies.</w:t>
      </w:r>
      <w:r>
        <w:rPr>
          <w:rFonts w:hint="default" w:ascii="Times New Roman" w:hAnsi="Times New Roman" w:eastAsia="SimSun" w:cs="Times New Roman"/>
          <w:color w:val="000000" w:themeColor="text1"/>
          <w:sz w:val="28"/>
          <w:szCs w:val="28"/>
          <w14:textFill>
            <w14:solidFill>
              <w14:schemeClr w14:val="tx1"/>
            </w14:solidFill>
          </w14:textFill>
        </w:rPr>
        <w:t>To prevent further spread of the virus, civil societies, and government agencies-initiated awareness programs for promotions of several preventive measures.</w:t>
      </w:r>
      <w:r>
        <w:rPr>
          <w:rFonts w:hint="default" w:ascii="Times New Roman" w:hAnsi="Times New Roman" w:eastAsia="SimSun" w:cs="Times New Roman"/>
          <w:color w:val="000000" w:themeColor="text1"/>
          <w:sz w:val="28"/>
          <w:szCs w:val="28"/>
          <w:lang w:val="en-US"/>
          <w14:textFill>
            <w14:solidFill>
              <w14:schemeClr w14:val="tx1"/>
            </w14:solidFill>
          </w14:textFill>
        </w:rPr>
        <w:t>However these guidelines is necessary to be practised across all sectors of Nigeria. Which one of it was Tertiary institutions. However the study revealed that universities have done their best to a large extent by both staffs and student in their compliance level to curb the spread of the the novel Corona-Virus.</w:t>
      </w:r>
    </w:p>
    <w:p>
      <w:pPr>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br w:type="page"/>
      </w:r>
    </w:p>
    <w:p>
      <w:pPr>
        <w:numPr>
          <w:ilvl w:val="0"/>
          <w:numId w:val="0"/>
        </w:numPr>
        <w:spacing w:line="480" w:lineRule="auto"/>
        <w:ind w:leftChars="0"/>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spacing w:before="120" w:after="12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shd w:val="clear" w:color="auto" w:fill="FFFFFF"/>
        <w:spacing w:before="120" w:after="120"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3.1</w:t>
      </w:r>
      <w:r>
        <w:rPr>
          <w:rFonts w:hint="default" w:ascii="Times New Roman" w:hAnsi="Times New Roman" w:eastAsia="Times New Roman" w:cs="Times New Roman"/>
          <w:b/>
          <w:bCs/>
          <w:color w:val="000000" w:themeColor="text1"/>
          <w:sz w:val="28"/>
          <w:szCs w:val="28"/>
          <w14:textFill>
            <w14:solidFill>
              <w14:schemeClr w14:val="tx1"/>
            </w14:solidFill>
          </w14:textFill>
        </w:rPr>
        <w:tab/>
      </w:r>
      <w:r>
        <w:rPr>
          <w:rFonts w:hint="default" w:ascii="Times New Roman" w:hAnsi="Times New Roman" w:eastAsia="Times New Roman" w:cs="Times New Roman"/>
          <w:b/>
          <w:bCs/>
          <w:color w:val="000000" w:themeColor="text1"/>
          <w:sz w:val="28"/>
          <w:szCs w:val="28"/>
          <w14:textFill>
            <w14:solidFill>
              <w14:schemeClr w14:val="tx1"/>
            </w14:solidFill>
          </w14:textFill>
        </w:rPr>
        <w:t>AREA OF STUDY</w:t>
      </w:r>
    </w:p>
    <w:p>
      <w:pPr>
        <w:pStyle w:val="7"/>
        <w:keepNext w:val="0"/>
        <w:keepLines w:val="0"/>
        <w:widowControl/>
        <w:suppressLineNumbers w:val="0"/>
        <w:shd w:val="clear" w:fill="FFFFFF"/>
        <w:spacing w:before="105" w:beforeAutospacing="0" w:after="105"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University of Ilorin, also known as Unilorin, is a federal government-owned university in Ilorin, Kwara State, Nigeria</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imSun" w:cs="Times New Roman"/>
          <w:i w:val="0"/>
          <w:iCs w:val="0"/>
          <w:caps w:val="0"/>
          <w:color w:val="000000" w:themeColor="text1"/>
          <w:spacing w:val="0"/>
          <w:sz w:val="28"/>
          <w:szCs w:val="28"/>
          <w14:textFill>
            <w14:solidFill>
              <w14:schemeClr w14:val="tx1"/>
            </w14:solidFill>
          </w14:textFill>
        </w:rPr>
        <w:t>University of Ilorin, is located in Ilorin, the capital city of Kwara State on latitude 8.4799° N and longitude 4.5418° E, covering an approximate land mass of 5,000 hectare. University of Ilorin is located at about 500km apart from Nigeria national capital (Abuja) and about 300km away from the Nation’s economic capital (Lagos</w:t>
      </w:r>
      <w:r>
        <w:rPr>
          <w:rFonts w:hint="default" w:ascii="Times New Roman" w:hAnsi="Times New Roman" w:eastAsia="SimSun" w:cs="Times New Roman"/>
          <w:i w:val="0"/>
          <w:iCs w:val="0"/>
          <w:caps w:val="0"/>
          <w:color w:val="000000" w:themeColor="text1"/>
          <w:spacing w:val="0"/>
          <w:sz w:val="28"/>
          <w:szCs w:val="28"/>
          <w:lang w:val="en-US"/>
          <w14:textFill>
            <w14:solidFill>
              <w14:schemeClr w14:val="tx1"/>
            </w14:solidFill>
          </w14:textFill>
        </w:rPr>
        <w:t xml:space="preserve">). </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The University  possess a staff strength of about 4,474, with over 48,000 undergraduate and over 5,000 postgraduate </w:t>
      </w:r>
      <w:r>
        <w:rPr>
          <w:rStyle w:val="5"/>
          <w:rFonts w:hint="default" w:ascii="Times New Roman" w:hAnsi="Times New Roman" w:eastAsia="SimSun" w:cs="Times New Roman"/>
          <w:b/>
          <w:bCs/>
          <w:i w:val="0"/>
          <w:iCs w:val="0"/>
          <w:caps w:val="0"/>
          <w:color w:val="000000" w:themeColor="text1"/>
          <w:spacing w:val="0"/>
          <w:sz w:val="28"/>
          <w:szCs w:val="28"/>
          <w:shd w:val="clear" w:fill="FFFFFF"/>
          <w14:textFill>
            <w14:solidFill>
              <w14:schemeClr w14:val="tx1"/>
            </w14:solidFill>
          </w14:textFill>
        </w:rPr>
        <w:t>students</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in 90 academic programme</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pStyle w:val="10"/>
        <w:spacing w:before="120" w:after="120" w:line="480" w:lineRule="auto"/>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study was carried out to</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evaluate the Level of Covid-19 Safety Compliance by Tertiary Institutions</w:t>
      </w:r>
      <w:r>
        <w:rPr>
          <w:rFonts w:hint="default" w:ascii="Times New Roman" w:hAnsi="Times New Roman" w:cs="Times New Roman"/>
          <w:color w:val="000000" w:themeColor="text1"/>
          <w:sz w:val="28"/>
          <w:szCs w:val="28"/>
          <w:lang w:val="en-US"/>
          <w14:textFill>
            <w14:solidFill>
              <w14:schemeClr w14:val="tx1"/>
            </w14:solidFill>
          </w14:textFill>
        </w:rPr>
        <w:t xml:space="preserve"> using University of Ilorin in Kwara State as a case study.</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xml:space="preserve">The lecturers and student of the university form the population of the study. </w:t>
      </w:r>
      <w:r>
        <w:rPr>
          <w:rFonts w:hint="default" w:ascii="Times New Roman" w:hAnsi="Times New Roman" w:cs="Times New Roman"/>
          <w:color w:val="000000" w:themeColor="text1"/>
          <w:sz w:val="28"/>
          <w:szCs w:val="28"/>
          <w14:textFill>
            <w14:solidFill>
              <w14:schemeClr w14:val="tx1"/>
            </w14:solidFill>
          </w14:textFill>
        </w:rPr>
        <w:t xml:space="preserve">Four(4) </w:t>
      </w:r>
      <w:r>
        <w:rPr>
          <w:rFonts w:hint="default" w:ascii="Times New Roman" w:hAnsi="Times New Roman" w:cs="Times New Roman"/>
          <w:color w:val="000000" w:themeColor="text1"/>
          <w:sz w:val="28"/>
          <w:szCs w:val="28"/>
          <w:lang w:val="en-US"/>
          <w14:textFill>
            <w14:solidFill>
              <w14:schemeClr w14:val="tx1"/>
            </w14:solidFill>
          </w14:textFill>
        </w:rPr>
        <w:t>selected department was used for the study</w:t>
      </w:r>
      <w:r>
        <w:rPr>
          <w:rFonts w:hint="default" w:ascii="Times New Roman" w:hAnsi="Times New Roman" w:cs="Times New Roman"/>
          <w:color w:val="000000" w:themeColor="text1"/>
          <w:sz w:val="28"/>
          <w:szCs w:val="28"/>
          <w14:textFill>
            <w14:solidFill>
              <w14:schemeClr w14:val="tx1"/>
            </w14:solidFill>
          </w14:textFill>
        </w:rPr>
        <w:t>. The selected departments are</w:t>
      </w:r>
    </w:p>
    <w:p>
      <w:pPr>
        <w:pStyle w:val="10"/>
        <w:numPr>
          <w:ilvl w:val="0"/>
          <w:numId w:val="5"/>
        </w:numPr>
        <w:spacing w:before="120" w:after="120" w:line="480" w:lineRule="auto"/>
        <w:ind w:left="420" w:leftChars="0" w:hanging="420" w:firstLine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Faculty of Social Science</w:t>
      </w:r>
    </w:p>
    <w:p>
      <w:pPr>
        <w:pStyle w:val="10"/>
        <w:numPr>
          <w:ilvl w:val="0"/>
          <w:numId w:val="5"/>
        </w:numPr>
        <w:spacing w:before="120" w:after="120" w:line="480" w:lineRule="auto"/>
        <w:ind w:left="420" w:leftChars="0" w:hanging="420" w:firstLine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Faculty of Education</w:t>
      </w:r>
    </w:p>
    <w:p>
      <w:pPr>
        <w:pStyle w:val="10"/>
        <w:numPr>
          <w:ilvl w:val="0"/>
          <w:numId w:val="5"/>
        </w:numPr>
        <w:spacing w:before="120" w:after="120" w:line="480" w:lineRule="auto"/>
        <w:ind w:left="420" w:leftChars="0" w:hanging="420" w:firstLine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Faculty of Arts</w:t>
      </w:r>
    </w:p>
    <w:p>
      <w:pPr>
        <w:pStyle w:val="10"/>
        <w:numPr>
          <w:ilvl w:val="0"/>
          <w:numId w:val="5"/>
        </w:numPr>
        <w:spacing w:before="120" w:after="120" w:line="480" w:lineRule="auto"/>
        <w:ind w:left="420" w:leftChars="0" w:hanging="420" w:firstLine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Faculty of Clinical Science</w:t>
      </w:r>
    </w:p>
    <w:p>
      <w:pPr>
        <w:pStyle w:val="10"/>
        <w:spacing w:before="120" w:after="120" w:line="480" w:lineRule="auto"/>
        <w:ind w:left="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Statistics from the school the re</w:t>
      </w:r>
      <w:r>
        <w:rPr>
          <w:rFonts w:hint="default" w:ascii="Times New Roman" w:hAnsi="Times New Roman" w:cs="Times New Roman"/>
          <w:color w:val="000000" w:themeColor="text1"/>
          <w:sz w:val="28"/>
          <w:szCs w:val="28"/>
          <w14:textFill>
            <w14:solidFill>
              <w14:schemeClr w14:val="tx1"/>
            </w14:solidFill>
          </w14:textFill>
        </w:rPr>
        <w:t>gister showed that the total population is 52,474.</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 PROCEDURE</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Taro Yamane (1967:886) provides a simplified formula to calculate sample sizes.</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Assumption</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95% confidence level </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P = .5</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drawing>
          <wp:inline distT="0" distB="0" distL="0" distR="0">
            <wp:extent cx="2176145" cy="701040"/>
            <wp:effectExtent l="0" t="0" r="14605" b="381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n=52474/1+52474 (0.05)2</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 52474/1+52474 (0.0025)</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 52474/1+</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31.185</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n=396</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Therefore, for this study, the sample size is 396</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3.6</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SOURCES OF DATA COLLECTION</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research instrument used in this study is the questionnaire. A 10 minutes survey containing 5 questions were administered to the enrolled participants. The questionnaire was divided into two sections, the first section </w:t>
      </w:r>
      <w:r>
        <w:rPr>
          <w:rFonts w:hint="default" w:ascii="Times New Roman" w:hAnsi="Times New Roman" w:cs="Times New Roman"/>
          <w:color w:val="000000" w:themeColor="text1"/>
          <w:sz w:val="28"/>
          <w:szCs w:val="28"/>
          <w:lang w:val="en-US"/>
          <w14:textFill>
            <w14:solidFill>
              <w14:schemeClr w14:val="tx1"/>
            </w14:solidFill>
          </w14:textFill>
        </w:rPr>
        <w:t>inquired</w:t>
      </w:r>
      <w:r>
        <w:rPr>
          <w:rFonts w:hint="default" w:ascii="Times New Roman" w:hAnsi="Times New Roman" w:cs="Times New Roman"/>
          <w:color w:val="000000" w:themeColor="text1"/>
          <w:sz w:val="28"/>
          <w:szCs w:val="28"/>
          <w14:textFill>
            <w14:solidFill>
              <w14:schemeClr w14:val="tx1"/>
            </w14:solidFill>
          </w14:textFill>
        </w:rPr>
        <w:t xml:space="preserve"> about the responses demographic or personal data while the second sections were in line with the study objectives, aimed at providing answers to the research questions.</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responses were analyzed using the frequency tables, which provided answers to the research questions.</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AND RELIABILITY OF THE STUDY</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 </w:t>
      </w:r>
    </w:p>
    <w:p>
      <w:pPr>
        <w:spacing w:before="120" w:after="12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3.9 </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ETHICAL CONSIDERATION</w:t>
      </w:r>
    </w:p>
    <w:p>
      <w:pPr>
        <w:spacing w:before="120" w:after="12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spacing w:after="0" w:line="480" w:lineRule="auto"/>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 FOUR</w:t>
      </w:r>
    </w:p>
    <w:p>
      <w:pPr>
        <w:spacing w:after="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DATA PRESENTATION AND ANALYSIS</w:t>
      </w:r>
    </w:p>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4.0 Introduction</w:t>
      </w:r>
    </w:p>
    <w:p>
      <w:pPr>
        <w:spacing w:after="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This chapter   presents and analyze data collated from the field survey. 396 questionnaires was issued to the respondents in  the four department of the University. However, the total of 340 questionnaires  were retrieved, validated and analyzed for the study as some of the respondent did not return or completely answer the research questions.</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DATA PRESENTATION</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4.1: Demographic data of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Demographic information</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Gender</w:t>
            </w:r>
          </w:p>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Male</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140</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Female</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200</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59</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Religion</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Christian</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120</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35</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Muslim</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220</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75</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Age</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16</w:t>
            </w:r>
            <w:r>
              <w:rPr>
                <w:rFonts w:hint="default" w:ascii="Times New Roman" w:hAnsi="Times New Roman" w:eastAsia="Calibri" w:cs="Times New Roman"/>
                <w:color w:val="000000" w:themeColor="text1"/>
                <w:sz w:val="28"/>
                <w:szCs w:val="28"/>
                <w14:textFill>
                  <w14:solidFill>
                    <w14:schemeClr w14:val="tx1"/>
                  </w14:solidFill>
                </w14:textFill>
              </w:rPr>
              <w:t>-</w:t>
            </w:r>
            <w:r>
              <w:rPr>
                <w:rFonts w:hint="default" w:ascii="Times New Roman" w:hAnsi="Times New Roman" w:eastAsia="Calibri" w:cs="Times New Roman"/>
                <w:color w:val="000000" w:themeColor="text1"/>
                <w:sz w:val="28"/>
                <w:szCs w:val="28"/>
                <w:lang w:val="en-US"/>
                <w14:textFill>
                  <w14:solidFill>
                    <w14:schemeClr w14:val="tx1"/>
                  </w14:solidFill>
                </w14:textFill>
              </w:rPr>
              <w:t>26</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200</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58</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27-37</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80</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24</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38-48</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40</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12</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49+</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20</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6%</w:t>
            </w:r>
          </w:p>
        </w:tc>
      </w:tr>
    </w:tbl>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2021</w:t>
      </w:r>
    </w:p>
    <w:p>
      <w:pPr>
        <w:spacing w:after="0" w:line="480"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From the above table, </w:t>
      </w:r>
      <w:r>
        <w:rPr>
          <w:rFonts w:hint="default" w:ascii="Times New Roman" w:hAnsi="Times New Roman" w:cs="Times New Roman"/>
          <w:bCs/>
          <w:color w:val="000000" w:themeColor="text1"/>
          <w:sz w:val="28"/>
          <w:szCs w:val="28"/>
          <w:lang w:val="en-US"/>
          <w14:textFill>
            <w14:solidFill>
              <w14:schemeClr w14:val="tx1"/>
            </w14:solidFill>
          </w14:textFill>
        </w:rPr>
        <w:t>41% of the respondent</w:t>
      </w:r>
      <w:r>
        <w:rPr>
          <w:rFonts w:hint="default" w:ascii="Times New Roman" w:hAnsi="Times New Roman" w:cs="Times New Roman"/>
          <w:bCs/>
          <w:color w:val="000000" w:themeColor="text1"/>
          <w:sz w:val="28"/>
          <w:szCs w:val="28"/>
          <w14:textFill>
            <w14:solidFill>
              <w14:schemeClr w14:val="tx1"/>
            </w14:solidFill>
          </w14:textFill>
        </w:rPr>
        <w:t xml:space="preserve"> are male, </w:t>
      </w:r>
      <w:r>
        <w:rPr>
          <w:rFonts w:hint="default" w:ascii="Times New Roman" w:hAnsi="Times New Roman" w:cs="Times New Roman"/>
          <w:bCs/>
          <w:color w:val="000000" w:themeColor="text1"/>
          <w:sz w:val="28"/>
          <w:szCs w:val="28"/>
          <w:lang w:val="en-US"/>
          <w14:textFill>
            <w14:solidFill>
              <w14:schemeClr w14:val="tx1"/>
            </w14:solidFill>
          </w14:textFill>
        </w:rPr>
        <w:t xml:space="preserve">59% of the </w:t>
      </w:r>
      <w:r>
        <w:rPr>
          <w:rFonts w:hint="default" w:ascii="Times New Roman" w:hAnsi="Times New Roman" w:cs="Times New Roman"/>
          <w:bCs/>
          <w:color w:val="000000" w:themeColor="text1"/>
          <w:sz w:val="28"/>
          <w:szCs w:val="28"/>
          <w14:textFill>
            <w14:solidFill>
              <w14:schemeClr w14:val="tx1"/>
            </w14:solidFill>
          </w14:textFill>
        </w:rPr>
        <w:t xml:space="preserve"> respondents are female. </w:t>
      </w:r>
      <w:r>
        <w:rPr>
          <w:rFonts w:hint="default" w:ascii="Times New Roman" w:hAnsi="Times New Roman" w:cs="Times New Roman"/>
          <w:bCs/>
          <w:color w:val="000000" w:themeColor="text1"/>
          <w:sz w:val="28"/>
          <w:szCs w:val="28"/>
          <w:lang w:val="en-US"/>
          <w14:textFill>
            <w14:solidFill>
              <w14:schemeClr w14:val="tx1"/>
            </w14:solidFill>
          </w14:textFill>
        </w:rPr>
        <w:t xml:space="preserve">35%of the </w:t>
      </w:r>
      <w:r>
        <w:rPr>
          <w:rFonts w:hint="default" w:ascii="Times New Roman" w:hAnsi="Times New Roman" w:cs="Times New Roman"/>
          <w:bCs/>
          <w:color w:val="000000" w:themeColor="text1"/>
          <w:sz w:val="28"/>
          <w:szCs w:val="28"/>
          <w14:textFill>
            <w14:solidFill>
              <w14:schemeClr w14:val="tx1"/>
            </w14:solidFill>
          </w14:textFill>
        </w:rPr>
        <w:t xml:space="preserve">respondent are Christian while </w:t>
      </w:r>
      <w:r>
        <w:rPr>
          <w:rFonts w:hint="default" w:ascii="Times New Roman" w:hAnsi="Times New Roman" w:cs="Times New Roman"/>
          <w:bCs/>
          <w:color w:val="000000" w:themeColor="text1"/>
          <w:sz w:val="28"/>
          <w:szCs w:val="28"/>
          <w:lang w:val="en-US"/>
          <w14:textFill>
            <w14:solidFill>
              <w14:schemeClr w14:val="tx1"/>
            </w14:solidFill>
          </w14:textFill>
        </w:rPr>
        <w:t>75% of the</w:t>
      </w:r>
      <w:r>
        <w:rPr>
          <w:rFonts w:hint="default" w:ascii="Times New Roman" w:hAnsi="Times New Roman" w:cs="Times New Roman"/>
          <w:bCs/>
          <w:color w:val="000000" w:themeColor="text1"/>
          <w:sz w:val="28"/>
          <w:szCs w:val="28"/>
          <w14:textFill>
            <w14:solidFill>
              <w14:schemeClr w14:val="tx1"/>
            </w14:solidFill>
          </w14:textFill>
        </w:rPr>
        <w:t xml:space="preserve"> respondent </w:t>
      </w:r>
      <w:r>
        <w:rPr>
          <w:rFonts w:hint="default" w:ascii="Times New Roman" w:hAnsi="Times New Roman" w:cs="Times New Roman"/>
          <w:bCs/>
          <w:color w:val="000000" w:themeColor="text1"/>
          <w:sz w:val="28"/>
          <w:szCs w:val="28"/>
          <w:lang w:val="en-US"/>
          <w14:textFill>
            <w14:solidFill>
              <w14:schemeClr w14:val="tx1"/>
            </w14:solidFill>
          </w14:textFill>
        </w:rPr>
        <w:t xml:space="preserve">are </w:t>
      </w:r>
      <w:r>
        <w:rPr>
          <w:rFonts w:hint="default" w:ascii="Times New Roman" w:hAnsi="Times New Roman" w:cs="Times New Roman"/>
          <w:bCs/>
          <w:color w:val="000000" w:themeColor="text1"/>
          <w:sz w:val="28"/>
          <w:szCs w:val="28"/>
          <w14:textFill>
            <w14:solidFill>
              <w14:schemeClr w14:val="tx1"/>
            </w14:solidFill>
          </w14:textFill>
        </w:rPr>
        <w:t xml:space="preserve">Muslim. </w:t>
      </w:r>
      <w:r>
        <w:rPr>
          <w:rFonts w:hint="default" w:ascii="Times New Roman" w:hAnsi="Times New Roman" w:cs="Times New Roman"/>
          <w:bCs/>
          <w:color w:val="000000" w:themeColor="text1"/>
          <w:sz w:val="28"/>
          <w:szCs w:val="28"/>
          <w:lang w:val="en-US"/>
          <w14:textFill>
            <w14:solidFill>
              <w14:schemeClr w14:val="tx1"/>
            </w14:solidFill>
          </w14:textFill>
        </w:rPr>
        <w:t xml:space="preserve">58% of the </w:t>
      </w:r>
      <w:r>
        <w:rPr>
          <w:rFonts w:hint="default" w:ascii="Times New Roman" w:hAnsi="Times New Roman" w:cs="Times New Roman"/>
          <w:bCs/>
          <w:color w:val="000000" w:themeColor="text1"/>
          <w:sz w:val="28"/>
          <w:szCs w:val="28"/>
          <w14:textFill>
            <w14:solidFill>
              <w14:schemeClr w14:val="tx1"/>
            </w14:solidFill>
          </w14:textFill>
        </w:rPr>
        <w:t xml:space="preserve">respondents are aged </w:t>
      </w:r>
      <w:r>
        <w:rPr>
          <w:rFonts w:hint="default" w:ascii="Times New Roman" w:hAnsi="Times New Roman" w:cs="Times New Roman"/>
          <w:bCs/>
          <w:color w:val="000000" w:themeColor="text1"/>
          <w:sz w:val="28"/>
          <w:szCs w:val="28"/>
          <w:lang w:val="en-US"/>
          <w14:textFill>
            <w14:solidFill>
              <w14:schemeClr w14:val="tx1"/>
            </w14:solidFill>
          </w14:textFill>
        </w:rPr>
        <w:t>16</w:t>
      </w:r>
      <w:r>
        <w:rPr>
          <w:rFonts w:hint="default" w:ascii="Times New Roman" w:hAnsi="Times New Roman" w:cs="Times New Roman"/>
          <w:bCs/>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en-US"/>
          <w14:textFill>
            <w14:solidFill>
              <w14:schemeClr w14:val="tx1"/>
            </w14:solidFill>
          </w14:textFill>
        </w:rPr>
        <w:t>26</w:t>
      </w:r>
      <w:r>
        <w:rPr>
          <w:rFonts w:hint="default" w:ascii="Times New Roman" w:hAnsi="Times New Roman" w:cs="Times New Roman"/>
          <w:bCs/>
          <w:color w:val="000000" w:themeColor="text1"/>
          <w:sz w:val="28"/>
          <w:szCs w:val="28"/>
          <w14:textFill>
            <w14:solidFill>
              <w14:schemeClr w14:val="tx1"/>
            </w14:solidFill>
          </w14:textFill>
        </w:rPr>
        <w:t xml:space="preserve"> years, </w:t>
      </w:r>
      <w:r>
        <w:rPr>
          <w:rFonts w:hint="default" w:ascii="Times New Roman" w:hAnsi="Times New Roman" w:cs="Times New Roman"/>
          <w:bCs/>
          <w:color w:val="000000" w:themeColor="text1"/>
          <w:sz w:val="28"/>
          <w:szCs w:val="28"/>
          <w:lang w:val="en-US"/>
          <w14:textFill>
            <w14:solidFill>
              <w14:schemeClr w14:val="tx1"/>
            </w14:solidFill>
          </w14:textFill>
        </w:rPr>
        <w:t xml:space="preserve">24% of the </w:t>
      </w:r>
      <w:r>
        <w:rPr>
          <w:rFonts w:hint="default" w:ascii="Times New Roman" w:hAnsi="Times New Roman" w:cs="Times New Roman"/>
          <w:bCs/>
          <w:color w:val="000000" w:themeColor="text1"/>
          <w:sz w:val="28"/>
          <w:szCs w:val="28"/>
          <w14:textFill>
            <w14:solidFill>
              <w14:schemeClr w14:val="tx1"/>
            </w14:solidFill>
          </w14:textFill>
        </w:rPr>
        <w:t xml:space="preserve"> respondents are aged </w:t>
      </w:r>
      <w:r>
        <w:rPr>
          <w:rFonts w:hint="default" w:ascii="Times New Roman" w:hAnsi="Times New Roman" w:cs="Times New Roman"/>
          <w:bCs/>
          <w:color w:val="000000" w:themeColor="text1"/>
          <w:sz w:val="28"/>
          <w:szCs w:val="28"/>
          <w:lang w:val="en-US"/>
          <w14:textFill>
            <w14:solidFill>
              <w14:schemeClr w14:val="tx1"/>
            </w14:solidFill>
          </w14:textFill>
        </w:rPr>
        <w:t>27</w:t>
      </w:r>
      <w:r>
        <w:rPr>
          <w:rFonts w:hint="default" w:ascii="Times New Roman" w:hAnsi="Times New Roman" w:cs="Times New Roman"/>
          <w:bCs/>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en-US"/>
          <w14:textFill>
            <w14:solidFill>
              <w14:schemeClr w14:val="tx1"/>
            </w14:solidFill>
          </w14:textFill>
        </w:rPr>
        <w:t>37</w:t>
      </w:r>
      <w:r>
        <w:rPr>
          <w:rFonts w:hint="default" w:ascii="Times New Roman" w:hAnsi="Times New Roman" w:cs="Times New Roman"/>
          <w:bCs/>
          <w:color w:val="000000" w:themeColor="text1"/>
          <w:sz w:val="28"/>
          <w:szCs w:val="28"/>
          <w14:textFill>
            <w14:solidFill>
              <w14:schemeClr w14:val="tx1"/>
            </w14:solidFill>
          </w14:textFill>
        </w:rPr>
        <w:t xml:space="preserve"> years. </w:t>
      </w:r>
      <w:r>
        <w:rPr>
          <w:rFonts w:hint="default" w:ascii="Times New Roman" w:hAnsi="Times New Roman" w:cs="Times New Roman"/>
          <w:bCs/>
          <w:color w:val="000000" w:themeColor="text1"/>
          <w:sz w:val="28"/>
          <w:szCs w:val="28"/>
          <w:lang w:val="en-US"/>
          <w14:textFill>
            <w14:solidFill>
              <w14:schemeClr w14:val="tx1"/>
            </w14:solidFill>
          </w14:textFill>
        </w:rPr>
        <w:t xml:space="preserve">12% of the </w:t>
      </w:r>
      <w:r>
        <w:rPr>
          <w:rFonts w:hint="default" w:ascii="Times New Roman" w:hAnsi="Times New Roman" w:cs="Times New Roman"/>
          <w:bCs/>
          <w:color w:val="000000" w:themeColor="text1"/>
          <w:sz w:val="28"/>
          <w:szCs w:val="28"/>
          <w14:textFill>
            <w14:solidFill>
              <w14:schemeClr w14:val="tx1"/>
            </w14:solidFill>
          </w14:textFill>
        </w:rPr>
        <w:t xml:space="preserve"> respondent are aged </w:t>
      </w:r>
      <w:r>
        <w:rPr>
          <w:rFonts w:hint="default" w:ascii="Times New Roman" w:hAnsi="Times New Roman" w:cs="Times New Roman"/>
          <w:bCs/>
          <w:color w:val="000000" w:themeColor="text1"/>
          <w:sz w:val="28"/>
          <w:szCs w:val="28"/>
          <w:lang w:val="en-US"/>
          <w14:textFill>
            <w14:solidFill>
              <w14:schemeClr w14:val="tx1"/>
            </w14:solidFill>
          </w14:textFill>
        </w:rPr>
        <w:t xml:space="preserve">38-48 years. 6% of the respondent are </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aged 49</w:t>
      </w:r>
      <w:r>
        <w:rPr>
          <w:rFonts w:hint="default" w:ascii="Times New Roman" w:hAnsi="Times New Roman" w:cs="Times New Roman"/>
          <w:bCs/>
          <w:color w:val="000000" w:themeColor="text1"/>
          <w:sz w:val="28"/>
          <w:szCs w:val="28"/>
          <w14:textFill>
            <w14:solidFill>
              <w14:schemeClr w14:val="tx1"/>
            </w14:solidFill>
          </w14:textFill>
        </w:rPr>
        <w:t>years</w:t>
      </w:r>
      <w:r>
        <w:rPr>
          <w:rFonts w:hint="default" w:ascii="Times New Roman" w:hAnsi="Times New Roman" w:cs="Times New Roman"/>
          <w:bCs/>
          <w:color w:val="000000" w:themeColor="text1"/>
          <w:sz w:val="28"/>
          <w:szCs w:val="28"/>
          <w:lang w:val="en-US"/>
          <w14:textFill>
            <w14:solidFill>
              <w14:schemeClr w14:val="tx1"/>
            </w14:solidFill>
          </w14:textFill>
        </w:rPr>
        <w:t xml:space="preserve"> and above</w:t>
      </w:r>
      <w:r>
        <w:rPr>
          <w:rFonts w:hint="default" w:ascii="Times New Roman" w:hAnsi="Times New Roman" w:cs="Times New Roman"/>
          <w:bCs/>
          <w:color w:val="000000" w:themeColor="text1"/>
          <w:sz w:val="28"/>
          <w:szCs w:val="28"/>
          <w14:textFill>
            <w14:solidFill>
              <w14:schemeClr w14:val="tx1"/>
            </w14:solidFill>
          </w14:textFill>
        </w:rPr>
        <w:t>.</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ANSWERING RESEARCH QUESTIONS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QUESTION 1:</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Does students make adequate use of face mask, sanitizers and observe social distancing?</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Respondent on question </w:t>
      </w:r>
      <w:r>
        <w:rPr>
          <w:rFonts w:hint="default" w:ascii="Times New Roman" w:hAnsi="Times New Roman" w:cs="Times New Roman"/>
          <w:color w:val="000000" w:themeColor="text1"/>
          <w:sz w:val="28"/>
          <w:szCs w:val="28"/>
          <w:lang w:val="en-US"/>
          <w14:textFill>
            <w14:solidFill>
              <w14:schemeClr w14:val="tx1"/>
            </w14:solidFill>
          </w14:textFill>
        </w:rPr>
        <w:t>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41"/>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285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Yes </w:t>
            </w:r>
          </w:p>
        </w:tc>
        <w:tc>
          <w:tcPr>
            <w:tcW w:w="2841"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300</w:t>
            </w:r>
          </w:p>
        </w:tc>
        <w:tc>
          <w:tcPr>
            <w:tcW w:w="2855"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No</w:t>
            </w:r>
          </w:p>
        </w:tc>
        <w:tc>
          <w:tcPr>
            <w:tcW w:w="2841"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2855"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undecided</w:t>
            </w:r>
          </w:p>
        </w:tc>
        <w:tc>
          <w:tcPr>
            <w:tcW w:w="2841"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40</w:t>
            </w:r>
          </w:p>
        </w:tc>
        <w:tc>
          <w:tcPr>
            <w:tcW w:w="2855"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340</w:t>
            </w:r>
          </w:p>
        </w:tc>
        <w:tc>
          <w:tcPr>
            <w:tcW w:w="285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From the response derived in the table above, 88% of the respondent make adequate use of </w:t>
      </w:r>
      <w:r>
        <w:rPr>
          <w:rFonts w:hint="default" w:eastAsia="sans-serif" w:cs="Times New Roman"/>
          <w:i w:val="0"/>
          <w:iCs w:val="0"/>
          <w:color w:val="000000" w:themeColor="text1"/>
          <w:spacing w:val="0"/>
          <w:sz w:val="28"/>
          <w:szCs w:val="28"/>
          <w:shd w:val="clear" w:fill="FFFFFF"/>
          <w:lang w:val="en-US"/>
          <w14:textFill>
            <w14:solidFill>
              <w14:schemeClr w14:val="tx1"/>
            </w14:solidFill>
          </w14:textFill>
        </w:rPr>
        <w:t>face mask</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sanitizers and observe social distancing. There were no record for no and undecided.</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 what extent do students observe those prevention measures?</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Respondent on question </w:t>
      </w:r>
      <w:r>
        <w:rPr>
          <w:rFonts w:hint="default" w:ascii="Times New Roman" w:hAnsi="Times New Roman" w:cs="Times New Roman"/>
          <w:color w:val="000000" w:themeColor="text1"/>
          <w:sz w:val="28"/>
          <w:szCs w:val="28"/>
          <w:lang w:val="en-US"/>
          <w14:textFill>
            <w14:solidFill>
              <w14:schemeClr w14:val="tx1"/>
            </w14:solidFill>
          </w14:textFill>
        </w:rPr>
        <w:t>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41"/>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285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2841"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300</w:t>
            </w:r>
          </w:p>
        </w:tc>
        <w:tc>
          <w:tcPr>
            <w:tcW w:w="2855"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841" w:type="dxa"/>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18</w:t>
            </w:r>
          </w:p>
        </w:tc>
        <w:tc>
          <w:tcPr>
            <w:tcW w:w="2855" w:type="dxa"/>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841"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2855"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uncertain</w:t>
            </w:r>
          </w:p>
        </w:tc>
        <w:tc>
          <w:tcPr>
            <w:tcW w:w="2841"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22</w:t>
            </w:r>
          </w:p>
        </w:tc>
        <w:tc>
          <w:tcPr>
            <w:tcW w:w="2855"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top"/>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340</w:t>
            </w:r>
          </w:p>
        </w:tc>
        <w:tc>
          <w:tcPr>
            <w:tcW w:w="285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rom the response derived in the table above, 88% of the respondent said to a very high extent. 5% of the respondent said high extent. 7% of the respondent were uncertain. </w:t>
      </w:r>
      <w:r>
        <w:rPr>
          <w:rFonts w:hint="default"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here was no record for low extent.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Does the school lecturers adhere to the execution and practice of these covid-19 safety prevention measures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Respondent on question </w:t>
      </w:r>
      <w:r>
        <w:rPr>
          <w:rFonts w:hint="default" w:ascii="Times New Roman" w:hAnsi="Times New Roman" w:cs="Times New Roman"/>
          <w:color w:val="000000" w:themeColor="text1"/>
          <w:sz w:val="28"/>
          <w:szCs w:val="28"/>
          <w:lang w:val="en-US"/>
          <w14:textFill>
            <w14:solidFill>
              <w14:schemeClr w14:val="tx1"/>
            </w14:solidFill>
          </w14:textFill>
        </w:rPr>
        <w:t>3</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41"/>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285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2841" w:type="dxa"/>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18</w:t>
            </w:r>
          </w:p>
        </w:tc>
        <w:tc>
          <w:tcPr>
            <w:tcW w:w="2855" w:type="dxa"/>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841" w:type="dxa"/>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eastAsia="en-US" w:bidi="ar-SA"/>
                <w14:textFill>
                  <w14:solidFill>
                    <w14:schemeClr w14:val="tx1"/>
                  </w14:solidFill>
                </w14:textFill>
              </w:rPr>
              <w:t>300</w:t>
            </w:r>
          </w:p>
        </w:tc>
        <w:tc>
          <w:tcPr>
            <w:tcW w:w="2855" w:type="dxa"/>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eastAsia="en-US" w:bidi="ar-SA"/>
                <w14:textFill>
                  <w14:solidFill>
                    <w14:schemeClr w14:val="tx1"/>
                  </w14:solidFill>
                </w14:textFill>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841"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2855"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uncertain</w:t>
            </w:r>
          </w:p>
        </w:tc>
        <w:tc>
          <w:tcPr>
            <w:tcW w:w="2841"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22</w:t>
            </w:r>
          </w:p>
        </w:tc>
        <w:tc>
          <w:tcPr>
            <w:tcW w:w="2855"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top"/>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340</w:t>
            </w:r>
          </w:p>
        </w:tc>
        <w:tc>
          <w:tcPr>
            <w:tcW w:w="285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rom the response derived in the table above, </w:t>
      </w:r>
      <w:r>
        <w:rPr>
          <w:rFonts w:hint="default" w:eastAsia="sans-serif" w:cs="Times New Roman"/>
          <w:i w:val="0"/>
          <w:iCs w:val="0"/>
          <w:caps w:val="0"/>
          <w:color w:val="000000" w:themeColor="text1"/>
          <w:spacing w:val="0"/>
          <w:sz w:val="28"/>
          <w:szCs w:val="28"/>
          <w:shd w:val="clear" w:fill="FFFFFF"/>
          <w14:textFill>
            <w14:solidFill>
              <w14:schemeClr w14:val="tx1"/>
            </w14:solidFill>
          </w14:textFill>
        </w:rPr>
        <w:t>5</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of the respondent said to a very high extent. </w:t>
      </w:r>
      <w:r>
        <w:rPr>
          <w:rFonts w:hint="default" w:eastAsia="sans-serif" w:cs="Times New Roman"/>
          <w:i w:val="0"/>
          <w:iCs w:val="0"/>
          <w:caps w:val="0"/>
          <w:color w:val="000000" w:themeColor="text1"/>
          <w:spacing w:val="0"/>
          <w:sz w:val="28"/>
          <w:szCs w:val="28"/>
          <w:shd w:val="clear" w:fill="FFFFFF"/>
          <w14:textFill>
            <w14:solidFill>
              <w14:schemeClr w14:val="tx1"/>
            </w14:solidFill>
          </w14:textFill>
        </w:rPr>
        <w:t>88</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of the respondent said high extent. 7% of the respondent were uncertain. </w:t>
      </w:r>
      <w:r>
        <w:rPr>
          <w:rFonts w:hint="default"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here was no record for low extent.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cs="Times New Roman"/>
          <w:color w:val="000000" w:themeColor="text1"/>
          <w:sz w:val="28"/>
          <w:szCs w:val="28"/>
          <w14:textFill>
            <w14:solidFill>
              <w14:schemeClr w14:val="tx1"/>
            </w14:solidFill>
          </w14:textFill>
        </w:rPr>
      </w:pPr>
      <w:r>
        <w:rPr>
          <w:rFonts w:hint="default" w:eastAsia="sans-serif" w:cs="Times New Roman"/>
          <w:i w:val="0"/>
          <w:iCs w:val="0"/>
          <w:caps w:val="0"/>
          <w:color w:val="000000" w:themeColor="text1"/>
          <w:spacing w:val="0"/>
          <w:sz w:val="28"/>
          <w:szCs w:val="28"/>
          <w:shd w:val="clear" w:fill="FFFFFF"/>
          <w14:textFill>
            <w14:solidFill>
              <w14:schemeClr w14:val="tx1"/>
            </w14:solidFill>
          </w14:textFill>
        </w:rPr>
        <w:t xml:space="preserve">QUESTION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Do the school management and law enforcers ensure and contribute to the execution and application of the safety measures by students?</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Respondent on question </w:t>
      </w:r>
      <w:r>
        <w:rPr>
          <w:rFonts w:hint="default" w:ascii="Times New Roman" w:hAnsi="Times New Roman" w:cs="Times New Roman"/>
          <w:color w:val="000000" w:themeColor="text1"/>
          <w:sz w:val="28"/>
          <w:szCs w:val="28"/>
          <w:lang w:val="en-US"/>
          <w14:textFill>
            <w14:solidFill>
              <w14:schemeClr w14:val="tx1"/>
            </w14:solidFill>
          </w14:textFill>
        </w:rPr>
        <w:t>4</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41"/>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285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2841" w:type="dxa"/>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20</w:t>
            </w:r>
          </w:p>
        </w:tc>
        <w:tc>
          <w:tcPr>
            <w:tcW w:w="2855" w:type="dxa"/>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841" w:type="dxa"/>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t>280</w:t>
            </w:r>
          </w:p>
        </w:tc>
        <w:tc>
          <w:tcPr>
            <w:tcW w:w="2855" w:type="dxa"/>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841"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18</w:t>
            </w:r>
          </w:p>
        </w:tc>
        <w:tc>
          <w:tcPr>
            <w:tcW w:w="2855" w:type="dxa"/>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uncertain</w:t>
            </w:r>
          </w:p>
        </w:tc>
        <w:tc>
          <w:tcPr>
            <w:tcW w:w="2841"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22</w:t>
            </w:r>
          </w:p>
        </w:tc>
        <w:tc>
          <w:tcPr>
            <w:tcW w:w="2855"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6" w:type="dxa"/>
            <w:tcBorders>
              <w:top w:val="single" w:color="auto" w:sz="4" w:space="0"/>
              <w:left w:val="single" w:color="auto" w:sz="4" w:space="0"/>
              <w:bottom w:val="single" w:color="auto" w:sz="4" w:space="0"/>
              <w:right w:val="single" w:color="auto" w:sz="4" w:space="0"/>
            </w:tcBorders>
            <w:shd w:val="clear" w:color="auto" w:fill="BDD6EE" w:themeFill="accent1" w:themeFillTint="66"/>
            <w:vAlign w:val="top"/>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284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340</w:t>
            </w:r>
          </w:p>
        </w:tc>
        <w:tc>
          <w:tcPr>
            <w:tcW w:w="285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rom the response derived in the table above, </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6</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of the respondent said to a very high extent. 8</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2</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of the respondent said high extent.</w:t>
      </w: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5% of the respondent said low extent.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7% of the respondent were uncertain.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 FIVE</w:t>
      </w:r>
    </w:p>
    <w:p>
      <w:pPr>
        <w:spacing w:line="480" w:lineRule="auto"/>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CONCLUSION AND RECOMMENDATION</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5.0 </w:t>
      </w: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This chapter summarizes the findings in evaluation of the level of covid-19 safety compliance in tertiary institution using Unilorin Kwara State as a case study.</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5.1 </w:t>
      </w:r>
      <w:r>
        <w:rPr>
          <w:rFonts w:hint="default" w:ascii="Times New Roman" w:hAnsi="Times New Roman" w:cs="Times New Roman"/>
          <w:b/>
          <w:bCs/>
          <w:color w:val="000000" w:themeColor="text1"/>
          <w:sz w:val="28"/>
          <w:szCs w:val="28"/>
          <w:lang w:val="en-US"/>
          <w14:textFill>
            <w14:solidFill>
              <w14:schemeClr w14:val="tx1"/>
            </w14:solidFill>
          </w14:textFill>
        </w:rPr>
        <w:t>Summary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focus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of this study is to evaluate the Level of Covid-19 Safety Compliance by Tertiary Institutions.</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Other</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focus relates to an i</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nvestigat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about how</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students adequately make use of face mask, sanitizers and observe social distancing.</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it 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xamine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extent to which students observe those prevention measures.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it revealed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if school lecturers adhere to the execution and practice of these covid-19 safety prevention measures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.finally it i</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nvestigate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if school management and law enforcers ensure and contribute to the execution and application of the safety measures by students.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imple random sampling was used in the study as staffs and students of University of Ilorin form the population of the study as four selected department were the respondents to the issued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questionnaire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ata was presented and analyzed using frequency and tables.</w:t>
      </w:r>
    </w:p>
    <w:p>
      <w:pPr>
        <w:spacing w:line="480" w:lineRule="auto"/>
        <w:jc w:val="both"/>
        <w:rPr>
          <w:rFonts w:hint="default" w:ascii="Times New Roman" w:hAnsi="Times New Roman" w:cs="Times New Roman"/>
          <w:sz w:val="28"/>
          <w:szCs w:val="28"/>
          <w:lang w:val="en-US"/>
        </w:rPr>
      </w:pPr>
    </w:p>
    <w:p>
      <w:pPr>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5.2 Conclusion </w:t>
      </w:r>
    </w:p>
    <w:p>
      <w:pPr>
        <w:spacing w:line="480" w:lineRule="auto"/>
        <w:jc w:val="both"/>
        <w:rPr>
          <w:rFonts w:hint="default" w:ascii="Times New Roman" w:hAnsi="Times New Roman" w:eastAsia="SimSun" w:cs="Times New Roman"/>
          <w:sz w:val="28"/>
          <w:szCs w:val="28"/>
        </w:rPr>
      </w:pPr>
      <w:r>
        <w:rPr>
          <w:rFonts w:hint="default" w:ascii="Times New Roman" w:hAnsi="Times New Roman" w:cs="Times New Roman"/>
          <w:sz w:val="28"/>
          <w:szCs w:val="28"/>
          <w:lang w:val="en-US"/>
        </w:rPr>
        <w:t xml:space="preserve">Nigeria's emergence of COVID-19 affected the university's environmental health and its society to a significant degree. Apart from the direct effects from the respiratory disease, our respective preventive measures have affected the environment and have forced society to change the way we work in public and private households. The problem of myths and untested information about the existence of the disease and different forms of prevention are also on the agenda. It should be noted that coronavirus is a disease that affects the elderly, the youth, the rich as well as people. </w:t>
      </w:r>
      <w:r>
        <w:rPr>
          <w:rFonts w:hint="default" w:ascii="Times New Roman" w:hAnsi="Times New Roman" w:eastAsia="SimSun" w:cs="Times New Roman"/>
          <w:sz w:val="28"/>
          <w:szCs w:val="28"/>
        </w:rPr>
        <w:t>It is not restricted to any ethnic group, race, or tribe. It’s a global pandemic and requires the collective effort of every citizen to fully combat the spread of the disease</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While significant progress has been made by regulative bodies through enforcing the preventive measures, the recommended preventive measures also have their respective and a cumulative </w:t>
      </w:r>
      <w:r>
        <w:rPr>
          <w:rFonts w:hint="default" w:ascii="Times New Roman" w:hAnsi="Times New Roman" w:eastAsia="SimSun" w:cs="Times New Roman"/>
          <w:sz w:val="28"/>
          <w:szCs w:val="28"/>
          <w:lang w:val="en-US"/>
        </w:rPr>
        <w:t>an</w:t>
      </w:r>
      <w:r>
        <w:rPr>
          <w:rFonts w:hint="default" w:ascii="Times New Roman" w:hAnsi="Times New Roman" w:eastAsia="SimSun" w:cs="Times New Roman"/>
          <w:sz w:val="28"/>
          <w:szCs w:val="28"/>
        </w:rPr>
        <w:t xml:space="preserve"> effect on the university’s environmental health.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use of physical barriers and social distance which proves to be the first line of defense against the coronavirus pandemic</w:t>
      </w:r>
      <w:r>
        <w:rPr>
          <w:rFonts w:hint="default" w:ascii="Times New Roman" w:hAnsi="Times New Roman" w:eastAsia="SimSun" w:cs="Times New Roman"/>
          <w:sz w:val="28"/>
          <w:szCs w:val="28"/>
          <w:lang w:val="en-US"/>
        </w:rPr>
        <w:t>. Other guidelines include regular handwashing with water and use of alcohol based sanitizers</w:t>
      </w:r>
      <w:r>
        <w:rPr>
          <w:rFonts w:hint="default" w:ascii="Times New Roman" w:hAnsi="Times New Roman" w:eastAsia="SimSun" w:cs="Times New Roman"/>
          <w:sz w:val="28"/>
          <w:szCs w:val="28"/>
        </w:rPr>
        <w:t xml:space="preserve"> though aides in the significantly curtailing the spread of the virus.</w:t>
      </w:r>
      <w:r>
        <w:rPr>
          <w:rFonts w:hint="default" w:ascii="Times New Roman" w:hAnsi="Times New Roman" w:eastAsia="SimSun" w:cs="Times New Roman"/>
          <w:sz w:val="28"/>
          <w:szCs w:val="28"/>
          <w:lang w:val="en-US"/>
        </w:rPr>
        <w:t xml:space="preserve">However </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en-US"/>
        </w:rPr>
        <w:t>t</w:t>
      </w:r>
      <w:r>
        <w:rPr>
          <w:rFonts w:hint="default" w:ascii="Times New Roman" w:hAnsi="Times New Roman" w:eastAsia="SimSun" w:cs="Times New Roman"/>
          <w:sz w:val="28"/>
          <w:szCs w:val="28"/>
        </w:rPr>
        <w:t xml:space="preserve">here is a crucial need to </w:t>
      </w:r>
      <w:r>
        <w:rPr>
          <w:rFonts w:hint="default" w:ascii="Times New Roman" w:hAnsi="Times New Roman" w:eastAsia="SimSun" w:cs="Times New Roman"/>
          <w:sz w:val="28"/>
          <w:szCs w:val="28"/>
          <w:lang w:val="en-US"/>
        </w:rPr>
        <w:t xml:space="preserve">ensure high level of compliance </w:t>
      </w:r>
      <w:r>
        <w:rPr>
          <w:rFonts w:hint="default" w:ascii="Times New Roman" w:hAnsi="Times New Roman" w:eastAsia="SimSun" w:cs="Times New Roman"/>
          <w:sz w:val="28"/>
          <w:szCs w:val="28"/>
        </w:rPr>
        <w:t>of social distance and isolation on the student</w:t>
      </w:r>
      <w:r>
        <w:rPr>
          <w:rFonts w:hint="default" w:ascii="Times New Roman" w:hAnsi="Times New Roman" w:eastAsia="SimSun" w:cs="Times New Roman"/>
          <w:sz w:val="28"/>
          <w:szCs w:val="28"/>
          <w:lang w:val="en-US"/>
        </w:rPr>
        <w:t>s</w:t>
      </w:r>
      <w:r>
        <w:rPr>
          <w:rFonts w:hint="default" w:ascii="Times New Roman" w:hAnsi="Times New Roman" w:eastAsia="SimSun" w:cs="Times New Roman"/>
          <w:sz w:val="28"/>
          <w:szCs w:val="28"/>
        </w:rPr>
        <w:t xml:space="preserve"> body and staff of the university</w:t>
      </w:r>
      <w:r>
        <w:rPr>
          <w:rFonts w:hint="default" w:ascii="Times New Roman" w:hAnsi="Times New Roman" w:eastAsia="SimSun" w:cs="Times New Roman"/>
          <w:sz w:val="28"/>
          <w:szCs w:val="28"/>
          <w:lang w:val="en-US"/>
        </w:rPr>
        <w:t xml:space="preserve"> of ilorin Kwara State</w:t>
      </w:r>
      <w:r>
        <w:rPr>
          <w:rFonts w:hint="default" w:ascii="Times New Roman" w:hAnsi="Times New Roman" w:eastAsia="SimSun" w:cs="Times New Roman"/>
          <w:sz w:val="28"/>
          <w:szCs w:val="28"/>
        </w:rPr>
        <w:t xml:space="preserve">. </w:t>
      </w:r>
    </w:p>
    <w:p>
      <w:pPr>
        <w:numPr>
          <w:ilvl w:val="0"/>
          <w:numId w:val="6"/>
        </w:num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3 Recommendation</w:t>
      </w:r>
    </w:p>
    <w:p>
      <w:pPr>
        <w:numPr>
          <w:ilvl w:val="0"/>
          <w:numId w:val="0"/>
        </w:numPr>
        <w:spacing w:line="480" w:lineRule="auto"/>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The following recommendations are made from the findings of this study</w:t>
      </w:r>
    </w:p>
    <w:p>
      <w:pPr>
        <w:numPr>
          <w:ilvl w:val="0"/>
          <w:numId w:val="7"/>
        </w:numPr>
        <w:tabs>
          <w:tab w:val="clear" w:pos="420"/>
        </w:tabs>
        <w:spacing w:line="480" w:lineRule="auto"/>
        <w:ind w:left="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Provision should be made at the entrance of public buildings in the university environment for washing of hands using ordinary bar soap</w:t>
      </w:r>
      <w:r>
        <w:rPr>
          <w:rFonts w:hint="default" w:ascii="Times New Roman" w:hAnsi="Times New Roman" w:eastAsia="SimSun" w:cs="Times New Roman"/>
          <w:sz w:val="28"/>
          <w:szCs w:val="28"/>
          <w:lang w:val="en-US"/>
        </w:rPr>
        <w:t>.</w:t>
      </w:r>
    </w:p>
    <w:p>
      <w:pPr>
        <w:numPr>
          <w:ilvl w:val="0"/>
          <w:numId w:val="7"/>
        </w:numPr>
        <w:tabs>
          <w:tab w:val="clear" w:pos="420"/>
        </w:tabs>
        <w:spacing w:line="480" w:lineRule="auto"/>
        <w:ind w:left="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Members of the university environment should be sensitized towards the use of face masks</w:t>
      </w:r>
      <w:r>
        <w:rPr>
          <w:rFonts w:hint="default" w:ascii="Times New Roman" w:hAnsi="Times New Roman" w:eastAsia="SimSun" w:cs="Times New Roman"/>
          <w:sz w:val="28"/>
          <w:szCs w:val="28"/>
          <w:lang w:val="en-US"/>
        </w:rPr>
        <w:t>.</w:t>
      </w:r>
    </w:p>
    <w:p>
      <w:pPr>
        <w:numPr>
          <w:ilvl w:val="0"/>
          <w:numId w:val="7"/>
        </w:numPr>
        <w:tabs>
          <w:tab w:val="clear" w:pos="420"/>
        </w:tabs>
        <w:spacing w:line="480" w:lineRule="auto"/>
        <w:ind w:left="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Staff and students should be educated on the need to seek the services of an expert when they feel lonely or unfairly isolated</w:t>
      </w:r>
      <w:r>
        <w:rPr>
          <w:rFonts w:hint="default" w:ascii="Times New Roman" w:hAnsi="Times New Roman" w:eastAsia="SimSun" w:cs="Times New Roman"/>
          <w:sz w:val="28"/>
          <w:szCs w:val="28"/>
          <w:lang w:val="en-US"/>
        </w:rPr>
        <w:t>.</w:t>
      </w:r>
    </w:p>
    <w:p>
      <w:pPr>
        <w:numPr>
          <w:ilvl w:val="0"/>
          <w:numId w:val="7"/>
        </w:numPr>
        <w:tabs>
          <w:tab w:val="clear" w:pos="420"/>
        </w:tabs>
        <w:spacing w:line="480" w:lineRule="auto"/>
        <w:ind w:left="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The members of the university environment should be educated on the effects of the abuse of the COVID-19 preventive measures</w:t>
      </w:r>
    </w:p>
    <w:p>
      <w:pPr>
        <w:numPr>
          <w:ilvl w:val="0"/>
          <w:numId w:val="7"/>
        </w:numPr>
        <w:tabs>
          <w:tab w:val="clear" w:pos="420"/>
        </w:tabs>
        <w:spacing w:line="480" w:lineRule="auto"/>
        <w:ind w:left="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Taskforce teams should be set up to enforce adherence to the COVID-19 pandemic preventive measures. </w:t>
      </w:r>
    </w:p>
    <w:p>
      <w:pPr>
        <w:numPr>
          <w:ilvl w:val="0"/>
          <w:numId w:val="7"/>
        </w:numPr>
        <w:tabs>
          <w:tab w:val="clear" w:pos="420"/>
        </w:tabs>
        <w:spacing w:line="480" w:lineRule="auto"/>
        <w:ind w:left="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The university society should be educated on the COVID19; the myth and the facts.</w:t>
      </w:r>
    </w:p>
    <w:p>
      <w:pPr>
        <w:numPr>
          <w:ilvl w:val="0"/>
          <w:numId w:val="7"/>
        </w:numPr>
        <w:tabs>
          <w:tab w:val="clear" w:pos="420"/>
        </w:tabs>
        <w:spacing w:line="480" w:lineRule="auto"/>
        <w:ind w:left="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Staffs and Student of University of Ilorin should ensure continuous compliance and strict adherence to Covid-19 safety measures.</w:t>
      </w:r>
    </w:p>
    <w:p>
      <w:pPr>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br w:type="page"/>
      </w:r>
    </w:p>
    <w:p>
      <w:pPr>
        <w:numPr>
          <w:ilvl w:val="0"/>
          <w:numId w:val="0"/>
        </w:num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Reference</w:t>
      </w:r>
    </w:p>
    <w:p>
      <w:pPr>
        <w:numPr>
          <w:ilvl w:val="0"/>
          <w:numId w:val="0"/>
        </w:numPr>
        <w:spacing w:line="480" w:lineRule="auto"/>
        <w:jc w:val="both"/>
        <w:rPr>
          <w:rFonts w:hint="default" w:ascii="Times New Roman" w:hAnsi="Times New Roman" w:eastAsia="SimSun" w:cs="Times New Roman"/>
          <w:sz w:val="28"/>
          <w:szCs w:val="28"/>
          <w:lang w:val="en-US"/>
        </w:rPr>
      </w:pP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Abdulrahman, A. K., Abdulrahman, K. A., Almadi, M. K., Alharbi, A. M., Mahmoud, M. A., </w:t>
      </w:r>
    </w:p>
    <w:p>
      <w:pPr>
        <w:spacing w:line="480" w:lineRule="auto"/>
        <w:ind w:left="798" w:leftChars="0" w:hanging="798" w:hangingChars="285"/>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 xml:space="preserve">Almasri, M. S.Yaser. (2019). Do various personal hygiene habits protect us against influenza-like illness? BMC Public Health. </w:t>
      </w:r>
      <w:r>
        <w:rPr>
          <w:rFonts w:hint="default" w:ascii="Times New Roman" w:hAnsi="Times New Roman" w:eastAsia="SimSun" w:cs="Times New Roman"/>
          <w:sz w:val="28"/>
          <w:szCs w:val="28"/>
          <w:lang w:val="en-US"/>
        </w:rPr>
        <w:t>]</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Abney, K. (2018). Containing tuberculosis, perpetuating stigma:the materiality of N95 respirator masks. Anthropology Southern African, 270-283.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ACDC. (2020, may 25). Coronavirus Disease 2019. Retrieved from Africa CDC: https://africacdc.org/covid-19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Alfonso, F. (2020, April 7). Why some people of color say they won't wear homemade masks. Retrieved from CNN: https://edition.cnn.com/2020/04/07/us/face-masksethnicity-coronavirus-cdc-trnd/index.html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Bałazy, A., Toivola, M., Adhikari, A., Sivasubramani, S., Reponen, K. T., &amp; Grinshpun, S. A. (2006). Do N95 respirators provide 95% protection level against airborne viruses, and how adequate are surgical masks? American journal of infection control, 51-57.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Bass, S. B., Ruzek, S. B., Ward, L., Gordon, T. F., Hanlon, A., Hausman, A. J., &amp; Hagen, M. (2010). If You Ask Them, Will They Come? Predictors of Quarantine Compliance during a Hypothetical Avian Influenza Pandemic. Disaster Medical Public Health, 135-144.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Bird, R. B., &amp; Alden, E. (2005). Signaling theory, strategic interaction and symbolic capital. Current Athropology, 221-248.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Blendon, R. J., DesRoches, C. M., Cetron, M. S., Benson, J. M., Meinhardt, T., &amp; Pollard, W. (2006). toward the use of quarantine in a public health emergency in four countries. Health Aff (Millwood), w15-w25.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Bourne, J. (2020, April 2). Tampa Bay nurses were told not to wear masks in hallways. Retrieved from WTSP: https://www.wtsp.com/article/news/health/coronavi rus/tampa-bay-hospital-nurses-masks-hallwaysrules/67-1e00e290-f2d5-49be-8233-840e15c06559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Brosseau, L. M., &amp; Sietsema, M. (2020, April 1). COMMENTARY:Mask for all for Covid-19 not based on sound datd.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Burgess, A., &amp; Horii, M. (2012). Risk, ritual and health responsibilisation: Japans safety blanketof surgicalface mask-wearing. Sociol. health &amp; illness 34, 1184-1198.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Cassell, M. M., Halperin, D. T., Shelton, J. D., &amp; Stanton, D. (2006). Risk compensation: the achilles'heel of innovation in HIV prevention. BMJ, 605-607.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Castro, D. R., Delabre, R. M., &amp; Molina, J. M. (2019). Give prep a chance: moving on from the risk compensation concept. Journal of International AIDS Society.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Cava, M. A., Fay, K. E., Beanlands, H. J., McCay, E. A., &amp; Wignall, R. (2005). Risk Perception and Compliance with Quarantine during the SARS Outbreak. Journal of Nursing Scholarship, 343-347.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Social distancing, qaurantine and isolation. Retrieved from https://www.cdc.gov: https://www.cdc.gov/cnavirus/2019- ncov/prevent-getting-sick/social-distancing.html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Center for Disease Control and Prevention. (2020, MAy 20). Reopening Guidance for Cleaning and Disinfecting Public Spaces, Workplaces,Businesses, Schools, and Homes|CDC. Retrieved from https://www.cdc.gov: https://www.cdc.gov/coronavirus/2019- ncov/community/reopen-guidance.html</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Chen, L. C., Evans, T. G., &amp; Cash, R. A. (1999). Health as a global public good. Global public good, 284-304. </w:t>
      </w:r>
    </w:p>
    <w:p>
      <w:p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Cheng, K. K., Lam, T. H., &amp; Leung, C. C. (2020). 64. KK Wearing face masks in the community during the covid-19 pandemic: altruism and solidarity. The Lancet.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CNBC. (2020, May 18). CNBC NEWS. Retrieved from https://www.cnbc.com: https://www.cnbc.com/2020/04/07/whatsapp-limitsmessage-forwards-to-combatcoronavirus-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Barceló, D. D., &amp; Sabater, S. (2010). Water qaulity assesment under scarcity; Prospects and challenges in Mediterranean watersheds. Journal of Hydrology, 1-4.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Damme, W. V., &amp; Lerberghe, W. V. (2000). Epidemics and fear. Tropical Medicine and International Health, pp. 511-514.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Davis, N. (2020, May 4). Report on face masks' effectiveness for Covid-19 divides scientists. Retrieved from The Guardian: https://www.theguardian.com/world/2020/may/04/ scientists-disagree-over-face-masks-effect-on-covid-19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Doremalen, N., Bushmaker, T., H.Morris, D., G.Holbrook, M., Gamble, A., N.Williamson, B.,. .. J.Munster, V. (2020). Aerosol and Surface Stability of SARS-CoV-2 as Compared with SARS-CoV-1. The new england journal of medicine, 1564-1567.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Esquivel-Gómez, J. d., &amp; Barajas-Ramírez, J. G. (2018). Efficiency of Quarantine and Self-Protection Processes in Epidemic Spreading Control on Scale-Free Networks. Chaos. An Interdisciplinary Journal of Nonlinear Science, 28(1).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Esther, B., Ellen, M., Elizeus, R., Robert, C., Bart, C., Juliet, K., &amp; Fred, N. (2012). Acceptability of masking and patient separation to control nosocomial tuberculosis in uganda: a qualitative study. Journal of Public Health, 599-606.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Ewodage, R. (2020, March 22). How We Plan To Implement Social Distancing In Lagos Markets, Transport System -Sanwo-Olu. Retrieved from Channelstv: https://www.channelstv.com/2020/03/22/covid-19- how-we-plan-to-implement-socialdistancing-in-lagosmarkets-transport-system-sanwo-olu/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Fair, D. (2017, March 19). Issues of the Enviroment:Washing your hands may harm your health and the enviroment. Retrieved from WEMU: https://www.wemu.org/post/issues-environmentwashing-your-hands-may-harm-your-health-andenvironment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Greg, M. (2011). Why Loneliness Is Hazardous to Your Health. Social neuroscience, 138-140.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Hashim, J., &amp; Hashim, Z. (2012). Environmental Health Governance for Sustainable Development. In Green economy and good governance for sustainable development : Opportunities, promises and concerns(pp. 267-285). United Nations University Press.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Hatchett, R. J., Mecher, C. E., &amp; Lipsitch, M. (2007). Public health interventions and epidemic intensity during the 1918 influenza pandemic. PNAS, 7582-7587.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Health Department Republic of South Africa. (2020, May 5). GUIDELINES FOR QUARANTINE AND ISOLATION IN RELATION TO COVID-19 EXPOSURE AND INFECTION. Retrieved from www.nicd.ac.za: https://www.nicd.ac.za/wpcontent/uploads/2020/05/Guidelines-for-Quarantineand-Isolation-in-relation-to-COVID-19.pdf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Houten, R. V., Malenfant, L., Huitema, B., &amp; Blomberg, R. (2000). Effects of high visibilty enforcement on driver compliance with</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pedestrian yeild right of way. Transportation Research Record, 41-49. Illigworth, P., &amp; Parmet, W. E. (2015). Solidarity and health: A public goods justification.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Jefferson, T., MAr, C. B., Dooley, L., Ferroni, E., AlAnsary, L. A., Bawazeer, G. A. Conly, J. M. (2011). Physical Interventions to Interrupt or Reduce the Spread of Respiratory Viruses. Cochrane Database Systemic. Reviews 7, CD006207.</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Joachim, G., &amp; Acorn, S. (2000). Stigma of visible and invisible chronic conditions. Journal for advanced nursing 32, 243-248. </w:t>
      </w:r>
    </w:p>
    <w:p>
      <w:pPr>
        <w:numPr>
          <w:ilvl w:val="0"/>
          <w:numId w:val="0"/>
        </w:numPr>
        <w:spacing w:line="480" w:lineRule="auto"/>
        <w:ind w:left="798" w:leftChars="0" w:hanging="798" w:hangingChars="285"/>
        <w:jc w:val="both"/>
        <w:rPr>
          <w:rFonts w:hint="default" w:ascii="Times New Roman" w:hAnsi="Times New Roman" w:eastAsia="SimSun" w:cs="Times New Roman"/>
          <w:color w:val="auto"/>
          <w:sz w:val="28"/>
          <w:szCs w:val="28"/>
          <w:u w:val="none"/>
          <w:lang w:val="en-US"/>
        </w:rPr>
      </w:pPr>
      <w:r>
        <w:rPr>
          <w:rFonts w:hint="default" w:ascii="Times New Roman" w:hAnsi="Times New Roman" w:eastAsia="SimSun" w:cs="Times New Roman"/>
          <w:sz w:val="28"/>
          <w:szCs w:val="28"/>
        </w:rPr>
        <w:t xml:space="preserve">Katie, P. (2020, March 12). what is social distancing. Retrieved from https://hub.jhu.edu/: </w:t>
      </w:r>
      <w:r>
        <w:rPr>
          <w:rFonts w:hint="default" w:ascii="Times New Roman" w:hAnsi="Times New Roman" w:eastAsia="SimSun" w:cs="Times New Roman"/>
          <w:color w:val="auto"/>
          <w:sz w:val="28"/>
          <w:szCs w:val="28"/>
          <w:u w:val="none"/>
        </w:rPr>
        <w:t>https://hub.jhu.edu/2020/03/13/what-is-socialdistancing/</w:t>
      </w:r>
      <w:r>
        <w:rPr>
          <w:rFonts w:hint="default" w:ascii="Times New Roman" w:hAnsi="Times New Roman" w:eastAsia="SimSun" w:cs="Times New Roman"/>
          <w:color w:val="auto"/>
          <w:sz w:val="28"/>
          <w:szCs w:val="28"/>
          <w:u w:val="none"/>
          <w:lang w:val="en-US"/>
        </w:rPr>
        <w:t>\</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Kopp, G. R., &amp; Burtscher, M. (2012). Does risk compensation undo the protection of ski helment use. Epidemology 23, 936-937.</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Lambers, H., Piessens, S., Bloem, A., Pronk, H., &amp; Finkel, P. (2006). Natural skin surface pH is on average below 5, which is beneficial for its resident flora. International Journal of Cosmetic Science, 1467-2494.</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Leung, C. C., Lam, T. H., &amp; Cheng, K. K. (2020). Mass masking in the COVID-19 epidemic: people need guidance. The Lancet.</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Li, D. K., &amp; Abdelkader, R. (2020). Coronavirus hate attack: Woman in face mask allegedly assaulted by man who calls her ’diseased’. NBC News.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Lidia, M., &amp; Junji, C. (2020). Airborne transmission of SARS-CoV-2: The world should face the reality. Environment International volume 139.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Liu, N. (2020, March 23). Hong kongs coronavirus response leads to sharp drop in flu cases. Hong Kong: The financial times. Retrieved from FT.com. </w:t>
      </w:r>
    </w:p>
    <w:p>
      <w:pPr>
        <w:numPr>
          <w:ilvl w:val="0"/>
          <w:numId w:val="0"/>
        </w:numPr>
        <w:spacing w:line="480" w:lineRule="auto"/>
        <w:ind w:left="798" w:leftChars="0" w:hanging="798" w:hangingChars="285"/>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Malone, S. (2020, March 25). New York Correctional Officers Ordered Not To Wear Masks , Even If They Have Them. Retrieved from Defense Maven: </w:t>
      </w:r>
      <w:r>
        <w:rPr>
          <w:rFonts w:hint="default" w:ascii="Times New Roman" w:hAnsi="Times New Roman" w:eastAsia="SimSun" w:cs="Times New Roman"/>
          <w:color w:val="auto"/>
          <w:sz w:val="28"/>
          <w:szCs w:val="28"/>
          <w:u w:val="none"/>
        </w:rPr>
        <w:t>https://defensemaven.io/bluelivesmatter/news/nycorrectional-officers-ordered-not-to-wear-masks-evenif-they-have-them-1E-zebSVpU-Bb9Y770uK</w:t>
      </w:r>
      <w:r>
        <w:rPr>
          <w:rFonts w:hint="default" w:ascii="Times New Roman" w:hAnsi="Times New Roman" w:eastAsia="SimSun" w:cs="Times New Roman"/>
          <w:color w:val="auto"/>
          <w:sz w:val="28"/>
          <w:szCs w:val="28"/>
          <w:u w:val="none"/>
        </w:rPr>
        <w:br w:type="page"/>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QUESTIONNAIRE</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PLEASE TICK [√] YOUR MOST PREFERRED CHOICE AND AVOID TICKING TWICE ON A QUESTION</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SECTION A</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PERSONAL INFORMATION</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Gender</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Male [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Female [  ]</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Age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16-26</w:t>
      </w:r>
      <w:r>
        <w:rPr>
          <w:rFonts w:hint="default" w:ascii="Times New Roman" w:hAnsi="Times New Roman" w:cs="Times New Roman"/>
          <w:color w:val="000000" w:themeColor="text1"/>
          <w:sz w:val="28"/>
          <w:szCs w:val="28"/>
          <w14:textFill>
            <w14:solidFill>
              <w14:schemeClr w14:val="tx1"/>
            </w14:solidFill>
          </w14:textFill>
        </w:rPr>
        <w:t xml:space="preserve"> [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27-37</w:t>
      </w:r>
      <w:r>
        <w:rPr>
          <w:rFonts w:hint="default" w:ascii="Times New Roman" w:hAnsi="Times New Roman" w:cs="Times New Roman"/>
          <w:color w:val="000000" w:themeColor="text1"/>
          <w:sz w:val="28"/>
          <w:szCs w:val="28"/>
          <w14:textFill>
            <w14:solidFill>
              <w14:schemeClr w14:val="tx1"/>
            </w14:solidFill>
          </w14:textFill>
        </w:rPr>
        <w:t>[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38-48</w:t>
      </w:r>
      <w:r>
        <w:rPr>
          <w:rFonts w:hint="default" w:ascii="Times New Roman" w:hAnsi="Times New Roman" w:cs="Times New Roman"/>
          <w:color w:val="000000" w:themeColor="text1"/>
          <w:sz w:val="28"/>
          <w:szCs w:val="28"/>
          <w14:textFill>
            <w14:solidFill>
              <w14:schemeClr w14:val="tx1"/>
            </w14:solidFill>
          </w14:textFill>
        </w:rPr>
        <w:t xml:space="preserve"> [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49+</w:t>
      </w:r>
      <w:r>
        <w:rPr>
          <w:rFonts w:hint="default" w:ascii="Times New Roman" w:hAnsi="Times New Roman" w:cs="Times New Roman"/>
          <w:color w:val="000000" w:themeColor="text1"/>
          <w:sz w:val="28"/>
          <w:szCs w:val="28"/>
          <w14:textFill>
            <w14:solidFill>
              <w14:schemeClr w14:val="tx1"/>
            </w14:solidFill>
          </w14:textFill>
        </w:rPr>
        <w:t>[  ]</w:t>
      </w:r>
    </w:p>
    <w:p>
      <w:pPr>
        <w:spacing w:after="0" w:line="480" w:lineRule="auto"/>
        <w:jc w:val="both"/>
        <w:rPr>
          <w:rFonts w:hint="default" w:ascii="Times New Roman" w:hAnsi="Times New Roman" w:eastAsia="SimSun" w:cs="Times New Roman"/>
          <w:sz w:val="28"/>
          <w:szCs w:val="28"/>
        </w:rPr>
      </w:pPr>
      <w:r>
        <w:rPr>
          <w:rFonts w:hint="default" w:ascii="Times New Roman" w:hAnsi="Times New Roman" w:cs="Times New Roman"/>
          <w:color w:val="000000" w:themeColor="text1"/>
          <w:sz w:val="28"/>
          <w:szCs w:val="28"/>
          <w:lang w:val="en-US"/>
          <w14:textFill>
            <w14:solidFill>
              <w14:schemeClr w14:val="tx1"/>
            </w14:solidFill>
          </w14:textFill>
        </w:rPr>
        <w:t>SECTION B</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QUESTION 1:</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Does students make adequate use of face mask, sanitizers and observe social distancing?</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Respondent on question </w:t>
      </w:r>
      <w:r>
        <w:rPr>
          <w:rFonts w:hint="default" w:ascii="Times New Roman" w:hAnsi="Times New Roman" w:cs="Times New Roman"/>
          <w:color w:val="000000" w:themeColor="text1"/>
          <w:sz w:val="28"/>
          <w:szCs w:val="28"/>
          <w:lang w:val="en-US"/>
          <w14:textFill>
            <w14:solidFill>
              <w14:schemeClr w14:val="tx1"/>
            </w14:solidFill>
          </w14:textFill>
        </w:rPr>
        <w:t>1</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Yes </w:t>
            </w:r>
          </w:p>
        </w:tc>
        <w:tc>
          <w:tcPr>
            <w:tcW w:w="2506" w:type="pct"/>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No</w:t>
            </w:r>
          </w:p>
        </w:tc>
        <w:tc>
          <w:tcPr>
            <w:tcW w:w="2506" w:type="pct"/>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undecided</w:t>
            </w:r>
          </w:p>
        </w:tc>
        <w:tc>
          <w:tcPr>
            <w:tcW w:w="2506" w:type="pct"/>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 what extent do students observe those prevention measures?</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2506" w:type="pct"/>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506" w:type="pct"/>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506" w:type="pct"/>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uncertain</w:t>
            </w:r>
          </w:p>
        </w:tc>
        <w:tc>
          <w:tcPr>
            <w:tcW w:w="2506" w:type="pct"/>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Does the school lecturers adhere to the execution and practice of these covid-19 safety prevention measures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2506" w:type="pct"/>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506" w:type="pct"/>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506" w:type="pct"/>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uncertain</w:t>
            </w:r>
          </w:p>
        </w:tc>
        <w:tc>
          <w:tcPr>
            <w:tcW w:w="2506" w:type="pct"/>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eastAsia="sans-serif" w:cs="Times New Roman"/>
          <w:i w:val="0"/>
          <w:iCs w:val="0"/>
          <w:caps w:val="0"/>
          <w:color w:val="000000" w:themeColor="text1"/>
          <w:spacing w:val="0"/>
          <w:sz w:val="28"/>
          <w:szCs w:val="28"/>
          <w:shd w:val="clear" w:fill="FFFFFF"/>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default" w:ascii="Times New Roman" w:hAnsi="Times New Roman" w:cs="Times New Roman"/>
          <w:color w:val="000000" w:themeColor="text1"/>
          <w:sz w:val="28"/>
          <w:szCs w:val="28"/>
          <w14:textFill>
            <w14:solidFill>
              <w14:schemeClr w14:val="tx1"/>
            </w14:solidFill>
          </w14:textFill>
        </w:rPr>
      </w:pPr>
      <w:r>
        <w:rPr>
          <w:rFonts w:hint="default" w:eastAsia="sans-serif" w:cs="Times New Roman"/>
          <w:i w:val="0"/>
          <w:iCs w:val="0"/>
          <w:caps w:val="0"/>
          <w:color w:val="000000" w:themeColor="text1"/>
          <w:spacing w:val="0"/>
          <w:sz w:val="28"/>
          <w:szCs w:val="28"/>
          <w:shd w:val="clear" w:fill="FFFFFF"/>
          <w14:textFill>
            <w14:solidFill>
              <w14:schemeClr w14:val="tx1"/>
            </w14:solidFill>
          </w14:textFill>
        </w:rPr>
        <w:t xml:space="preserve">QUESTION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Do the school management and law enforcers ensure and contribute to the execution and application of the safety measures by students?</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Very high extent</w:t>
            </w:r>
          </w:p>
        </w:tc>
        <w:tc>
          <w:tcPr>
            <w:tcW w:w="2506" w:type="pct"/>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506" w:type="pct"/>
            <w:tcBorders>
              <w:top w:val="single" w:color="auto" w:sz="4" w:space="0"/>
              <w:left w:val="single" w:color="auto" w:sz="4" w:space="0"/>
              <w:bottom w:val="single" w:color="auto" w:sz="4" w:space="0"/>
              <w:right w:val="single" w:color="auto" w:sz="4" w:space="0"/>
            </w:tcBorders>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506" w:type="pct"/>
            <w:tcBorders>
              <w:top w:val="single" w:color="auto" w:sz="4" w:space="0"/>
              <w:left w:val="single" w:color="auto" w:sz="4" w:space="0"/>
              <w:bottom w:val="single" w:color="auto" w:sz="4" w:space="0"/>
              <w:right w:val="single" w:color="auto" w:sz="4" w:space="0"/>
            </w:tcBorders>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uncertain</w:t>
            </w:r>
          </w:p>
        </w:tc>
        <w:tc>
          <w:tcPr>
            <w:tcW w:w="2506" w:type="pct"/>
            <w:tcBorders>
              <w:top w:val="single" w:color="auto" w:sz="4" w:space="0"/>
              <w:left w:val="single" w:color="auto" w:sz="4" w:space="0"/>
              <w:bottom w:val="single" w:color="auto" w:sz="4" w:space="0"/>
              <w:right w:val="single" w:color="auto" w:sz="4" w:space="0"/>
            </w:tcBorders>
            <w:shd w:val="clear" w:color="auto" w:fill="FFFFFF" w:themeFill="background1"/>
          </w:tcPr>
          <w:p>
            <w:pPr>
              <w:widowControl w:val="0"/>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p>
        </w:tc>
      </w:tr>
    </w:tbl>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p>
    <w:p>
      <w:pPr>
        <w:rPr>
          <w:rFonts w:hint="default" w:ascii="Times New Roman" w:hAnsi="Times New Roman" w:eastAsia="SimSu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1D6E5"/>
    <w:multiLevelType w:val="singleLevel"/>
    <w:tmpl w:val="8AD1D6E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F6BF167"/>
    <w:multiLevelType w:val="singleLevel"/>
    <w:tmpl w:val="BF6BF167"/>
    <w:lvl w:ilvl="0" w:tentative="0">
      <w:start w:val="1"/>
      <w:numFmt w:val="upperLetter"/>
      <w:suff w:val="space"/>
      <w:lvlText w:val="%1."/>
      <w:lvlJc w:val="left"/>
    </w:lvl>
  </w:abstractNum>
  <w:abstractNum w:abstractNumId="2">
    <w:nsid w:val="C5774B82"/>
    <w:multiLevelType w:val="singleLevel"/>
    <w:tmpl w:val="C5774B82"/>
    <w:lvl w:ilvl="0" w:tentative="0">
      <w:start w:val="1"/>
      <w:numFmt w:val="decimal"/>
      <w:suff w:val="space"/>
      <w:lvlText w:val="%1."/>
      <w:lvlJc w:val="left"/>
    </w:lvl>
  </w:abstractNum>
  <w:abstractNum w:abstractNumId="3">
    <w:nsid w:val="C65B8420"/>
    <w:multiLevelType w:val="singleLevel"/>
    <w:tmpl w:val="C65B842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E356CD4B"/>
    <w:multiLevelType w:val="singleLevel"/>
    <w:tmpl w:val="E356CD4B"/>
    <w:lvl w:ilvl="0" w:tentative="0">
      <w:start w:val="1"/>
      <w:numFmt w:val="decimal"/>
      <w:suff w:val="space"/>
      <w:lvlText w:val="%1."/>
      <w:lvlJc w:val="left"/>
    </w:lvl>
  </w:abstractNum>
  <w:abstractNum w:abstractNumId="5">
    <w:nsid w:val="20E26CFB"/>
    <w:multiLevelType w:val="singleLevel"/>
    <w:tmpl w:val="20E26CFB"/>
    <w:lvl w:ilvl="0" w:tentative="0">
      <w:start w:val="1"/>
      <w:numFmt w:val="decimal"/>
      <w:suff w:val="space"/>
      <w:lvlText w:val="(%1)"/>
      <w:lvlJc w:val="left"/>
    </w:lvl>
  </w:abstractNum>
  <w:abstractNum w:abstractNumId="6">
    <w:nsid w:val="4B24DF43"/>
    <w:multiLevelType w:val="singleLevel"/>
    <w:tmpl w:val="4B24DF43"/>
    <w:lvl w:ilvl="0" w:tentative="0">
      <w:start w:val="5"/>
      <w:numFmt w:val="decimal"/>
      <w:suff w:val="space"/>
      <w:lvlText w:val="%1."/>
      <w:lvlJc w:val="left"/>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67D6E"/>
    <w:rsid w:val="10465C3F"/>
    <w:rsid w:val="1AE37E2D"/>
    <w:rsid w:val="3F1A1731"/>
    <w:rsid w:val="452A0C65"/>
    <w:rsid w:val="4EE514FA"/>
    <w:rsid w:val="5E067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qFormat/>
    <w:uiPriority w:val="0"/>
    <w:rPr>
      <w:color w:val="0000FF"/>
      <w:u w:val="single"/>
    </w:rPr>
  </w:style>
  <w:style w:type="paragraph" w:styleId="7">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 w:type="table" w:styleId="9">
    <w:name w:val="Table Grid"/>
    <w:basedOn w:val="4"/>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spacing w:after="0" w:line="240" w:lineRule="auto"/>
      <w:ind w:left="720"/>
      <w:contextualSpacing/>
    </w:pPr>
    <w:rPr>
      <w:rFonts w:eastAsiaTheme="minorEastAsia"/>
      <w:sz w:val="20"/>
      <w:szCs w:val="20"/>
      <w:lang w:eastAsia="zh-CN"/>
    </w:rPr>
  </w:style>
  <w:style w:type="paragraph" w:customStyle="1" w:styleId="11">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2021-04-09T08:27:00Z</dcterms:created>
  <dc:creator>everest</dc:creator>
  <cp:lastModifiedBy>user</cp:lastModifiedBy>
  <dcterms:modified xsi:type="dcterms:W3CDTF">2023-11-21T11:39:26Z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14BA3680382646E28B065546995D8901</vt:lpwstr>
  </property>
</Properties>
</file>